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3.xml" ContentType="application/vnd.openxmlformats-officedocument.wordprocessingml.header+xml"/>
  <Override PartName="/word/footer4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02.xml" ContentType="application/vnd.openxmlformats-officedocument.wordprocessingml.header+xml"/>
  <Override PartName="/word/footer7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2.xml" ContentType="application/vnd.openxmlformats-officedocument.wordprocessingml.header+xml"/>
  <Override PartName="/word/header113.xml" ContentType="application/vnd.openxmlformats-officedocument.wordprocessingml.header+xml"/>
  <Override PartName="/word/footer8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1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5.xml" ContentType="application/vnd.openxmlformats-officedocument.wordprocessingml.header+xml"/>
  <Override PartName="/word/footer94.xml" ContentType="application/vnd.openxmlformats-officedocument.wordprocessingml.footer+xml"/>
  <Override PartName="/word/header12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9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33.xml" ContentType="application/vnd.openxmlformats-officedocument.wordprocessingml.header+xml"/>
  <Override PartName="/word/footer10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01.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41.xml" ContentType="application/vnd.openxmlformats-officedocument.wordprocessingml.header+xml"/>
  <Override PartName="/word/footer10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52.xml" ContentType="application/vnd.openxmlformats-officedocument.wordprocessingml.header+xml"/>
  <Override PartName="/word/footer119.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55.xml" ContentType="application/vnd.openxmlformats-officedocument.wordprocessingml.header+xml"/>
  <Override PartName="/word/footer12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7E9" w:rsidRPr="007B4060" w:rsidRDefault="00DF17E9" w:rsidP="00B12393">
      <w:pPr>
        <w:spacing w:before="2400" w:after="0"/>
        <w:jc w:val="center"/>
        <w:rPr>
          <w:rFonts w:ascii="Calibri" w:hAnsi="Calibri"/>
          <w:b/>
          <w:sz w:val="56"/>
          <w:szCs w:val="48"/>
        </w:rPr>
      </w:pPr>
      <w:r w:rsidRPr="007B4060">
        <w:rPr>
          <w:rFonts w:ascii="Calibri" w:hAnsi="Calibri"/>
          <w:b/>
          <w:sz w:val="56"/>
          <w:szCs w:val="48"/>
        </w:rPr>
        <w:t>Financial Report</w:t>
      </w:r>
    </w:p>
    <w:p w:rsidR="00DF17E9" w:rsidRPr="003A0092" w:rsidRDefault="00DF17E9" w:rsidP="00B12393">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rsidR="00DF17E9" w:rsidRPr="003A0092" w:rsidRDefault="00DF17E9" w:rsidP="00B12393">
      <w:pPr>
        <w:jc w:val="center"/>
        <w:rPr>
          <w:rFonts w:ascii="Calibri" w:hAnsi="Calibri"/>
          <w:b/>
          <w:sz w:val="56"/>
          <w:szCs w:val="48"/>
        </w:rPr>
      </w:pPr>
      <w:r w:rsidRPr="007B4060">
        <w:rPr>
          <w:rFonts w:ascii="Calibri" w:hAnsi="Calibri"/>
          <w:b/>
          <w:sz w:val="56"/>
          <w:szCs w:val="48"/>
        </w:rPr>
        <w:t>201</w:t>
      </w:r>
      <w:r>
        <w:rPr>
          <w:rFonts w:ascii="Calibri" w:hAnsi="Calibri"/>
          <w:b/>
          <w:sz w:val="56"/>
          <w:szCs w:val="48"/>
        </w:rPr>
        <w:t>5</w:t>
      </w:r>
      <w:r>
        <w:rPr>
          <w:rFonts w:ascii="Calibri" w:hAnsi="Calibri"/>
          <w:b/>
          <w:sz w:val="56"/>
          <w:szCs w:val="48"/>
        </w:rPr>
        <w:noBreakHyphen/>
        <w:t>16</w:t>
      </w:r>
    </w:p>
    <w:p w:rsidR="00DF17E9" w:rsidRPr="007B4060" w:rsidRDefault="00DF17E9" w:rsidP="00B12393">
      <w:pPr>
        <w:jc w:val="center"/>
        <w:rPr>
          <w:rFonts w:ascii="Calibri" w:hAnsi="Calibri"/>
          <w:b/>
          <w:szCs w:val="24"/>
        </w:rPr>
      </w:pPr>
    </w:p>
    <w:p w:rsidR="00DF17E9" w:rsidRPr="007B4060" w:rsidRDefault="00DF17E9" w:rsidP="00B12393">
      <w:pPr>
        <w:jc w:val="center"/>
        <w:rPr>
          <w:rFonts w:ascii="Calibri" w:hAnsi="Calibri"/>
          <w:szCs w:val="24"/>
        </w:rPr>
      </w:pPr>
      <w:bookmarkStart w:id="0" w:name="_GoBack"/>
      <w:bookmarkEnd w:id="0"/>
      <w:r>
        <w:rPr>
          <w:noProof/>
          <w:lang w:eastAsia="en-AU"/>
        </w:rPr>
        <w:drawing>
          <wp:inline distT="0" distB="0" distL="0" distR="0" wp14:anchorId="156C857B" wp14:editId="7F498D15">
            <wp:extent cx="940435" cy="11474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DF17E9" w:rsidRPr="007B4060" w:rsidRDefault="00DF17E9" w:rsidP="00B12393">
      <w:pPr>
        <w:jc w:val="center"/>
        <w:rPr>
          <w:rFonts w:ascii="Calibri" w:hAnsi="Calibri"/>
        </w:rPr>
      </w:pPr>
    </w:p>
    <w:p w:rsidR="00DF17E9" w:rsidRPr="007B4060" w:rsidRDefault="00DF17E9" w:rsidP="00B12393">
      <w:pPr>
        <w:jc w:val="center"/>
        <w:rPr>
          <w:rFonts w:ascii="Calibri" w:hAnsi="Calibri"/>
        </w:rPr>
      </w:pPr>
    </w:p>
    <w:p w:rsidR="00DF17E9" w:rsidRPr="007B4060" w:rsidRDefault="00DF17E9" w:rsidP="00B12393">
      <w:pPr>
        <w:jc w:val="center"/>
        <w:rPr>
          <w:rFonts w:ascii="Calibri" w:hAnsi="Calibri"/>
        </w:rPr>
      </w:pPr>
    </w:p>
    <w:p w:rsidR="00DF17E9" w:rsidRPr="007B4060" w:rsidRDefault="00DF17E9" w:rsidP="00B12393">
      <w:pPr>
        <w:jc w:val="center"/>
        <w:rPr>
          <w:rFonts w:ascii="Calibri" w:hAnsi="Calibri"/>
          <w:sz w:val="28"/>
          <w:szCs w:val="28"/>
        </w:rPr>
      </w:pPr>
      <w:r w:rsidRPr="007B4060">
        <w:rPr>
          <w:rFonts w:ascii="Calibri" w:hAnsi="Calibri"/>
          <w:sz w:val="28"/>
          <w:szCs w:val="28"/>
        </w:rPr>
        <w:t>Presented by</w:t>
      </w:r>
    </w:p>
    <w:p w:rsidR="00DF17E9" w:rsidRPr="007B4060" w:rsidRDefault="00DF17E9" w:rsidP="00B12393">
      <w:pPr>
        <w:jc w:val="center"/>
        <w:rPr>
          <w:rFonts w:ascii="Calibri" w:hAnsi="Calibri"/>
          <w:b/>
          <w:sz w:val="48"/>
          <w:szCs w:val="40"/>
        </w:rPr>
      </w:pPr>
      <w:r>
        <w:rPr>
          <w:rFonts w:ascii="Calibri" w:hAnsi="Calibri"/>
          <w:b/>
          <w:sz w:val="48"/>
          <w:szCs w:val="40"/>
        </w:rPr>
        <w:t>Tim Pallas MP</w:t>
      </w:r>
    </w:p>
    <w:p w:rsidR="00DF17E9" w:rsidRPr="007B4060" w:rsidRDefault="00DF17E9" w:rsidP="00B12393">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rsidR="00DF17E9" w:rsidRPr="007B4060" w:rsidRDefault="00DF17E9" w:rsidP="00B12393">
      <w:pPr>
        <w:jc w:val="center"/>
        <w:rPr>
          <w:rFonts w:ascii="Calibri" w:hAnsi="Calibri"/>
          <w:sz w:val="32"/>
          <w:szCs w:val="32"/>
        </w:rPr>
      </w:pPr>
      <w:r w:rsidRPr="007B4060">
        <w:rPr>
          <w:rFonts w:ascii="Calibri" w:hAnsi="Calibri"/>
          <w:sz w:val="32"/>
          <w:szCs w:val="32"/>
        </w:rPr>
        <w:t>for the information of Honourable Members</w:t>
      </w:r>
    </w:p>
    <w:p w:rsidR="00DF17E9" w:rsidRPr="007B4060" w:rsidRDefault="00DF17E9" w:rsidP="00B12393">
      <w:pPr>
        <w:spacing w:after="0"/>
        <w:jc w:val="center"/>
        <w:rPr>
          <w:rFonts w:ascii="Calibri" w:hAnsi="Calibri"/>
        </w:rPr>
      </w:pPr>
      <w:r w:rsidRPr="007B4060">
        <w:rPr>
          <w:rFonts w:ascii="Calibri" w:hAnsi="Calibri"/>
        </w:rPr>
        <w:t>_______________________</w:t>
      </w:r>
    </w:p>
    <w:p w:rsidR="00DF17E9" w:rsidRPr="007B4060" w:rsidRDefault="00DF17E9" w:rsidP="00B12393">
      <w:pPr>
        <w:spacing w:after="0"/>
        <w:jc w:val="center"/>
        <w:rPr>
          <w:rFonts w:ascii="Calibri" w:hAnsi="Calibri"/>
        </w:rPr>
      </w:pPr>
    </w:p>
    <w:p w:rsidR="00DF17E9" w:rsidRPr="007B4060" w:rsidRDefault="00DF17E9" w:rsidP="00B12393">
      <w:pPr>
        <w:spacing w:after="0"/>
        <w:jc w:val="center"/>
        <w:rPr>
          <w:rFonts w:ascii="Calibri" w:hAnsi="Calibri"/>
        </w:rPr>
      </w:pPr>
      <w:r w:rsidRPr="007B4060">
        <w:rPr>
          <w:rFonts w:ascii="Calibri" w:hAnsi="Calibri"/>
        </w:rPr>
        <w:t>Ordered to be printed</w:t>
      </w:r>
    </w:p>
    <w:p w:rsidR="00DF17E9" w:rsidRPr="007B4060" w:rsidRDefault="00DF17E9" w:rsidP="00B12393">
      <w:pPr>
        <w:spacing w:after="0"/>
        <w:jc w:val="center"/>
        <w:rPr>
          <w:rFonts w:ascii="Calibri" w:hAnsi="Calibri"/>
        </w:rPr>
      </w:pPr>
      <w:r w:rsidRPr="007B4060">
        <w:rPr>
          <w:rFonts w:ascii="Calibri" w:hAnsi="Calibri"/>
        </w:rPr>
        <w:t>_______________________</w:t>
      </w:r>
    </w:p>
    <w:p w:rsidR="00DF17E9" w:rsidRPr="007B4060" w:rsidRDefault="00DF17E9" w:rsidP="00B12393">
      <w:pPr>
        <w:jc w:val="center"/>
        <w:rPr>
          <w:rFonts w:ascii="Calibri" w:hAnsi="Calibri"/>
        </w:rPr>
      </w:pPr>
    </w:p>
    <w:p w:rsidR="00DF17E9" w:rsidRPr="007B4060" w:rsidRDefault="00DF17E9" w:rsidP="00B12393">
      <w:pPr>
        <w:jc w:val="center"/>
        <w:rPr>
          <w:rFonts w:ascii="Calibri" w:hAnsi="Calibri"/>
        </w:rPr>
      </w:pPr>
      <w:r>
        <w:rPr>
          <w:rFonts w:ascii="Calibri" w:hAnsi="Calibri"/>
        </w:rPr>
        <w:t xml:space="preserve">October </w:t>
      </w:r>
      <w:r w:rsidRPr="007B4060">
        <w:rPr>
          <w:rFonts w:ascii="Calibri" w:hAnsi="Calibri"/>
        </w:rPr>
        <w:t>201</w:t>
      </w:r>
      <w:r>
        <w:rPr>
          <w:rFonts w:ascii="Calibri" w:hAnsi="Calibri"/>
        </w:rPr>
        <w:t>6</w:t>
      </w:r>
    </w:p>
    <w:p w:rsidR="00DF17E9" w:rsidRDefault="00DF17E9" w:rsidP="00B12393">
      <w:pPr>
        <w:jc w:val="center"/>
      </w:pPr>
    </w:p>
    <w:p w:rsidR="00DF17E9" w:rsidRDefault="00DF17E9" w:rsidP="00B12393">
      <w:pPr>
        <w:rPr>
          <w:highlight w:val="yellow"/>
        </w:rPr>
      </w:pPr>
    </w:p>
    <w:p w:rsidR="00DF17E9" w:rsidRPr="007B4060" w:rsidRDefault="00DF17E9" w:rsidP="00B12393">
      <w:pPr>
        <w:rPr>
          <w:highlight w:val="yellow"/>
        </w:rPr>
      </w:pPr>
    </w:p>
    <w:p w:rsidR="00DF17E9" w:rsidRDefault="00DF17E9" w:rsidP="00B12393">
      <w:pPr>
        <w:spacing w:before="400"/>
        <w:rPr>
          <w:rFonts w:ascii="Calibri" w:hAnsi="Calibri"/>
        </w:rPr>
      </w:pPr>
      <w:r w:rsidRPr="00452218">
        <w:rPr>
          <w:rFonts w:ascii="Calibri" w:hAnsi="Calibri"/>
        </w:rPr>
        <w:t>No. PP 212, Session 2014</w:t>
      </w:r>
      <w:r w:rsidRPr="00452218">
        <w:rPr>
          <w:rFonts w:ascii="Calibri" w:hAnsi="Calibri"/>
        </w:rPr>
        <w:noBreakHyphen/>
        <w:t>16</w:t>
      </w:r>
    </w:p>
    <w:p w:rsidR="008235CC" w:rsidRDefault="008235CC" w:rsidP="00B12393">
      <w:pPr>
        <w:spacing w:before="400"/>
        <w:rPr>
          <w:rFonts w:ascii="Calibri" w:hAnsi="Calibri"/>
        </w:rPr>
        <w:sectPr w:rsidR="008235CC" w:rsidSect="001D40F4">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624" w:footer="567" w:gutter="0"/>
          <w:cols w:space="708"/>
          <w:docGrid w:linePitch="360"/>
        </w:sectPr>
      </w:pPr>
    </w:p>
    <w:p w:rsidR="00DF17E9" w:rsidRDefault="00DF17E9" w:rsidP="00B12393">
      <w:pPr>
        <w:pStyle w:val="TableofContentsheading"/>
      </w:pPr>
      <w:r>
        <w:lastRenderedPageBreak/>
        <w:t>Table of contents</w:t>
      </w:r>
    </w:p>
    <w:p w:rsidR="00061F46" w:rsidRDefault="00DF17E9">
      <w:pPr>
        <w:pStyle w:val="TOC1"/>
        <w:rPr>
          <w:rFonts w:asciiTheme="minorHAnsi" w:eastAsiaTheme="minorEastAsia" w:hAnsiTheme="minorHAnsi"/>
          <w:b w:val="0"/>
          <w:noProof/>
          <w:spacing w:val="0"/>
          <w:szCs w:val="22"/>
          <w:lang w:eastAsia="en-AU"/>
        </w:rPr>
      </w:pPr>
      <w:r>
        <w:rPr>
          <w:rFonts w:ascii="Calibri" w:hAnsi="Calibri"/>
        </w:rPr>
        <w:fldChar w:fldCharType="begin"/>
      </w:r>
      <w:r>
        <w:instrText xml:space="preserve"> TOC \h \z \t "Heading 1,2,Chapter Heading,1" </w:instrText>
      </w:r>
      <w:r>
        <w:rPr>
          <w:rFonts w:ascii="Calibri" w:hAnsi="Calibri"/>
        </w:rPr>
        <w:fldChar w:fldCharType="separate"/>
      </w:r>
      <w:hyperlink w:anchor="_Toc462865835" w:history="1">
        <w:r w:rsidR="00061F46" w:rsidRPr="002849FD">
          <w:rPr>
            <w:rStyle w:val="Hyperlink"/>
            <w:noProof/>
          </w:rPr>
          <w:t>Chapter 1 – Foreword</w:t>
        </w:r>
        <w:r w:rsidR="00061F46">
          <w:rPr>
            <w:noProof/>
            <w:webHidden/>
          </w:rPr>
          <w:tab/>
        </w:r>
        <w:r w:rsidR="00061F46">
          <w:rPr>
            <w:noProof/>
            <w:webHidden/>
          </w:rPr>
          <w:fldChar w:fldCharType="begin"/>
        </w:r>
        <w:r w:rsidR="00061F46">
          <w:rPr>
            <w:noProof/>
            <w:webHidden/>
          </w:rPr>
          <w:instrText xml:space="preserve"> PAGEREF _Toc462865835 \h </w:instrText>
        </w:r>
        <w:r w:rsidR="00061F46">
          <w:rPr>
            <w:noProof/>
            <w:webHidden/>
          </w:rPr>
        </w:r>
        <w:r w:rsidR="00061F46">
          <w:rPr>
            <w:noProof/>
            <w:webHidden/>
          </w:rPr>
          <w:fldChar w:fldCharType="separate"/>
        </w:r>
        <w:r w:rsidR="00E3704D">
          <w:rPr>
            <w:noProof/>
            <w:webHidden/>
          </w:rPr>
          <w:t>1</w:t>
        </w:r>
        <w:r w:rsidR="00061F46">
          <w:rPr>
            <w:noProof/>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36" w:history="1">
        <w:r w:rsidR="00061F46" w:rsidRPr="002849FD">
          <w:rPr>
            <w:rStyle w:val="Hyperlink"/>
            <w:noProof/>
          </w:rPr>
          <w:t>Chapter 2 – General government sector outcome</w:t>
        </w:r>
        <w:r w:rsidR="00061F46">
          <w:rPr>
            <w:noProof/>
            <w:webHidden/>
          </w:rPr>
          <w:tab/>
        </w:r>
        <w:r w:rsidR="00061F46">
          <w:rPr>
            <w:noProof/>
            <w:webHidden/>
          </w:rPr>
          <w:fldChar w:fldCharType="begin"/>
        </w:r>
        <w:r w:rsidR="00061F46">
          <w:rPr>
            <w:noProof/>
            <w:webHidden/>
          </w:rPr>
          <w:instrText xml:space="preserve"> PAGEREF _Toc462865836 \h </w:instrText>
        </w:r>
        <w:r w:rsidR="00061F46">
          <w:rPr>
            <w:noProof/>
            <w:webHidden/>
          </w:rPr>
        </w:r>
        <w:r w:rsidR="00061F46">
          <w:rPr>
            <w:noProof/>
            <w:webHidden/>
          </w:rPr>
          <w:fldChar w:fldCharType="separate"/>
        </w:r>
        <w:r w:rsidR="00E3704D">
          <w:rPr>
            <w:noProof/>
            <w:webHidden/>
          </w:rPr>
          <w:t>3</w:t>
        </w:r>
        <w:r w:rsidR="00061F46">
          <w:rPr>
            <w:noProof/>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37" w:history="1">
        <w:r w:rsidR="00061F46" w:rsidRPr="002849FD">
          <w:rPr>
            <w:rStyle w:val="Hyperlink"/>
            <w:noProof/>
          </w:rPr>
          <w:t>Chapter 3 – State of Victoria outcome</w:t>
        </w:r>
        <w:r w:rsidR="00061F46">
          <w:rPr>
            <w:noProof/>
            <w:webHidden/>
          </w:rPr>
          <w:tab/>
        </w:r>
        <w:r w:rsidR="00061F46">
          <w:rPr>
            <w:noProof/>
            <w:webHidden/>
          </w:rPr>
          <w:fldChar w:fldCharType="begin"/>
        </w:r>
        <w:r w:rsidR="00061F46">
          <w:rPr>
            <w:noProof/>
            <w:webHidden/>
          </w:rPr>
          <w:instrText xml:space="preserve"> PAGEREF _Toc462865837 \h </w:instrText>
        </w:r>
        <w:r w:rsidR="00061F46">
          <w:rPr>
            <w:noProof/>
            <w:webHidden/>
          </w:rPr>
        </w:r>
        <w:r w:rsidR="00061F46">
          <w:rPr>
            <w:noProof/>
            <w:webHidden/>
          </w:rPr>
          <w:fldChar w:fldCharType="separate"/>
        </w:r>
        <w:r w:rsidR="00E3704D">
          <w:rPr>
            <w:noProof/>
            <w:webHidden/>
          </w:rPr>
          <w:t>13</w:t>
        </w:r>
        <w:r w:rsidR="00061F46">
          <w:rPr>
            <w:noProof/>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38" w:history="1">
        <w:r w:rsidR="00061F46" w:rsidRPr="002849FD">
          <w:rPr>
            <w:rStyle w:val="Hyperlink"/>
            <w:noProof/>
          </w:rPr>
          <w:t>Chapter 4 – Annual Financial Report</w:t>
        </w:r>
        <w:r w:rsidR="00061F46">
          <w:rPr>
            <w:noProof/>
            <w:webHidden/>
          </w:rPr>
          <w:tab/>
        </w:r>
        <w:r w:rsidR="00061F46">
          <w:rPr>
            <w:noProof/>
            <w:webHidden/>
          </w:rPr>
          <w:fldChar w:fldCharType="begin"/>
        </w:r>
        <w:r w:rsidR="00061F46">
          <w:rPr>
            <w:noProof/>
            <w:webHidden/>
          </w:rPr>
          <w:instrText xml:space="preserve"> PAGEREF _Toc462865838 \h </w:instrText>
        </w:r>
        <w:r w:rsidR="00061F46">
          <w:rPr>
            <w:noProof/>
            <w:webHidden/>
          </w:rPr>
        </w:r>
        <w:r w:rsidR="00061F46">
          <w:rPr>
            <w:noProof/>
            <w:webHidden/>
          </w:rPr>
          <w:fldChar w:fldCharType="separate"/>
        </w:r>
        <w:r w:rsidR="00E3704D">
          <w:rPr>
            <w:noProof/>
            <w:webHidden/>
          </w:rPr>
          <w:t>21</w:t>
        </w:r>
        <w:r w:rsidR="00061F46">
          <w:rPr>
            <w:noProof/>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39" w:history="1">
        <w:r w:rsidR="00061F46" w:rsidRPr="002849FD">
          <w:rPr>
            <w:rStyle w:val="Hyperlink"/>
          </w:rPr>
          <w:t>1</w:t>
        </w:r>
        <w:r w:rsidR="00061F46">
          <w:rPr>
            <w:rFonts w:asciiTheme="minorHAnsi" w:eastAsiaTheme="minorEastAsia" w:hAnsiTheme="minorHAnsi"/>
            <w:spacing w:val="0"/>
            <w:sz w:val="22"/>
            <w:szCs w:val="22"/>
            <w:lang w:eastAsia="en-AU"/>
          </w:rPr>
          <w:tab/>
        </w:r>
        <w:r w:rsidR="00061F46" w:rsidRPr="002849FD">
          <w:rPr>
            <w:rStyle w:val="Hyperlink"/>
          </w:rPr>
          <w:t>About this report</w:t>
        </w:r>
        <w:r w:rsidR="00061F46">
          <w:rPr>
            <w:webHidden/>
          </w:rPr>
          <w:tab/>
        </w:r>
        <w:r w:rsidR="00061F46">
          <w:rPr>
            <w:webHidden/>
          </w:rPr>
          <w:fldChar w:fldCharType="begin"/>
        </w:r>
        <w:r w:rsidR="00061F46">
          <w:rPr>
            <w:webHidden/>
          </w:rPr>
          <w:instrText xml:space="preserve"> PAGEREF _Toc462865839 \h </w:instrText>
        </w:r>
        <w:r w:rsidR="00061F46">
          <w:rPr>
            <w:webHidden/>
          </w:rPr>
        </w:r>
        <w:r w:rsidR="00061F46">
          <w:rPr>
            <w:webHidden/>
          </w:rPr>
          <w:fldChar w:fldCharType="separate"/>
        </w:r>
        <w:r w:rsidR="00E3704D">
          <w:rPr>
            <w:webHidden/>
          </w:rPr>
          <w:t>33</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0" w:history="1">
        <w:r w:rsidR="00061F46" w:rsidRPr="002849FD">
          <w:rPr>
            <w:rStyle w:val="Hyperlink"/>
          </w:rPr>
          <w:t>2</w:t>
        </w:r>
        <w:r w:rsidR="00061F46">
          <w:rPr>
            <w:rFonts w:asciiTheme="minorHAnsi" w:eastAsiaTheme="minorEastAsia" w:hAnsiTheme="minorHAnsi"/>
            <w:spacing w:val="0"/>
            <w:sz w:val="22"/>
            <w:szCs w:val="22"/>
            <w:lang w:eastAsia="en-AU"/>
          </w:rPr>
          <w:tab/>
        </w:r>
        <w:r w:rsidR="00061F46" w:rsidRPr="002849FD">
          <w:rPr>
            <w:rStyle w:val="Hyperlink"/>
          </w:rPr>
          <w:t>How funds are raised</w:t>
        </w:r>
        <w:r w:rsidR="00061F46">
          <w:rPr>
            <w:webHidden/>
          </w:rPr>
          <w:tab/>
        </w:r>
        <w:r w:rsidR="00061F46">
          <w:rPr>
            <w:webHidden/>
          </w:rPr>
          <w:fldChar w:fldCharType="begin"/>
        </w:r>
        <w:r w:rsidR="00061F46">
          <w:rPr>
            <w:webHidden/>
          </w:rPr>
          <w:instrText xml:space="preserve"> PAGEREF _Toc462865840 \h </w:instrText>
        </w:r>
        <w:r w:rsidR="00061F46">
          <w:rPr>
            <w:webHidden/>
          </w:rPr>
        </w:r>
        <w:r w:rsidR="00061F46">
          <w:rPr>
            <w:webHidden/>
          </w:rPr>
          <w:fldChar w:fldCharType="separate"/>
        </w:r>
        <w:r w:rsidR="00E3704D">
          <w:rPr>
            <w:webHidden/>
          </w:rPr>
          <w:t>36</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1" w:history="1">
        <w:r w:rsidR="00061F46" w:rsidRPr="002849FD">
          <w:rPr>
            <w:rStyle w:val="Hyperlink"/>
          </w:rPr>
          <w:t>3</w:t>
        </w:r>
        <w:r w:rsidR="00061F46">
          <w:rPr>
            <w:rFonts w:asciiTheme="minorHAnsi" w:eastAsiaTheme="minorEastAsia" w:hAnsiTheme="minorHAnsi"/>
            <w:spacing w:val="0"/>
            <w:sz w:val="22"/>
            <w:szCs w:val="22"/>
            <w:lang w:eastAsia="en-AU"/>
          </w:rPr>
          <w:tab/>
        </w:r>
        <w:r w:rsidR="00061F46" w:rsidRPr="002849FD">
          <w:rPr>
            <w:rStyle w:val="Hyperlink"/>
          </w:rPr>
          <w:t>How funds are spent</w:t>
        </w:r>
        <w:r w:rsidR="00061F46">
          <w:rPr>
            <w:webHidden/>
          </w:rPr>
          <w:tab/>
        </w:r>
        <w:r w:rsidR="00061F46">
          <w:rPr>
            <w:webHidden/>
          </w:rPr>
          <w:fldChar w:fldCharType="begin"/>
        </w:r>
        <w:r w:rsidR="00061F46">
          <w:rPr>
            <w:webHidden/>
          </w:rPr>
          <w:instrText xml:space="preserve"> PAGEREF _Toc462865841 \h </w:instrText>
        </w:r>
        <w:r w:rsidR="00061F46">
          <w:rPr>
            <w:webHidden/>
          </w:rPr>
        </w:r>
        <w:r w:rsidR="00061F46">
          <w:rPr>
            <w:webHidden/>
          </w:rPr>
          <w:fldChar w:fldCharType="separate"/>
        </w:r>
        <w:r w:rsidR="00E3704D">
          <w:rPr>
            <w:webHidden/>
          </w:rPr>
          <w:t>41</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2" w:history="1">
        <w:r w:rsidR="00061F46" w:rsidRPr="002849FD">
          <w:rPr>
            <w:rStyle w:val="Hyperlink"/>
          </w:rPr>
          <w:t>4</w:t>
        </w:r>
        <w:r w:rsidR="00061F46">
          <w:rPr>
            <w:rFonts w:asciiTheme="minorHAnsi" w:eastAsiaTheme="minorEastAsia" w:hAnsiTheme="minorHAnsi"/>
            <w:spacing w:val="0"/>
            <w:sz w:val="22"/>
            <w:szCs w:val="22"/>
            <w:lang w:eastAsia="en-AU"/>
          </w:rPr>
          <w:tab/>
        </w:r>
        <w:r w:rsidR="00061F46" w:rsidRPr="002849FD">
          <w:rPr>
            <w:rStyle w:val="Hyperlink"/>
          </w:rPr>
          <w:t>Major assets and investments</w:t>
        </w:r>
        <w:r w:rsidR="00061F46">
          <w:rPr>
            <w:webHidden/>
          </w:rPr>
          <w:tab/>
        </w:r>
        <w:r w:rsidR="00061F46">
          <w:rPr>
            <w:webHidden/>
          </w:rPr>
          <w:fldChar w:fldCharType="begin"/>
        </w:r>
        <w:r w:rsidR="00061F46">
          <w:rPr>
            <w:webHidden/>
          </w:rPr>
          <w:instrText xml:space="preserve"> PAGEREF _Toc462865842 \h </w:instrText>
        </w:r>
        <w:r w:rsidR="00061F46">
          <w:rPr>
            <w:webHidden/>
          </w:rPr>
        </w:r>
        <w:r w:rsidR="00061F46">
          <w:rPr>
            <w:webHidden/>
          </w:rPr>
          <w:fldChar w:fldCharType="separate"/>
        </w:r>
        <w:r w:rsidR="00E3704D">
          <w:rPr>
            <w:webHidden/>
          </w:rPr>
          <w:t>49</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3" w:history="1">
        <w:r w:rsidR="00061F46" w:rsidRPr="002849FD">
          <w:rPr>
            <w:rStyle w:val="Hyperlink"/>
          </w:rPr>
          <w:t>5</w:t>
        </w:r>
        <w:r w:rsidR="00061F46">
          <w:rPr>
            <w:rFonts w:asciiTheme="minorHAnsi" w:eastAsiaTheme="minorEastAsia" w:hAnsiTheme="minorHAnsi"/>
            <w:spacing w:val="0"/>
            <w:sz w:val="22"/>
            <w:szCs w:val="22"/>
            <w:lang w:eastAsia="en-AU"/>
          </w:rPr>
          <w:tab/>
        </w:r>
        <w:r w:rsidR="00061F46" w:rsidRPr="002849FD">
          <w:rPr>
            <w:rStyle w:val="Hyperlink"/>
          </w:rPr>
          <w:t>Financing state operations</w:t>
        </w:r>
        <w:r w:rsidR="00061F46">
          <w:rPr>
            <w:webHidden/>
          </w:rPr>
          <w:tab/>
        </w:r>
        <w:r w:rsidR="00061F46">
          <w:rPr>
            <w:webHidden/>
          </w:rPr>
          <w:fldChar w:fldCharType="begin"/>
        </w:r>
        <w:r w:rsidR="00061F46">
          <w:rPr>
            <w:webHidden/>
          </w:rPr>
          <w:instrText xml:space="preserve"> PAGEREF _Toc462865843 \h </w:instrText>
        </w:r>
        <w:r w:rsidR="00061F46">
          <w:rPr>
            <w:webHidden/>
          </w:rPr>
        </w:r>
        <w:r w:rsidR="00061F46">
          <w:rPr>
            <w:webHidden/>
          </w:rPr>
          <w:fldChar w:fldCharType="separate"/>
        </w:r>
        <w:r w:rsidR="00E3704D">
          <w:rPr>
            <w:webHidden/>
          </w:rPr>
          <w:t>61</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4" w:history="1">
        <w:r w:rsidR="00061F46" w:rsidRPr="002849FD">
          <w:rPr>
            <w:rStyle w:val="Hyperlink"/>
          </w:rPr>
          <w:t>6</w:t>
        </w:r>
        <w:r w:rsidR="00061F46">
          <w:rPr>
            <w:rFonts w:asciiTheme="minorHAnsi" w:eastAsiaTheme="minorEastAsia" w:hAnsiTheme="minorHAnsi"/>
            <w:spacing w:val="0"/>
            <w:sz w:val="22"/>
            <w:szCs w:val="22"/>
            <w:lang w:eastAsia="en-AU"/>
          </w:rPr>
          <w:tab/>
        </w:r>
        <w:r w:rsidR="00061F46" w:rsidRPr="002849FD">
          <w:rPr>
            <w:rStyle w:val="Hyperlink"/>
          </w:rPr>
          <w:t>Other assets and liabilities</w:t>
        </w:r>
        <w:r w:rsidR="00061F46">
          <w:rPr>
            <w:webHidden/>
          </w:rPr>
          <w:tab/>
        </w:r>
        <w:r w:rsidR="00061F46">
          <w:rPr>
            <w:webHidden/>
          </w:rPr>
          <w:fldChar w:fldCharType="begin"/>
        </w:r>
        <w:r w:rsidR="00061F46">
          <w:rPr>
            <w:webHidden/>
          </w:rPr>
          <w:instrText xml:space="preserve"> PAGEREF _Toc462865844 \h </w:instrText>
        </w:r>
        <w:r w:rsidR="00061F46">
          <w:rPr>
            <w:webHidden/>
          </w:rPr>
        </w:r>
        <w:r w:rsidR="00061F46">
          <w:rPr>
            <w:webHidden/>
          </w:rPr>
          <w:fldChar w:fldCharType="separate"/>
        </w:r>
        <w:r w:rsidR="00E3704D">
          <w:rPr>
            <w:webHidden/>
          </w:rPr>
          <w:t>70</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5" w:history="1">
        <w:r w:rsidR="00061F46" w:rsidRPr="002849FD">
          <w:rPr>
            <w:rStyle w:val="Hyperlink"/>
          </w:rPr>
          <w:t>7</w:t>
        </w:r>
        <w:r w:rsidR="00061F46">
          <w:rPr>
            <w:rFonts w:asciiTheme="minorHAnsi" w:eastAsiaTheme="minorEastAsia" w:hAnsiTheme="minorHAnsi"/>
            <w:spacing w:val="0"/>
            <w:sz w:val="22"/>
            <w:szCs w:val="22"/>
            <w:lang w:eastAsia="en-AU"/>
          </w:rPr>
          <w:tab/>
        </w:r>
        <w:r w:rsidR="00061F46" w:rsidRPr="002849FD">
          <w:rPr>
            <w:rStyle w:val="Hyperlink"/>
          </w:rPr>
          <w:t>Risks, contingencies and valuation judgements</w:t>
        </w:r>
        <w:r w:rsidR="00061F46">
          <w:rPr>
            <w:webHidden/>
          </w:rPr>
          <w:tab/>
        </w:r>
        <w:r w:rsidR="00061F46">
          <w:rPr>
            <w:webHidden/>
          </w:rPr>
          <w:fldChar w:fldCharType="begin"/>
        </w:r>
        <w:r w:rsidR="00061F46">
          <w:rPr>
            <w:webHidden/>
          </w:rPr>
          <w:instrText xml:space="preserve"> PAGEREF _Toc462865845 \h </w:instrText>
        </w:r>
        <w:r w:rsidR="00061F46">
          <w:rPr>
            <w:webHidden/>
          </w:rPr>
        </w:r>
        <w:r w:rsidR="00061F46">
          <w:rPr>
            <w:webHidden/>
          </w:rPr>
          <w:fldChar w:fldCharType="separate"/>
        </w:r>
        <w:r w:rsidR="00E3704D">
          <w:rPr>
            <w:webHidden/>
          </w:rPr>
          <w:t>81</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6" w:history="1">
        <w:r w:rsidR="00061F46" w:rsidRPr="002849FD">
          <w:rPr>
            <w:rStyle w:val="Hyperlink"/>
          </w:rPr>
          <w:t>8</w:t>
        </w:r>
        <w:r w:rsidR="00061F46">
          <w:rPr>
            <w:rFonts w:asciiTheme="minorHAnsi" w:eastAsiaTheme="minorEastAsia" w:hAnsiTheme="minorHAnsi"/>
            <w:spacing w:val="0"/>
            <w:sz w:val="22"/>
            <w:szCs w:val="22"/>
            <w:lang w:eastAsia="en-AU"/>
          </w:rPr>
          <w:tab/>
        </w:r>
        <w:r w:rsidR="00061F46" w:rsidRPr="002849FD">
          <w:rPr>
            <w:rStyle w:val="Hyperlink"/>
          </w:rPr>
          <w:t>Comparison against budget and the public account</w:t>
        </w:r>
        <w:r w:rsidR="00061F46">
          <w:rPr>
            <w:webHidden/>
          </w:rPr>
          <w:tab/>
        </w:r>
        <w:r w:rsidR="00061F46">
          <w:rPr>
            <w:webHidden/>
          </w:rPr>
          <w:fldChar w:fldCharType="begin"/>
        </w:r>
        <w:r w:rsidR="00061F46">
          <w:rPr>
            <w:webHidden/>
          </w:rPr>
          <w:instrText xml:space="preserve"> PAGEREF _Toc462865846 \h </w:instrText>
        </w:r>
        <w:r w:rsidR="00061F46">
          <w:rPr>
            <w:webHidden/>
          </w:rPr>
        </w:r>
        <w:r w:rsidR="00061F46">
          <w:rPr>
            <w:webHidden/>
          </w:rPr>
          <w:fldChar w:fldCharType="separate"/>
        </w:r>
        <w:r w:rsidR="00E3704D">
          <w:rPr>
            <w:webHidden/>
          </w:rPr>
          <w:t>112</w:t>
        </w:r>
        <w:r w:rsidR="00061F46">
          <w:rPr>
            <w:webHidden/>
          </w:rPr>
          <w:fldChar w:fldCharType="end"/>
        </w:r>
      </w:hyperlink>
    </w:p>
    <w:p w:rsidR="00061F46" w:rsidRDefault="003A3C3D">
      <w:pPr>
        <w:pStyle w:val="TOC2"/>
        <w:rPr>
          <w:rFonts w:asciiTheme="minorHAnsi" w:eastAsiaTheme="minorEastAsia" w:hAnsiTheme="minorHAnsi"/>
          <w:spacing w:val="0"/>
          <w:sz w:val="22"/>
          <w:szCs w:val="22"/>
          <w:lang w:eastAsia="en-AU"/>
        </w:rPr>
      </w:pPr>
      <w:hyperlink w:anchor="_Toc462865847" w:history="1">
        <w:r w:rsidR="00061F46" w:rsidRPr="002849FD">
          <w:rPr>
            <w:rStyle w:val="Hyperlink"/>
          </w:rPr>
          <w:t>9</w:t>
        </w:r>
        <w:r w:rsidR="00061F46">
          <w:rPr>
            <w:rFonts w:asciiTheme="minorHAnsi" w:eastAsiaTheme="minorEastAsia" w:hAnsiTheme="minorHAnsi"/>
            <w:spacing w:val="0"/>
            <w:sz w:val="22"/>
            <w:szCs w:val="22"/>
            <w:lang w:eastAsia="en-AU"/>
          </w:rPr>
          <w:tab/>
        </w:r>
        <w:r w:rsidR="00061F46" w:rsidRPr="002849FD">
          <w:rPr>
            <w:rStyle w:val="Hyperlink"/>
          </w:rPr>
          <w:t>Other disclosures</w:t>
        </w:r>
        <w:r w:rsidR="00061F46">
          <w:rPr>
            <w:webHidden/>
          </w:rPr>
          <w:tab/>
        </w:r>
        <w:r w:rsidR="00061F46">
          <w:rPr>
            <w:webHidden/>
          </w:rPr>
          <w:fldChar w:fldCharType="begin"/>
        </w:r>
        <w:r w:rsidR="00061F46">
          <w:rPr>
            <w:webHidden/>
          </w:rPr>
          <w:instrText xml:space="preserve"> PAGEREF _Toc462865847 \h </w:instrText>
        </w:r>
        <w:r w:rsidR="00061F46">
          <w:rPr>
            <w:webHidden/>
          </w:rPr>
        </w:r>
        <w:r w:rsidR="00061F46">
          <w:rPr>
            <w:webHidden/>
          </w:rPr>
          <w:fldChar w:fldCharType="separate"/>
        </w:r>
        <w:r w:rsidR="00E3704D">
          <w:rPr>
            <w:webHidden/>
          </w:rPr>
          <w:t>135</w:t>
        </w:r>
        <w:r w:rsidR="00061F46">
          <w:rPr>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48" w:history="1">
        <w:r w:rsidR="00061F46" w:rsidRPr="002849FD">
          <w:rPr>
            <w:rStyle w:val="Hyperlink"/>
            <w:noProof/>
          </w:rPr>
          <w:t>Chapter 5 – Supplementary uniform presentation framework tables</w:t>
        </w:r>
        <w:r w:rsidR="00061F46">
          <w:rPr>
            <w:noProof/>
            <w:webHidden/>
          </w:rPr>
          <w:tab/>
        </w:r>
        <w:r w:rsidR="00061F46">
          <w:rPr>
            <w:noProof/>
            <w:webHidden/>
          </w:rPr>
          <w:fldChar w:fldCharType="begin"/>
        </w:r>
        <w:r w:rsidR="00061F46">
          <w:rPr>
            <w:noProof/>
            <w:webHidden/>
          </w:rPr>
          <w:instrText xml:space="preserve"> PAGEREF _Toc462865848 \h </w:instrText>
        </w:r>
        <w:r w:rsidR="00061F46">
          <w:rPr>
            <w:noProof/>
            <w:webHidden/>
          </w:rPr>
        </w:r>
        <w:r w:rsidR="00061F46">
          <w:rPr>
            <w:noProof/>
            <w:webHidden/>
          </w:rPr>
          <w:fldChar w:fldCharType="separate"/>
        </w:r>
        <w:r w:rsidR="00E3704D">
          <w:rPr>
            <w:noProof/>
            <w:webHidden/>
          </w:rPr>
          <w:t>157</w:t>
        </w:r>
        <w:r w:rsidR="00061F46">
          <w:rPr>
            <w:noProof/>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49" w:history="1">
        <w:r w:rsidR="00061F46" w:rsidRPr="002849FD">
          <w:rPr>
            <w:rStyle w:val="Hyperlink"/>
            <w:noProof/>
          </w:rPr>
          <w:t>Appendix A – General government sector quarterly financial report</w:t>
        </w:r>
        <w:r w:rsidR="00061F46">
          <w:rPr>
            <w:noProof/>
            <w:webHidden/>
          </w:rPr>
          <w:tab/>
        </w:r>
        <w:r w:rsidR="00061F46">
          <w:rPr>
            <w:noProof/>
            <w:webHidden/>
          </w:rPr>
          <w:fldChar w:fldCharType="begin"/>
        </w:r>
        <w:r w:rsidR="00061F46">
          <w:rPr>
            <w:noProof/>
            <w:webHidden/>
          </w:rPr>
          <w:instrText xml:space="preserve"> PAGEREF _Toc462865849 \h </w:instrText>
        </w:r>
        <w:r w:rsidR="00061F46">
          <w:rPr>
            <w:noProof/>
            <w:webHidden/>
          </w:rPr>
        </w:r>
        <w:r w:rsidR="00061F46">
          <w:rPr>
            <w:noProof/>
            <w:webHidden/>
          </w:rPr>
          <w:fldChar w:fldCharType="separate"/>
        </w:r>
        <w:r w:rsidR="00E3704D">
          <w:rPr>
            <w:noProof/>
            <w:webHidden/>
          </w:rPr>
          <w:t>167</w:t>
        </w:r>
        <w:r w:rsidR="00061F46">
          <w:rPr>
            <w:noProof/>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50" w:history="1">
        <w:r w:rsidR="00061F46" w:rsidRPr="002849FD">
          <w:rPr>
            <w:rStyle w:val="Hyperlink"/>
            <w:noProof/>
          </w:rPr>
          <w:t xml:space="preserve">Appendix B – </w:t>
        </w:r>
        <w:r w:rsidR="00061F46" w:rsidRPr="002849FD">
          <w:rPr>
            <w:rStyle w:val="Hyperlink"/>
            <w:i/>
            <w:noProof/>
          </w:rPr>
          <w:t>Financial Management Act 1994</w:t>
        </w:r>
        <w:r w:rsidR="00061F46" w:rsidRPr="002849FD">
          <w:rPr>
            <w:rStyle w:val="Hyperlink"/>
            <w:noProof/>
          </w:rPr>
          <w:t xml:space="preserve"> – Compliance index</w:t>
        </w:r>
        <w:r w:rsidR="00061F46">
          <w:rPr>
            <w:noProof/>
            <w:webHidden/>
          </w:rPr>
          <w:tab/>
        </w:r>
        <w:r w:rsidR="00061F46">
          <w:rPr>
            <w:noProof/>
            <w:webHidden/>
          </w:rPr>
          <w:fldChar w:fldCharType="begin"/>
        </w:r>
        <w:r w:rsidR="00061F46">
          <w:rPr>
            <w:noProof/>
            <w:webHidden/>
          </w:rPr>
          <w:instrText xml:space="preserve"> PAGEREF _Toc462865850 \h </w:instrText>
        </w:r>
        <w:r w:rsidR="00061F46">
          <w:rPr>
            <w:noProof/>
            <w:webHidden/>
          </w:rPr>
        </w:r>
        <w:r w:rsidR="00061F46">
          <w:rPr>
            <w:noProof/>
            <w:webHidden/>
          </w:rPr>
          <w:fldChar w:fldCharType="separate"/>
        </w:r>
        <w:r w:rsidR="00E3704D">
          <w:rPr>
            <w:noProof/>
            <w:webHidden/>
          </w:rPr>
          <w:t>171</w:t>
        </w:r>
        <w:r w:rsidR="00061F46">
          <w:rPr>
            <w:noProof/>
            <w:webHidden/>
          </w:rPr>
          <w:fldChar w:fldCharType="end"/>
        </w:r>
      </w:hyperlink>
    </w:p>
    <w:p w:rsidR="00061F46" w:rsidRDefault="003A3C3D">
      <w:pPr>
        <w:pStyle w:val="TOC1"/>
        <w:rPr>
          <w:rFonts w:asciiTheme="minorHAnsi" w:eastAsiaTheme="minorEastAsia" w:hAnsiTheme="minorHAnsi"/>
          <w:b w:val="0"/>
          <w:noProof/>
          <w:spacing w:val="0"/>
          <w:szCs w:val="22"/>
          <w:lang w:eastAsia="en-AU"/>
        </w:rPr>
      </w:pPr>
      <w:hyperlink w:anchor="_Toc462865851" w:history="1">
        <w:r w:rsidR="00061F46" w:rsidRPr="002849FD">
          <w:rPr>
            <w:rStyle w:val="Hyperlink"/>
            <w:noProof/>
          </w:rPr>
          <w:t>Style conventions</w:t>
        </w:r>
        <w:r w:rsidR="00061F46">
          <w:rPr>
            <w:noProof/>
            <w:webHidden/>
          </w:rPr>
          <w:tab/>
        </w:r>
        <w:r w:rsidR="00061F46">
          <w:rPr>
            <w:noProof/>
            <w:webHidden/>
          </w:rPr>
          <w:fldChar w:fldCharType="begin"/>
        </w:r>
        <w:r w:rsidR="00061F46">
          <w:rPr>
            <w:noProof/>
            <w:webHidden/>
          </w:rPr>
          <w:instrText xml:space="preserve"> PAGEREF _Toc462865851 \h </w:instrText>
        </w:r>
        <w:r w:rsidR="00061F46">
          <w:rPr>
            <w:noProof/>
            <w:webHidden/>
          </w:rPr>
        </w:r>
        <w:r w:rsidR="00061F46">
          <w:rPr>
            <w:noProof/>
            <w:webHidden/>
          </w:rPr>
          <w:fldChar w:fldCharType="separate"/>
        </w:r>
        <w:r w:rsidR="00E3704D">
          <w:rPr>
            <w:noProof/>
            <w:webHidden/>
          </w:rPr>
          <w:t>175</w:t>
        </w:r>
        <w:r w:rsidR="00061F46">
          <w:rPr>
            <w:noProof/>
            <w:webHidden/>
          </w:rPr>
          <w:fldChar w:fldCharType="end"/>
        </w:r>
      </w:hyperlink>
    </w:p>
    <w:p w:rsidR="00DF17E9" w:rsidRDefault="00DF17E9" w:rsidP="00B12393">
      <w:r>
        <w:rPr>
          <w:b/>
          <w:bCs/>
          <w:noProof/>
          <w:lang w:val="en-US"/>
        </w:rPr>
        <w:fldChar w:fldCharType="end"/>
      </w:r>
    </w:p>
    <w:p w:rsidR="00DF17E9" w:rsidRDefault="00DF17E9" w:rsidP="001D40F4"/>
    <w:p w:rsidR="00DF17E9" w:rsidRDefault="00DF17E9" w:rsidP="001D40F4">
      <w:pPr>
        <w:sectPr w:rsidR="00DF17E9" w:rsidSect="00AD5BA9">
          <w:type w:val="oddPage"/>
          <w:pgSz w:w="11906" w:h="16838" w:code="9"/>
          <w:pgMar w:top="1134" w:right="1134" w:bottom="1134" w:left="1134" w:header="624" w:footer="567" w:gutter="0"/>
          <w:cols w:space="708"/>
          <w:docGrid w:linePitch="360"/>
        </w:sectPr>
      </w:pPr>
    </w:p>
    <w:p w:rsidR="00DF17E9" w:rsidRPr="000D5949" w:rsidRDefault="00DF17E9" w:rsidP="00044843">
      <w:pPr>
        <w:pStyle w:val="Chapterheading"/>
      </w:pPr>
      <w:bookmarkStart w:id="1" w:name="_Toc462865835"/>
      <w:r>
        <w:lastRenderedPageBreak/>
        <w:t>Chapter 1 – Foreword</w:t>
      </w:r>
      <w:bookmarkEnd w:id="1"/>
    </w:p>
    <w:p w:rsidR="00DF17E9" w:rsidRPr="000D5949" w:rsidRDefault="00DF17E9" w:rsidP="006125C9">
      <w:pPr>
        <w:sectPr w:rsidR="00DF17E9" w:rsidRPr="000D5949" w:rsidSect="00F71BE6">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1134" w:right="1134" w:bottom="1134" w:left="1134" w:header="624" w:footer="567" w:gutter="0"/>
          <w:pgNumType w:start="1"/>
          <w:cols w:space="708"/>
          <w:docGrid w:linePitch="360"/>
        </w:sectPr>
      </w:pPr>
    </w:p>
    <w:p w:rsidR="00DF17E9" w:rsidRDefault="00DF17E9" w:rsidP="00044843">
      <w:pPr>
        <w:pStyle w:val="Subheadingunderline"/>
      </w:pPr>
      <w:r>
        <w:lastRenderedPageBreak/>
        <w:t>Purpose</w:t>
      </w:r>
    </w:p>
    <w:p w:rsidR="00DF17E9" w:rsidRDefault="00DF17E9" w:rsidP="00044843">
      <w:pPr>
        <w:spacing w:after="100" w:line="257" w:lineRule="auto"/>
      </w:pPr>
      <w:r>
        <w:t xml:space="preserve">The </w:t>
      </w:r>
      <w:r w:rsidRPr="00F0409B">
        <w:rPr>
          <w:i/>
        </w:rPr>
        <w:t>201</w:t>
      </w:r>
      <w:r>
        <w:rPr>
          <w:i/>
        </w:rPr>
        <w:t>5</w:t>
      </w:r>
      <w:r w:rsidRPr="00F0409B">
        <w:rPr>
          <w:i/>
        </w:rPr>
        <w:t>-1</w:t>
      </w:r>
      <w:r>
        <w:rPr>
          <w:i/>
        </w:rPr>
        <w:t>6</w:t>
      </w:r>
      <w:r w:rsidRPr="00F0409B">
        <w:rPr>
          <w:i/>
        </w:rPr>
        <w:t xml:space="preserve"> Financial Report</w:t>
      </w:r>
      <w:r>
        <w:t xml:space="preserve"> presents the consolidated financial outcomes for the State of Victoria, including the general government sector, the public non-financial corporations sector and the public financial corporations sector.</w:t>
      </w:r>
    </w:p>
    <w:p w:rsidR="00DF17E9" w:rsidRDefault="00DF17E9" w:rsidP="00044843">
      <w:pPr>
        <w:spacing w:after="100" w:line="257" w:lineRule="auto"/>
      </w:pPr>
      <w:r>
        <w:t xml:space="preserve">This chapter outlines the economic and fiscal context for the State’s financial performance and position, and summarises the 2015-16 results. Chapter 2 analyses the results for the general government sector, comparing them with the revised estimates for the year presented in the </w:t>
      </w:r>
      <w:r w:rsidRPr="00F0409B">
        <w:rPr>
          <w:i/>
        </w:rPr>
        <w:t>201</w:t>
      </w:r>
      <w:r>
        <w:rPr>
          <w:i/>
        </w:rPr>
        <w:t>6</w:t>
      </w:r>
      <w:r w:rsidRPr="00F0409B">
        <w:rPr>
          <w:i/>
        </w:rPr>
        <w:noBreakHyphen/>
        <w:t>1</w:t>
      </w:r>
      <w:r>
        <w:rPr>
          <w:i/>
        </w:rPr>
        <w:t>7</w:t>
      </w:r>
      <w:r w:rsidRPr="00F0409B">
        <w:rPr>
          <w:i/>
        </w:rPr>
        <w:t xml:space="preserve"> Budget</w:t>
      </w:r>
      <w:r>
        <w:t>. Chapter 3 presents the 2015-16 results for the State of Victoria.</w:t>
      </w:r>
    </w:p>
    <w:p w:rsidR="00DF17E9" w:rsidRDefault="00DF17E9" w:rsidP="00044843">
      <w:pPr>
        <w:spacing w:after="100" w:line="257" w:lineRule="auto"/>
      </w:pPr>
      <w:r>
        <w:t xml:space="preserve">Chapter 4 contains the audited financial statements as required under the </w:t>
      </w:r>
      <w:r w:rsidRPr="00F0409B">
        <w:rPr>
          <w:i/>
        </w:rPr>
        <w:t>Financial Management Act 1994</w:t>
      </w:r>
      <w:r>
        <w:t xml:space="preserve">. These are presented in line with applicable Australian accounting standards and pronouncements, in particular AASB 1049 </w:t>
      </w:r>
      <w:r w:rsidRPr="00F0409B">
        <w:rPr>
          <w:i/>
        </w:rPr>
        <w:t>Whole of Government and General Government Sector Financial Reporting</w:t>
      </w:r>
      <w:r>
        <w:t xml:space="preserve">. </w:t>
      </w:r>
    </w:p>
    <w:p w:rsidR="00DF17E9" w:rsidRDefault="00DF17E9" w:rsidP="00044843">
      <w:pPr>
        <w:spacing w:after="100" w:line="257" w:lineRule="auto"/>
      </w:pPr>
      <w:r w:rsidRPr="004252A3">
        <w:t>The 2015-16 financial statements have also been streamlined consistent with contemporary financial reporting practice. This improves clarity</w:t>
      </w:r>
      <w:r>
        <w:t xml:space="preserve"> for</w:t>
      </w:r>
      <w:r w:rsidRPr="004252A3">
        <w:t xml:space="preserve"> users and better reflects the State’s financial operations, position and performance.</w:t>
      </w:r>
    </w:p>
    <w:p w:rsidR="00DF17E9" w:rsidRDefault="00DF17E9" w:rsidP="00044843">
      <w:pPr>
        <w:spacing w:after="100" w:line="257" w:lineRule="auto"/>
      </w:pPr>
      <w:r>
        <w:t xml:space="preserve">Chapter 5 provides supplementary information required under the Uniform Presentation Framework, as agreed under the Australian Loan Council arrangements. Appendix A includes the Quarterly Financial Report for the general government sector as required by Section 26 of the </w:t>
      </w:r>
      <w:r w:rsidRPr="00F0409B">
        <w:rPr>
          <w:i/>
        </w:rPr>
        <w:t>Financial Management Act 1994</w:t>
      </w:r>
      <w:r>
        <w:t>.</w:t>
      </w:r>
    </w:p>
    <w:p w:rsidR="00DF17E9" w:rsidRDefault="00DF17E9" w:rsidP="00BE069A">
      <w:pPr>
        <w:pStyle w:val="Subheadingunderline"/>
        <w:spacing w:line="262" w:lineRule="auto"/>
      </w:pPr>
      <w:r>
        <w:t>Economic context</w:t>
      </w:r>
    </w:p>
    <w:p w:rsidR="00DF17E9" w:rsidRDefault="00DF17E9" w:rsidP="00044843">
      <w:pPr>
        <w:spacing w:after="100" w:line="257" w:lineRule="auto"/>
      </w:pPr>
      <w:r w:rsidRPr="00E27F47">
        <w:t>Victoria’s economy grew st</w:t>
      </w:r>
      <w:r>
        <w:t>rongly</w:t>
      </w:r>
      <w:r w:rsidRPr="00E27F47">
        <w:t xml:space="preserve"> in 2015-16 as the national economy transitioned from the mining investment boom and local activity benefited from a lower exchange rate</w:t>
      </w:r>
      <w:r>
        <w:t xml:space="preserve">. </w:t>
      </w:r>
    </w:p>
    <w:p w:rsidR="00044843" w:rsidRDefault="00DF17E9" w:rsidP="00044843">
      <w:pPr>
        <w:spacing w:after="100" w:line="257" w:lineRule="auto"/>
      </w:pPr>
      <w:r w:rsidRPr="00E27F47">
        <w:t xml:space="preserve">State final demand grew by </w:t>
      </w:r>
      <w:r>
        <w:t xml:space="preserve">4.0 per cent </w:t>
      </w:r>
      <w:r w:rsidRPr="00E27F47">
        <w:t xml:space="preserve">in 2015-16. This </w:t>
      </w:r>
      <w:r>
        <w:t xml:space="preserve">strong </w:t>
      </w:r>
      <w:r w:rsidRPr="00E27F47">
        <w:t>growth was underpinned by household consumption</w:t>
      </w:r>
      <w:r>
        <w:t xml:space="preserve"> and dwelling </w:t>
      </w:r>
      <w:r w:rsidRPr="00E27F47">
        <w:t xml:space="preserve">construction. </w:t>
      </w:r>
    </w:p>
    <w:p w:rsidR="00DF17E9" w:rsidRDefault="00044843" w:rsidP="00044843">
      <w:pPr>
        <w:spacing w:after="100" w:line="257" w:lineRule="auto"/>
      </w:pPr>
      <w:r>
        <w:br w:type="column"/>
      </w:r>
      <w:r w:rsidR="00DF17E9">
        <w:lastRenderedPageBreak/>
        <w:t xml:space="preserve">The growth in demand was assisted by the </w:t>
      </w:r>
      <w:r w:rsidR="00DF17E9" w:rsidRPr="00E27F47">
        <w:t>low interest rate environment as well as rising property prices</w:t>
      </w:r>
      <w:r w:rsidR="00DF17E9">
        <w:t>.</w:t>
      </w:r>
    </w:p>
    <w:p w:rsidR="00DF17E9" w:rsidRDefault="00DF17E9" w:rsidP="00044843">
      <w:pPr>
        <w:spacing w:after="100" w:line="257" w:lineRule="auto"/>
      </w:pPr>
      <w:r w:rsidRPr="00FC4341">
        <w:t xml:space="preserve">Demand for new housing </w:t>
      </w:r>
      <w:r>
        <w:t>led to increased construction and</w:t>
      </w:r>
      <w:r w:rsidRPr="00FC4341">
        <w:t xml:space="preserve"> rising property prices. Residential building </w:t>
      </w:r>
      <w:r>
        <w:t xml:space="preserve">activity </w:t>
      </w:r>
      <w:r w:rsidRPr="00FC4341">
        <w:t xml:space="preserve">remained at elevated levels with </w:t>
      </w:r>
      <w:r>
        <w:t>continuing</w:t>
      </w:r>
      <w:r w:rsidRPr="00FC4341">
        <w:t xml:space="preserve"> strong inner city apartment construction. As a result, dwelling investment rose by </w:t>
      </w:r>
      <w:r>
        <w:t>11.2 per</w:t>
      </w:r>
      <w:r w:rsidR="00044843">
        <w:t xml:space="preserve"> </w:t>
      </w:r>
      <w:r>
        <w:t xml:space="preserve">cent </w:t>
      </w:r>
      <w:r w:rsidRPr="00FC4341">
        <w:t>in 2015-16.</w:t>
      </w:r>
    </w:p>
    <w:p w:rsidR="00DF17E9" w:rsidRDefault="00DF17E9" w:rsidP="00044843">
      <w:pPr>
        <w:spacing w:after="100" w:line="257" w:lineRule="auto"/>
      </w:pPr>
      <w:r>
        <w:t>Underlying b</w:t>
      </w:r>
      <w:r w:rsidRPr="00E27F47">
        <w:t xml:space="preserve">usiness investment activity strengthened </w:t>
      </w:r>
      <w:r>
        <w:t>by 3.9 per cent</w:t>
      </w:r>
      <w:r w:rsidRPr="00E27F47">
        <w:t xml:space="preserve"> in 2015</w:t>
      </w:r>
      <w:r w:rsidRPr="00E27F47">
        <w:noBreakHyphen/>
        <w:t>16</w:t>
      </w:r>
      <w:r>
        <w:t xml:space="preserve">. </w:t>
      </w:r>
    </w:p>
    <w:p w:rsidR="00DF17E9" w:rsidRDefault="00DF17E9" w:rsidP="00044843">
      <w:pPr>
        <w:spacing w:after="100" w:line="257" w:lineRule="auto"/>
      </w:pPr>
      <w:r>
        <w:t>Underlying state and local government investment increased by 3.4 per cent in 2015</w:t>
      </w:r>
      <w:r>
        <w:noBreakHyphen/>
        <w:t xml:space="preserve">16. </w:t>
      </w:r>
    </w:p>
    <w:p w:rsidR="00DF17E9" w:rsidRDefault="00DF17E9" w:rsidP="00044843">
      <w:pPr>
        <w:spacing w:after="100" w:line="257" w:lineRule="auto"/>
      </w:pPr>
      <w:r w:rsidRPr="00EF293E">
        <w:t>Victorian employment rose by 2.4 per cent in 2015</w:t>
      </w:r>
      <w:r w:rsidRPr="00EF293E">
        <w:noBreakHyphen/>
        <w:t>16, slightly above the national average of 2.2 per cent. Full-time job creation accelerated to 2.2 per cent in 2015-16, up from an annual average of 0.3 per cent over the preceding four years. Part</w:t>
      </w:r>
      <w:r w:rsidRPr="00EF293E">
        <w:noBreakHyphen/>
        <w:t>time employment increased by 2.6 per cent.</w:t>
      </w:r>
      <w:r w:rsidRPr="00EF293E">
        <w:rPr>
          <w:rFonts w:ascii="Arial" w:hAnsi="Arial" w:cs="Arial"/>
          <w:color w:val="000000"/>
          <w:sz w:val="24"/>
          <w:szCs w:val="24"/>
        </w:rPr>
        <w:t xml:space="preserve"> </w:t>
      </w:r>
      <w:r w:rsidRPr="00EF293E">
        <w:t>On average, the Victorian unemployment rate was 5.9 per cent in 2015-16, down from an average of 6.4 per cent in 2014-15.  Growth in both full-time and total employment was the strongest since 2010</w:t>
      </w:r>
      <w:r w:rsidRPr="00EF293E">
        <w:noBreakHyphen/>
        <w:t>11.</w:t>
      </w:r>
    </w:p>
    <w:p w:rsidR="00DF17E9" w:rsidRPr="00264FC2" w:rsidRDefault="00DF17E9" w:rsidP="00044843">
      <w:pPr>
        <w:spacing w:after="100" w:line="257" w:lineRule="auto"/>
      </w:pPr>
      <w:r w:rsidRPr="00D2028B">
        <w:t>Victoria</w:t>
      </w:r>
      <w:r>
        <w:t>’s</w:t>
      </w:r>
      <w:r w:rsidRPr="00D2028B">
        <w:t xml:space="preserve"> </w:t>
      </w:r>
      <w:r>
        <w:t>population growth rose by 1.9 per cent over the year to</w:t>
      </w:r>
      <w:r w:rsidRPr="00264FC2">
        <w:t xml:space="preserve"> March 2016</w:t>
      </w:r>
      <w:r w:rsidRPr="00D2028B">
        <w:t>. Net overseas migration was the largest contributor to growth</w:t>
      </w:r>
      <w:r>
        <w:t xml:space="preserve"> followed by natural increase and net interstate migration</w:t>
      </w:r>
      <w:r w:rsidRPr="00D2028B">
        <w:t xml:space="preserve">. </w:t>
      </w:r>
      <w:r w:rsidRPr="00264FC2">
        <w:t>This is the fastest population growth for Victoria since 2009</w:t>
      </w:r>
      <w:r>
        <w:t>, lifting Victoria’s population above 6 million people.</w:t>
      </w:r>
    </w:p>
    <w:p w:rsidR="00DF17E9" w:rsidRDefault="00DF17E9" w:rsidP="00044843">
      <w:pPr>
        <w:spacing w:after="100" w:line="257" w:lineRule="auto"/>
      </w:pPr>
      <w:r>
        <w:t>On average, t</w:t>
      </w:r>
      <w:r w:rsidRPr="00275402">
        <w:t xml:space="preserve">he exchange rate </w:t>
      </w:r>
      <w:r>
        <w:t>fluctuated in a narrow band and finished the year slightly lower</w:t>
      </w:r>
      <w:r w:rsidRPr="00275402">
        <w:t>, providing relief to Victorian exporters and import competing industries.</w:t>
      </w:r>
    </w:p>
    <w:p w:rsidR="00DF17E9" w:rsidRDefault="00DF17E9" w:rsidP="00044843">
      <w:pPr>
        <w:spacing w:after="100" w:line="257" w:lineRule="auto"/>
      </w:pPr>
      <w:r w:rsidRPr="00FC4341">
        <w:t xml:space="preserve">Victoria has maintained its triple-A credit rating </w:t>
      </w:r>
      <w:r>
        <w:t xml:space="preserve">from both Moody’s and Standard &amp; Poor’s. Standard &amp; Poor’s recognised the </w:t>
      </w:r>
      <w:r w:rsidR="0079563F">
        <w:t xml:space="preserve">State’s </w:t>
      </w:r>
      <w:r>
        <w:t>strong economy and fiscal position together with its exceptional liquidity. However, Standard &amp; Poor’s has placed a negative</w:t>
      </w:r>
      <w:r w:rsidRPr="00FC4341">
        <w:t xml:space="preserve"> outlook </w:t>
      </w:r>
      <w:r>
        <w:t>on Victoria’s credit rating r</w:t>
      </w:r>
      <w:r w:rsidRPr="00275402">
        <w:t>eflect</w:t>
      </w:r>
      <w:r>
        <w:t>ing</w:t>
      </w:r>
      <w:r w:rsidRPr="00275402">
        <w:t xml:space="preserve"> </w:t>
      </w:r>
      <w:r>
        <w:t xml:space="preserve">a one in three chance </w:t>
      </w:r>
      <w:r w:rsidRPr="00275402">
        <w:t>that the Commonwealth of Australia might be downgraded within the next 12 to 24 months</w:t>
      </w:r>
      <w:r>
        <w:t>.</w:t>
      </w:r>
    </w:p>
    <w:p w:rsidR="00DF17E9" w:rsidRDefault="00DF17E9" w:rsidP="00BE069A">
      <w:pPr>
        <w:pStyle w:val="Subheadingunderline"/>
        <w:spacing w:line="262" w:lineRule="auto"/>
      </w:pPr>
      <w:r>
        <w:lastRenderedPageBreak/>
        <w:t>Fiscal outcomes</w:t>
      </w:r>
    </w:p>
    <w:p w:rsidR="00DF17E9" w:rsidRDefault="00DF17E9" w:rsidP="00BE069A">
      <w:pPr>
        <w:spacing w:line="262" w:lineRule="auto"/>
      </w:pPr>
      <w:r w:rsidRPr="00DF4C93">
        <w:t>The net result from transactions for the general government sector was a surplus of $2.</w:t>
      </w:r>
      <w:r>
        <w:t>7</w:t>
      </w:r>
      <w:r w:rsidRPr="00DF4C93">
        <w:t xml:space="preserve"> billion in 2015-16, $</w:t>
      </w:r>
      <w:r>
        <w:t>776</w:t>
      </w:r>
      <w:r w:rsidRPr="00DF4C93">
        <w:t xml:space="preserve"> </w:t>
      </w:r>
      <w:r>
        <w:t>m</w:t>
      </w:r>
      <w:r w:rsidRPr="00DF4C93">
        <w:t>illion higher than the revised estimate for the year.</w:t>
      </w:r>
      <w:r w:rsidRPr="006C75F9">
        <w:t xml:space="preserve"> Victoria continues to forecast strong surpluses every year over the budget and forward estimates period.</w:t>
      </w:r>
    </w:p>
    <w:p w:rsidR="00DF17E9" w:rsidRPr="00CE7A59" w:rsidRDefault="00DF17E9" w:rsidP="00BE069A">
      <w:pPr>
        <w:spacing w:line="262" w:lineRule="auto"/>
      </w:pPr>
      <w:r w:rsidRPr="00987F6D">
        <w:t>Total revenue from transactions for the general government sector for the year was $56.</w:t>
      </w:r>
      <w:r>
        <w:t>7</w:t>
      </w:r>
      <w:r w:rsidRPr="00987F6D">
        <w:t xml:space="preserve"> billion, which was marginally above the revised estimate and $2.</w:t>
      </w:r>
      <w:r>
        <w:t>9</w:t>
      </w:r>
      <w:r w:rsidRPr="00987F6D">
        <w:t xml:space="preserve"> billion higher than 2014-15. State taxation revenue was $19.9 billion in 2015-16,</w:t>
      </w:r>
      <w:r>
        <w:t xml:space="preserve"> slightly lower than the revised </w:t>
      </w:r>
      <w:r w:rsidRPr="003666F9">
        <w:t xml:space="preserve">estimate and around $1.6 billion </w:t>
      </w:r>
      <w:r>
        <w:t>higher</w:t>
      </w:r>
      <w:r w:rsidRPr="003666F9">
        <w:t xml:space="preserve"> than in 2014-15. This was mainly due to </w:t>
      </w:r>
      <w:r>
        <w:t xml:space="preserve">an increase in </w:t>
      </w:r>
      <w:r w:rsidRPr="003666F9">
        <w:t xml:space="preserve">land transfer duty </w:t>
      </w:r>
      <w:r>
        <w:t xml:space="preserve">of </w:t>
      </w:r>
      <w:r w:rsidRPr="003666F9">
        <w:t xml:space="preserve">$901 million </w:t>
      </w:r>
      <w:r w:rsidRPr="008E1FCC">
        <w:t>on the back of</w:t>
      </w:r>
      <w:r w:rsidRPr="003666F9">
        <w:t xml:space="preserve"> continued strength in the property market. In addition, payroll tax collections increased by $23</w:t>
      </w:r>
      <w:r>
        <w:t>0</w:t>
      </w:r>
      <w:r w:rsidRPr="003666F9">
        <w:t xml:space="preserve"> million, </w:t>
      </w:r>
      <w:r w:rsidRPr="00CE7A59">
        <w:t>reflecting growth in aggregate employment and wages over 2015-16.</w:t>
      </w:r>
    </w:p>
    <w:p w:rsidR="00DF17E9" w:rsidRPr="00615587" w:rsidRDefault="00DF17E9" w:rsidP="00BE069A">
      <w:pPr>
        <w:spacing w:line="262" w:lineRule="auto"/>
      </w:pPr>
      <w:r w:rsidRPr="00615587">
        <w:t xml:space="preserve">Grants revenue for the general government sector was </w:t>
      </w:r>
      <w:r>
        <w:t xml:space="preserve">$903 million higher than last year, but </w:t>
      </w:r>
      <w:r w:rsidRPr="00615587">
        <w:t>consistent with revised budget expectations.</w:t>
      </w:r>
    </w:p>
    <w:p w:rsidR="00DF17E9" w:rsidRDefault="00DF17E9" w:rsidP="00BE069A">
      <w:pPr>
        <w:spacing w:line="262" w:lineRule="auto"/>
      </w:pPr>
      <w:r w:rsidRPr="005B2667">
        <w:t>Other revenue in 2015</w:t>
      </w:r>
      <w:r w:rsidRPr="005B2667">
        <w:noBreakHyphen/>
        <w:t>16 was around $</w:t>
      </w:r>
      <w:r>
        <w:t>280</w:t>
      </w:r>
      <w:r w:rsidRPr="005B2667">
        <w:t> million higher than the revised budget estimate</w:t>
      </w:r>
      <w:r>
        <w:t>. The variance was</w:t>
      </w:r>
      <w:r w:rsidRPr="005B2667">
        <w:t xml:space="preserve"> mainly from higher revenue than anticipated in hospitals and health services.</w:t>
      </w:r>
    </w:p>
    <w:p w:rsidR="00DF17E9" w:rsidRPr="00615587" w:rsidRDefault="00DF17E9" w:rsidP="00BE069A">
      <w:pPr>
        <w:spacing w:line="262" w:lineRule="auto"/>
      </w:pPr>
      <w:r w:rsidRPr="00615587">
        <w:t xml:space="preserve">Compared to the </w:t>
      </w:r>
      <w:r>
        <w:t xml:space="preserve">same time last </w:t>
      </w:r>
      <w:r w:rsidRPr="00615587">
        <w:t>year, other revenue has increased by $6</w:t>
      </w:r>
      <w:r>
        <w:t>00</w:t>
      </w:r>
      <w:r w:rsidRPr="00615587">
        <w:t xml:space="preserve"> million</w:t>
      </w:r>
      <w:r>
        <w:t xml:space="preserve">. This was </w:t>
      </w:r>
      <w:r w:rsidRPr="00615587">
        <w:t xml:space="preserve">mainly attributable </w:t>
      </w:r>
      <w:r w:rsidRPr="009854A6">
        <w:t>to the one</w:t>
      </w:r>
      <w:r w:rsidRPr="009854A6">
        <w:noBreakHyphen/>
        <w:t>off revenue</w:t>
      </w:r>
      <w:r w:rsidRPr="00615587">
        <w:t xml:space="preserve"> </w:t>
      </w:r>
      <w:r>
        <w:t xml:space="preserve">from </w:t>
      </w:r>
      <w:r w:rsidRPr="00615587">
        <w:t xml:space="preserve">the High Court of Australia’s decision to overturn the Court of Appeal’s previous decision relating to Tatts </w:t>
      </w:r>
      <w:r w:rsidRPr="00615587">
        <w:lastRenderedPageBreak/>
        <w:t>Group Limited’s (Tatts) ‘Gambling Licenses’ proceedings</w:t>
      </w:r>
      <w:r>
        <w:t>. This resulted in an additional $541 </w:t>
      </w:r>
      <w:r w:rsidRPr="00615587">
        <w:t xml:space="preserve">million of revenue </w:t>
      </w:r>
      <w:r>
        <w:t xml:space="preserve">plus interest </w:t>
      </w:r>
      <w:r w:rsidRPr="00615587">
        <w:t>recorded for the financial year.</w:t>
      </w:r>
    </w:p>
    <w:p w:rsidR="00DF17E9" w:rsidRDefault="00DF17E9" w:rsidP="00BE069A">
      <w:pPr>
        <w:spacing w:line="262" w:lineRule="auto"/>
      </w:pPr>
      <w:r w:rsidRPr="00615587">
        <w:t>Total expenses for the general government sector for the year were $54.</w:t>
      </w:r>
      <w:r>
        <w:t>1</w:t>
      </w:r>
      <w:r w:rsidRPr="00615587">
        <w:t xml:space="preserve"> billion, </w:t>
      </w:r>
      <w:r>
        <w:t>$530 million less than the revised 2015</w:t>
      </w:r>
      <w:r>
        <w:noBreakHyphen/>
        <w:t xml:space="preserve">16 estimate and </w:t>
      </w:r>
      <w:r w:rsidRPr="00615587">
        <w:t xml:space="preserve">$1.5 billion more than in 2014-15. </w:t>
      </w:r>
      <w:r>
        <w:t xml:space="preserve">Total expenses were </w:t>
      </w:r>
      <w:r w:rsidRPr="001B3DF6">
        <w:t>$530</w:t>
      </w:r>
      <w:r>
        <w:t> </w:t>
      </w:r>
      <w:r w:rsidRPr="001B3DF6">
        <w:t>million less than the revised 2015-16 estimate</w:t>
      </w:r>
      <w:r>
        <w:t xml:space="preserve"> </w:t>
      </w:r>
      <w:r w:rsidRPr="001B3DF6">
        <w:t xml:space="preserve">primarily due to the unexpected underspend across departments and the </w:t>
      </w:r>
      <w:proofErr w:type="spellStart"/>
      <w:r w:rsidRPr="001B3DF6">
        <w:t>rephasing</w:t>
      </w:r>
      <w:proofErr w:type="spellEnd"/>
      <w:r w:rsidRPr="001B3DF6">
        <w:t xml:space="preserve"> of the transfer of the Australian Synchrotron to the Commonwealth Government, which is expected to occur in 2016</w:t>
      </w:r>
      <w:r>
        <w:noBreakHyphen/>
      </w:r>
      <w:r w:rsidRPr="001B3DF6">
        <w:t>17.</w:t>
      </w:r>
    </w:p>
    <w:p w:rsidR="00DF17E9" w:rsidRDefault="00DF17E9" w:rsidP="00BE069A">
      <w:pPr>
        <w:spacing w:line="262" w:lineRule="auto"/>
      </w:pPr>
      <w:r>
        <w:t>The increase in total expenses from 2014</w:t>
      </w:r>
      <w:r>
        <w:noBreakHyphen/>
        <w:t xml:space="preserve">15 was </w:t>
      </w:r>
      <w:r w:rsidRPr="00203342">
        <w:t>mainly attributable to</w:t>
      </w:r>
      <w:r>
        <w:t xml:space="preserve"> increased service delivery in the health, education and police sectors as well as salary growth consistent with wages policy.</w:t>
      </w:r>
    </w:p>
    <w:p w:rsidR="00DF17E9" w:rsidRDefault="00DF17E9" w:rsidP="00BE069A">
      <w:pPr>
        <w:spacing w:line="262" w:lineRule="auto"/>
      </w:pPr>
      <w:r w:rsidRPr="006C75F9">
        <w:t>The Government infrastructure investment, which includes general government net infrastructure investment and estimated cash outflows for Partnership Victoria projects (net of asset sales), was $4.7 billion for 2015</w:t>
      </w:r>
      <w:r w:rsidRPr="006C75F9">
        <w:noBreakHyphen/>
        <w:t>16. This is a</w:t>
      </w:r>
      <w:r>
        <w:t xml:space="preserve">n increase of </w:t>
      </w:r>
      <w:r w:rsidR="00D25EDB">
        <w:t>$260</w:t>
      </w:r>
      <w:r w:rsidRPr="006C75F9">
        <w:t xml:space="preserve"> million compared </w:t>
      </w:r>
      <w:r>
        <w:t xml:space="preserve">with </w:t>
      </w:r>
      <w:r w:rsidRPr="006C75F9">
        <w:t xml:space="preserve">the revised budget, </w:t>
      </w:r>
      <w:r>
        <w:t xml:space="preserve">mainly reflecting higher than expected </w:t>
      </w:r>
      <w:r w:rsidRPr="006C75F9">
        <w:t>health sector</w:t>
      </w:r>
      <w:r>
        <w:t xml:space="preserve"> capital spend</w:t>
      </w:r>
      <w:r w:rsidRPr="006C75F9">
        <w:t>.</w:t>
      </w:r>
    </w:p>
    <w:p w:rsidR="00DF17E9" w:rsidRPr="00E521BF" w:rsidRDefault="00DF17E9" w:rsidP="00BE069A">
      <w:pPr>
        <w:spacing w:line="262" w:lineRule="auto"/>
      </w:pPr>
      <w:r w:rsidRPr="00ED75E4">
        <w:t xml:space="preserve">Net debt for the general government sector </w:t>
      </w:r>
      <w:r>
        <w:t>was</w:t>
      </w:r>
      <w:r w:rsidRPr="00ED75E4">
        <w:t xml:space="preserve"> $22.3 billion, or 5.9 per cent of </w:t>
      </w:r>
      <w:r>
        <w:t xml:space="preserve">gross state product </w:t>
      </w:r>
      <w:r w:rsidRPr="00ED75E4">
        <w:t>at 30</w:t>
      </w:r>
      <w:r>
        <w:t> </w:t>
      </w:r>
      <w:r w:rsidRPr="00ED75E4">
        <w:t>June</w:t>
      </w:r>
      <w:r>
        <w:t> </w:t>
      </w:r>
      <w:r w:rsidRPr="00ED75E4">
        <w:t>2016</w:t>
      </w:r>
      <w:r>
        <w:t xml:space="preserve">. This </w:t>
      </w:r>
      <w:r w:rsidRPr="00ED75E4">
        <w:t xml:space="preserve">was in line with the </w:t>
      </w:r>
      <w:r>
        <w:t>revised budget estimate</w:t>
      </w:r>
      <w:r w:rsidRPr="00ED75E4">
        <w:t xml:space="preserve"> published in the </w:t>
      </w:r>
      <w:r w:rsidRPr="00ED75E4">
        <w:rPr>
          <w:i/>
        </w:rPr>
        <w:t>2016-17 Budget</w:t>
      </w:r>
      <w:r w:rsidRPr="00E521BF">
        <w:t>. It was also lower than the 6.2 per cent held at 30 June 2015</w:t>
      </w:r>
      <w:r>
        <w:t>.</w:t>
      </w:r>
    </w:p>
    <w:p w:rsidR="00DF17E9" w:rsidRDefault="00DF17E9" w:rsidP="00044843">
      <w:pPr>
        <w:sectPr w:rsidR="00DF17E9" w:rsidSect="00044843">
          <w:headerReference w:type="even" r:id="rId21"/>
          <w:headerReference w:type="default" r:id="rId22"/>
          <w:footerReference w:type="even" r:id="rId23"/>
          <w:footerReference w:type="default" r:id="rId24"/>
          <w:type w:val="continuous"/>
          <w:pgSz w:w="11906" w:h="16838" w:code="9"/>
          <w:pgMar w:top="1134" w:right="1134" w:bottom="1134" w:left="1134" w:header="624" w:footer="567" w:gutter="0"/>
          <w:cols w:num="2" w:space="708"/>
          <w:docGrid w:linePitch="360"/>
        </w:sectPr>
      </w:pPr>
    </w:p>
    <w:p w:rsidR="00DF17E9" w:rsidRDefault="00DF17E9" w:rsidP="001D40F4">
      <w:pPr>
        <w:sectPr w:rsidR="00DF17E9" w:rsidSect="001D40F4">
          <w:headerReference w:type="even" r:id="rId25"/>
          <w:headerReference w:type="default" r:id="rId26"/>
          <w:footerReference w:type="even" r:id="rId27"/>
          <w:footerReference w:type="default" r:id="rId28"/>
          <w:type w:val="continuous"/>
          <w:pgSz w:w="11906" w:h="16838" w:code="9"/>
          <w:pgMar w:top="1134" w:right="1134" w:bottom="1134" w:left="1134" w:header="624" w:footer="567" w:gutter="0"/>
          <w:cols w:space="708"/>
          <w:docGrid w:linePitch="360"/>
        </w:sectPr>
      </w:pPr>
    </w:p>
    <w:p w:rsidR="00DF17E9" w:rsidRPr="000D5949" w:rsidRDefault="00DF17E9" w:rsidP="00044843">
      <w:pPr>
        <w:pStyle w:val="Chapterheading"/>
      </w:pPr>
      <w:bookmarkStart w:id="2" w:name="_Toc462865836"/>
      <w:r>
        <w:lastRenderedPageBreak/>
        <w:t>Chapter 2 – General government sector outcome</w:t>
      </w:r>
      <w:bookmarkEnd w:id="2"/>
    </w:p>
    <w:p w:rsidR="00DF17E9" w:rsidRPr="000D5949" w:rsidRDefault="00DF17E9" w:rsidP="006125C9">
      <w:pPr>
        <w:sectPr w:rsidR="00DF17E9" w:rsidRPr="000D5949" w:rsidSect="00743CE4">
          <w:headerReference w:type="even" r:id="rId29"/>
          <w:headerReference w:type="default" r:id="rId30"/>
          <w:footerReference w:type="even" r:id="rId31"/>
          <w:footerReference w:type="default" r:id="rId32"/>
          <w:headerReference w:type="first" r:id="rId33"/>
          <w:footerReference w:type="first" r:id="rId34"/>
          <w:type w:val="oddPage"/>
          <w:pgSz w:w="11906" w:h="16838" w:code="9"/>
          <w:pgMar w:top="1134" w:right="1134" w:bottom="1134" w:left="1134" w:header="624" w:footer="567" w:gutter="0"/>
          <w:cols w:space="708"/>
          <w:docGrid w:linePitch="360"/>
        </w:sectPr>
      </w:pPr>
    </w:p>
    <w:p w:rsidR="00DF17E9" w:rsidRDefault="00DF17E9" w:rsidP="00044843">
      <w:pPr>
        <w:pStyle w:val="HighlightBullet"/>
        <w:numPr>
          <w:ilvl w:val="0"/>
          <w:numId w:val="11"/>
        </w:numPr>
      </w:pPr>
      <w:r>
        <w:lastRenderedPageBreak/>
        <w:t xml:space="preserve">Net debt for the general government sector of </w:t>
      </w:r>
      <w:r w:rsidRPr="00AA55B3">
        <w:t>$22.3</w:t>
      </w:r>
      <w:r>
        <w:t xml:space="preserve"> billion (5.9 per cent of gross state product (GSP)) at 30 June 2016 was in line with the revised budget estimate published in the </w:t>
      </w:r>
      <w:r>
        <w:rPr>
          <w:i/>
        </w:rPr>
        <w:t>2016</w:t>
      </w:r>
      <w:r>
        <w:rPr>
          <w:i/>
        </w:rPr>
        <w:noBreakHyphen/>
      </w:r>
      <w:r w:rsidRPr="00E84D58">
        <w:rPr>
          <w:i/>
        </w:rPr>
        <w:t>17 Budget</w:t>
      </w:r>
      <w:r>
        <w:t xml:space="preserve"> and lower than the 6.2 per cent held at 30 June 2015.</w:t>
      </w:r>
    </w:p>
    <w:p w:rsidR="00DF17E9" w:rsidRDefault="00DF17E9" w:rsidP="00044843">
      <w:pPr>
        <w:pStyle w:val="HighlightBullet"/>
        <w:numPr>
          <w:ilvl w:val="0"/>
          <w:numId w:val="11"/>
        </w:numPr>
      </w:pPr>
      <w:r>
        <w:t>The Government achieved an operating surplus of $2.7 billion for 2015</w:t>
      </w:r>
      <w:r>
        <w:noBreakHyphen/>
        <w:t>16</w:t>
      </w:r>
      <w:r w:rsidRPr="009C3F07">
        <w:t>.</w:t>
      </w:r>
      <w:r>
        <w:t xml:space="preserve"> Victoria continues to forecast strong surpluses every year over the budget and forward estimates period.</w:t>
      </w:r>
    </w:p>
    <w:p w:rsidR="00DF17E9" w:rsidRDefault="00DF17E9" w:rsidP="00044843">
      <w:pPr>
        <w:pStyle w:val="HighlightBullet"/>
        <w:numPr>
          <w:ilvl w:val="0"/>
          <w:numId w:val="11"/>
        </w:numPr>
      </w:pPr>
      <w:r>
        <w:t xml:space="preserve">The operating surplus was $776 million higher than revised estimates. It was helped by higher than expected revenue of $246 million and lower than expected expenses of $530 million, primarily due to the unexpected underspend across departments and the </w:t>
      </w:r>
      <w:proofErr w:type="spellStart"/>
      <w:r>
        <w:t>rephasing</w:t>
      </w:r>
      <w:proofErr w:type="spellEnd"/>
      <w:r>
        <w:t xml:space="preserve"> of the transfer of the Australian Synchrotron to the Commonwealth Government, which is expected to occur in 2016-17. </w:t>
      </w:r>
    </w:p>
    <w:p w:rsidR="00DF17E9" w:rsidRDefault="00DF17E9" w:rsidP="00044843">
      <w:pPr>
        <w:pStyle w:val="HighlightBullet"/>
        <w:numPr>
          <w:ilvl w:val="0"/>
          <w:numId w:val="11"/>
        </w:numPr>
      </w:pPr>
      <w:r>
        <w:t>The Government infrastructure investment,</w:t>
      </w:r>
      <w:r w:rsidRPr="004D4B36">
        <w:t xml:space="preserve"> </w:t>
      </w:r>
      <w:r>
        <w:t>which includes general government net infrastructure investment and estimated cash outflows for Partnership Victoria projects (net of asset sales), was $4.7 billion</w:t>
      </w:r>
      <w:r w:rsidRPr="00AA55B3">
        <w:t xml:space="preserve"> for 2015</w:t>
      </w:r>
      <w:r w:rsidR="00D25EDB">
        <w:noBreakHyphen/>
        <w:t>16. This is an increase of $260</w:t>
      </w:r>
      <w:r w:rsidRPr="00055E86">
        <w:t xml:space="preserve"> million compared to the revised budget, </w:t>
      </w:r>
      <w:r>
        <w:t>mainly reflecting higher than expected health sector capital spend</w:t>
      </w:r>
      <w:r w:rsidRPr="00055E86">
        <w:t>.</w:t>
      </w:r>
    </w:p>
    <w:p w:rsidR="00DF17E9" w:rsidRPr="009443BB" w:rsidRDefault="00DF17E9" w:rsidP="00044843">
      <w:pPr>
        <w:pStyle w:val="HighlightBullet"/>
        <w:numPr>
          <w:ilvl w:val="0"/>
          <w:numId w:val="11"/>
        </w:numPr>
      </w:pPr>
      <w:r>
        <w:t>Standard and Poor’s has reaffirmed the State of Victoria’s triple-A credit rating on the 26 August 2016, citing ‘</w:t>
      </w:r>
      <w:r w:rsidRPr="009443BB">
        <w:t>the state's very strong financial management and economy,</w:t>
      </w:r>
      <w:r>
        <w:t xml:space="preserve"> and its exceptional liquidity’. </w:t>
      </w:r>
      <w:r w:rsidRPr="009E2E4C">
        <w:t xml:space="preserve">However, </w:t>
      </w:r>
      <w:r>
        <w:t>it</w:t>
      </w:r>
      <w:r w:rsidRPr="009E2E4C">
        <w:t xml:space="preserve"> has placed a negative outlook on Victoria’s credit rating reflecting a one in three chance that the Commonwealth of Australia might be downgraded within the next 12 to 24 months.</w:t>
      </w:r>
      <w:r>
        <w:t xml:space="preserve"> </w:t>
      </w:r>
    </w:p>
    <w:p w:rsidR="00DF17E9" w:rsidRPr="009443BB" w:rsidRDefault="00DF17E9" w:rsidP="00044843">
      <w:pPr>
        <w:pStyle w:val="ListBullet"/>
        <w:numPr>
          <w:ilvl w:val="0"/>
          <w:numId w:val="0"/>
        </w:numPr>
        <w:ind w:left="284"/>
      </w:pPr>
    </w:p>
    <w:p w:rsidR="00DF17E9" w:rsidRDefault="00DF17E9" w:rsidP="00044843">
      <w:pPr>
        <w:pStyle w:val="Subheadingunderline"/>
      </w:pPr>
      <w:r>
        <w:br w:type="column"/>
      </w:r>
      <w:r>
        <w:lastRenderedPageBreak/>
        <w:t>Fiscal objectives</w:t>
      </w:r>
    </w:p>
    <w:p w:rsidR="00DF17E9" w:rsidRDefault="00DF17E9" w:rsidP="00044843">
      <w:r>
        <w:t xml:space="preserve">As part of the </w:t>
      </w:r>
      <w:r>
        <w:rPr>
          <w:i/>
        </w:rPr>
        <w:t>2015</w:t>
      </w:r>
      <w:r>
        <w:rPr>
          <w:i/>
        </w:rPr>
        <w:noBreakHyphen/>
        <w:t>16</w:t>
      </w:r>
      <w:r w:rsidRPr="003822A9">
        <w:rPr>
          <w:i/>
        </w:rPr>
        <w:t xml:space="preserve"> Budget</w:t>
      </w:r>
      <w:r>
        <w:rPr>
          <w:i/>
        </w:rPr>
        <w:t xml:space="preserve">, </w:t>
      </w:r>
      <w:r>
        <w:t>the Government outlined its fiscal strategy and objectives for the 2015</w:t>
      </w:r>
      <w:r>
        <w:noBreakHyphen/>
        <w:t>16 financial year, including:</w:t>
      </w:r>
    </w:p>
    <w:p w:rsidR="00DF17E9" w:rsidRDefault="00DF17E9" w:rsidP="00044843">
      <w:pPr>
        <w:pStyle w:val="ListParagraph"/>
        <w:numPr>
          <w:ilvl w:val="0"/>
          <w:numId w:val="14"/>
        </w:numPr>
        <w:ind w:left="426" w:hanging="426"/>
      </w:pPr>
      <w:r>
        <w:t>achieving net operating surpluses that are consistent with sustainable levels of debt over the medium term;</w:t>
      </w:r>
    </w:p>
    <w:p w:rsidR="00DF17E9" w:rsidRDefault="00DF17E9" w:rsidP="00044843">
      <w:pPr>
        <w:pStyle w:val="ListParagraph"/>
        <w:numPr>
          <w:ilvl w:val="0"/>
          <w:numId w:val="14"/>
        </w:numPr>
        <w:ind w:left="426" w:hanging="426"/>
      </w:pPr>
      <w:r>
        <w:t xml:space="preserve">general government net debt as a percentage of GSP to be maintained at a sustainable level over the medium term; and </w:t>
      </w:r>
    </w:p>
    <w:p w:rsidR="00DF17E9" w:rsidRDefault="00DF17E9" w:rsidP="00044843">
      <w:pPr>
        <w:pStyle w:val="ListParagraph"/>
        <w:numPr>
          <w:ilvl w:val="0"/>
          <w:numId w:val="14"/>
        </w:numPr>
        <w:ind w:left="426" w:hanging="426"/>
      </w:pPr>
      <w:r>
        <w:t xml:space="preserve">fully fund the unfunded superannuation liability by 2035. </w:t>
      </w:r>
    </w:p>
    <w:p w:rsidR="00DF17E9" w:rsidRDefault="00DF17E9" w:rsidP="00044843">
      <w:r>
        <w:t>The 2015</w:t>
      </w:r>
      <w:r>
        <w:noBreakHyphen/>
        <w:t>16 results were consistent with the Government’s fiscal objectives and strategy, with:</w:t>
      </w:r>
    </w:p>
    <w:p w:rsidR="00DF17E9" w:rsidRDefault="00DF17E9" w:rsidP="00044843">
      <w:pPr>
        <w:pStyle w:val="ListParagraph"/>
        <w:numPr>
          <w:ilvl w:val="0"/>
          <w:numId w:val="14"/>
        </w:numPr>
        <w:ind w:left="426" w:hanging="426"/>
      </w:pPr>
      <w:r>
        <w:t>a net operating surplus of $2.7 billion for the 2015</w:t>
      </w:r>
      <w:r>
        <w:noBreakHyphen/>
        <w:t xml:space="preserve">16 financial year; </w:t>
      </w:r>
    </w:p>
    <w:p w:rsidR="00DF17E9" w:rsidRDefault="00DF17E9" w:rsidP="00044843">
      <w:pPr>
        <w:pStyle w:val="ListParagraph"/>
        <w:numPr>
          <w:ilvl w:val="0"/>
          <w:numId w:val="14"/>
        </w:numPr>
        <w:ind w:left="426" w:hanging="426"/>
      </w:pPr>
      <w:r>
        <w:t xml:space="preserve">net debt to GSP of </w:t>
      </w:r>
      <w:r w:rsidRPr="001F6C17">
        <w:t>5.9</w:t>
      </w:r>
      <w:r>
        <w:t xml:space="preserve"> per cent at 30 June 2016, decreasing from 6.2 per cent at 30 June 2015; and </w:t>
      </w:r>
    </w:p>
    <w:p w:rsidR="00DF17E9" w:rsidRPr="000B5562" w:rsidRDefault="00DF17E9" w:rsidP="00044843">
      <w:pPr>
        <w:pStyle w:val="ListParagraph"/>
        <w:numPr>
          <w:ilvl w:val="0"/>
          <w:numId w:val="14"/>
        </w:numPr>
        <w:ind w:left="426" w:hanging="426"/>
      </w:pPr>
      <w:r w:rsidRPr="000B5562">
        <w:t>the general government being on track to fully fund the unfunded superannuation liability by 2035 with a</w:t>
      </w:r>
      <w:r>
        <w:t>n additional contribution of $1.0 </w:t>
      </w:r>
      <w:r w:rsidRPr="000B5562">
        <w:t xml:space="preserve">billion </w:t>
      </w:r>
      <w:r>
        <w:t>being made to</w:t>
      </w:r>
      <w:r w:rsidRPr="000B5562">
        <w:t xml:space="preserve"> </w:t>
      </w:r>
      <w:r>
        <w:t>the State Superannuation Fund</w:t>
      </w:r>
      <w:r w:rsidRPr="000B5562">
        <w:t xml:space="preserve"> </w:t>
      </w:r>
      <w:r>
        <w:t xml:space="preserve">in 2015-16 under section 90(2) of the </w:t>
      </w:r>
      <w:r>
        <w:rPr>
          <w:i/>
        </w:rPr>
        <w:t>State Superannuation Act</w:t>
      </w:r>
      <w:r w:rsidRPr="000B5562">
        <w:t>.</w:t>
      </w:r>
    </w:p>
    <w:p w:rsidR="00DF17E9" w:rsidRDefault="00DF17E9" w:rsidP="00044843">
      <w:r>
        <w:t>Fiscal aggregates are useful for assessing the impact of the financial transactions of government and its controlled agencies on the economy. These measures, derived from the audited financial statements in Chapter 4, are shown in Table 2.1.</w:t>
      </w:r>
    </w:p>
    <w:p w:rsidR="00DF17E9" w:rsidRDefault="00DF17E9" w:rsidP="00044843"/>
    <w:p w:rsidR="00DF17E9" w:rsidRDefault="00DF17E9" w:rsidP="00044843">
      <w:pPr>
        <w:sectPr w:rsidR="00DF17E9" w:rsidSect="00044843">
          <w:headerReference w:type="even" r:id="rId35"/>
          <w:headerReference w:type="default" r:id="rId36"/>
          <w:footerReference w:type="even" r:id="rId37"/>
          <w:footerReference w:type="default" r:id="rId38"/>
          <w:type w:val="continuous"/>
          <w:pgSz w:w="11906" w:h="16838" w:code="9"/>
          <w:pgMar w:top="1134" w:right="1134" w:bottom="1134" w:left="1134" w:header="624" w:footer="567" w:gutter="0"/>
          <w:cols w:num="2" w:space="708"/>
          <w:docGrid w:linePitch="360"/>
        </w:sectPr>
      </w:pPr>
    </w:p>
    <w:p w:rsidR="00DF17E9" w:rsidRPr="00D42DCD" w:rsidRDefault="00DF17E9" w:rsidP="00044843">
      <w:pPr>
        <w:pStyle w:val="Subheading"/>
        <w:rPr>
          <w:rStyle w:val="TableUnitsChar"/>
          <w:bCs/>
          <w:lang w:val="en-US"/>
        </w:rPr>
      </w:pPr>
      <w:r>
        <w:lastRenderedPageBreak/>
        <w:t xml:space="preserve">Table 2.1: Key fiscal aggregates for the general government sector </w:t>
      </w:r>
      <w:r>
        <w:rPr>
          <w:vertAlign w:val="superscript"/>
        </w:rPr>
        <w:tab/>
      </w:r>
      <w:r w:rsidRPr="003822A9">
        <w:rPr>
          <w:rStyle w:val="TableUnitsChar"/>
        </w:rPr>
        <w:t>($</w:t>
      </w:r>
      <w:r>
        <w:rPr>
          <w:rStyle w:val="TableUnitsChar"/>
        </w:rPr>
        <w:t> million</w:t>
      </w:r>
      <w:r w:rsidRPr="003822A9">
        <w:rPr>
          <w:rStyle w:val="TableUnitsChar"/>
        </w:rPr>
        <w:t>)</w:t>
      </w:r>
    </w:p>
    <w:tbl>
      <w:tblPr>
        <w:tblStyle w:val="TableDTFGeneral"/>
        <w:tblW w:w="9638" w:type="dxa"/>
        <w:tblLayout w:type="fixed"/>
        <w:tblLook w:val="02A0" w:firstRow="1" w:lastRow="0" w:firstColumn="1" w:lastColumn="0" w:noHBand="1" w:noVBand="0"/>
      </w:tblPr>
      <w:tblGrid>
        <w:gridCol w:w="6917"/>
        <w:gridCol w:w="907"/>
        <w:gridCol w:w="907"/>
        <w:gridCol w:w="907"/>
      </w:tblGrid>
      <w:tr w:rsidR="00A429B9" w:rsidRPr="00D42DCD" w:rsidTr="00A429B9">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6917" w:type="dxa"/>
          </w:tcPr>
          <w:p w:rsidR="00A429B9" w:rsidRPr="00D42DCD" w:rsidRDefault="00A429B9" w:rsidP="00044843">
            <w:pPr>
              <w:ind w:left="0" w:firstLine="0"/>
              <w:rPr>
                <w:i w:val="0"/>
                <w:color w:val="FFFFFF"/>
                <w:sz w:val="16"/>
                <w:szCs w:val="16"/>
              </w:rPr>
            </w:pPr>
            <w:r w:rsidRPr="00D42DCD">
              <w:rPr>
                <w:color w:val="FFFFFF"/>
                <w:sz w:val="16"/>
                <w:szCs w:val="16"/>
              </w:rPr>
              <w:t xml:space="preserve"> </w:t>
            </w:r>
          </w:p>
          <w:p w:rsidR="00A429B9" w:rsidRPr="00D42DCD" w:rsidRDefault="00A429B9" w:rsidP="00044843">
            <w:pPr>
              <w:ind w:left="0"/>
              <w:rPr>
                <w:color w:val="FFFFFF"/>
                <w:sz w:val="16"/>
                <w:szCs w:val="16"/>
              </w:rPr>
            </w:pPr>
            <w:r w:rsidRPr="00D42DCD">
              <w:rPr>
                <w:color w:val="FFFFFF"/>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sz w:val="16"/>
                <w:szCs w:val="16"/>
              </w:rPr>
            </w:pPr>
            <w:r w:rsidRPr="00D42DCD">
              <w:rPr>
                <w:color w:val="FFFFFF"/>
                <w:sz w:val="16"/>
                <w:szCs w:val="16"/>
              </w:rPr>
              <w:t xml:space="preserve">2015 </w:t>
            </w:r>
          </w:p>
          <w:p w:rsidR="00A429B9" w:rsidRPr="00D42DCD" w:rsidRDefault="00A429B9" w:rsidP="00044843">
            <w:pPr>
              <w:rPr>
                <w:color w:val="FFFFFF"/>
                <w:sz w:val="16"/>
                <w:szCs w:val="16"/>
              </w:rPr>
            </w:pPr>
            <w:r w:rsidRPr="00D42DCD">
              <w:rPr>
                <w:color w:val="FFFFFF"/>
                <w:sz w:val="16"/>
                <w:szCs w:val="16"/>
              </w:rPr>
              <w:t xml:space="preserve"> actual</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sz w:val="16"/>
                <w:szCs w:val="16"/>
              </w:rPr>
            </w:pPr>
            <w:r w:rsidRPr="00D42DCD">
              <w:rPr>
                <w:color w:val="FFFFFF"/>
                <w:sz w:val="16"/>
                <w:szCs w:val="16"/>
              </w:rPr>
              <w:t xml:space="preserve">2016 </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sz w:val="16"/>
                <w:szCs w:val="16"/>
              </w:rPr>
            </w:pPr>
            <w:r w:rsidRPr="00D42DCD">
              <w:rPr>
                <w:color w:val="FFFFFF"/>
                <w:sz w:val="16"/>
                <w:szCs w:val="16"/>
              </w:rPr>
              <w:t xml:space="preserve"> actual</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sz w:val="16"/>
                <w:szCs w:val="16"/>
              </w:rPr>
            </w:pPr>
            <w:r w:rsidRPr="00D42DCD">
              <w:rPr>
                <w:color w:val="FFFFFF"/>
                <w:sz w:val="16"/>
                <w:szCs w:val="16"/>
              </w:rPr>
              <w:t xml:space="preserve">2016 </w:t>
            </w:r>
          </w:p>
          <w:p w:rsidR="00A429B9" w:rsidRPr="00D42DCD" w:rsidRDefault="00A429B9" w:rsidP="00044843">
            <w:pPr>
              <w:rPr>
                <w:color w:val="FFFFFF"/>
                <w:sz w:val="16"/>
                <w:szCs w:val="16"/>
              </w:rPr>
            </w:pPr>
            <w:r w:rsidRPr="00D42DCD">
              <w:rPr>
                <w:color w:val="FFFFFF"/>
                <w:sz w:val="16"/>
                <w:szCs w:val="16"/>
              </w:rPr>
              <w:t xml:space="preserve"> revised</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Pr>
          <w:p w:rsidR="00DF17E9" w:rsidRPr="00D42DCD" w:rsidRDefault="00DF17E9" w:rsidP="00044843">
            <w:pPr>
              <w:ind w:left="0" w:firstLine="0"/>
              <w:rPr>
                <w:color w:val="000000"/>
                <w:sz w:val="16"/>
                <w:szCs w:val="16"/>
              </w:rPr>
            </w:pPr>
            <w:r w:rsidRPr="00D42DCD">
              <w:rPr>
                <w:b/>
                <w:color w:val="000000"/>
                <w:sz w:val="16"/>
                <w:szCs w:val="16"/>
              </w:rPr>
              <w:t>Operating statement aggregates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b/>
                <w:color w:val="000000"/>
                <w:sz w:val="16"/>
                <w:szCs w:val="16"/>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b/>
                <w:color w:val="000000"/>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b/>
                <w:color w:val="000000"/>
                <w:sz w:val="16"/>
                <w:szCs w:val="16"/>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Pr>
          <w:p w:rsidR="00DF17E9" w:rsidRPr="00D42DCD" w:rsidRDefault="00DF17E9" w:rsidP="007D116D">
            <w:pPr>
              <w:ind w:left="0" w:firstLine="0"/>
              <w:rPr>
                <w:color w:val="000000"/>
                <w:sz w:val="16"/>
                <w:szCs w:val="16"/>
              </w:rPr>
            </w:pPr>
            <w:r w:rsidRPr="00D42DCD">
              <w:rPr>
                <w:color w:val="000000"/>
                <w:sz w:val="16"/>
                <w:szCs w:val="16"/>
              </w:rPr>
              <w:t xml:space="preserve">Net result from transactions </w:t>
            </w:r>
            <w:r w:rsidR="007D116D">
              <w:rPr>
                <w:color w:val="000000"/>
                <w:sz w:val="16"/>
                <w:szCs w:val="16"/>
              </w:rPr>
              <w:t>–</w:t>
            </w:r>
            <w:r w:rsidRPr="00D42DCD">
              <w:rPr>
                <w:color w:val="000000"/>
                <w:sz w:val="16"/>
                <w:szCs w:val="16"/>
              </w:rPr>
              <w:t xml:space="preserve"> net operating balance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1 214</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2 664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1 888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Pr>
          <w:p w:rsidR="00DF17E9" w:rsidRPr="00D42DCD" w:rsidRDefault="00DF17E9" w:rsidP="00044843">
            <w:pPr>
              <w:ind w:left="0" w:firstLine="0"/>
              <w:rPr>
                <w:color w:val="000000"/>
                <w:sz w:val="16"/>
                <w:szCs w:val="16"/>
              </w:rPr>
            </w:pPr>
            <w:r w:rsidRPr="00D42DCD">
              <w:rPr>
                <w:color w:val="000000"/>
                <w:sz w:val="16"/>
                <w:szCs w:val="16"/>
              </w:rPr>
              <w:t>Net result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sz w:val="16"/>
              </w:rPr>
            </w:pPr>
            <w:r w:rsidRPr="00D42DCD">
              <w:rPr>
                <w:color w:val="000000"/>
                <w:sz w:val="16"/>
                <w:szCs w:val="16"/>
              </w:rPr>
              <w:t>749</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1 817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1 638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Pr>
          <w:p w:rsidR="00DF17E9" w:rsidRPr="00D42DCD" w:rsidRDefault="00DF17E9" w:rsidP="00044843">
            <w:pPr>
              <w:ind w:left="0" w:firstLine="0"/>
              <w:rPr>
                <w:color w:val="000000"/>
                <w:sz w:val="16"/>
                <w:szCs w:val="16"/>
              </w:rPr>
            </w:pPr>
            <w:r w:rsidRPr="00D42DCD">
              <w:rPr>
                <w:color w:val="000000"/>
                <w:sz w:val="16"/>
                <w:szCs w:val="16"/>
              </w:rPr>
              <w:t>Net lending/(borrowing)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sz w:val="16"/>
              </w:rPr>
            </w:pPr>
            <w:r w:rsidRPr="00D42DCD">
              <w:rPr>
                <w:color w:val="000000"/>
                <w:sz w:val="16"/>
                <w:szCs w:val="16"/>
              </w:rPr>
              <w:t>937</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1 876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1 303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bottom w:val="nil"/>
            </w:tcBorders>
          </w:tcPr>
          <w:p w:rsidR="00DF17E9" w:rsidRPr="00D42DCD" w:rsidRDefault="00DF17E9" w:rsidP="00044843">
            <w:pPr>
              <w:ind w:left="0" w:firstLine="0"/>
              <w:rPr>
                <w:color w:val="000000"/>
                <w:sz w:val="16"/>
                <w:szCs w:val="16"/>
              </w:rPr>
            </w:pPr>
            <w:r w:rsidRPr="00D42DCD">
              <w:rPr>
                <w:color w:val="000000"/>
                <w:sz w:val="16"/>
                <w:szCs w:val="16"/>
              </w:rPr>
              <w:t xml:space="preserve">Comprehensive result </w:t>
            </w:r>
            <w:r w:rsidR="007D116D">
              <w:rPr>
                <w:color w:val="000000"/>
                <w:sz w:val="16"/>
                <w:szCs w:val="16"/>
              </w:rPr>
              <w:t>–</w:t>
            </w:r>
            <w:r w:rsidRPr="00D42DCD">
              <w:rPr>
                <w:color w:val="000000"/>
                <w:sz w:val="16"/>
                <w:szCs w:val="16"/>
              </w:rPr>
              <w:t xml:space="preserve"> total change in net worth</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sz w:val="16"/>
                <w:szCs w:val="16"/>
              </w:rPr>
            </w:pPr>
            <w:r w:rsidRPr="00D42DCD">
              <w:rPr>
                <w:color w:val="000000"/>
                <w:sz w:val="16"/>
                <w:szCs w:val="16"/>
              </w:rPr>
              <w:t>7 839</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15 303</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sz w:val="16"/>
                <w:szCs w:val="16"/>
              </w:rPr>
            </w:pPr>
            <w:r w:rsidRPr="00D42DCD">
              <w:rPr>
                <w:color w:val="000000"/>
                <w:sz w:val="16"/>
                <w:szCs w:val="16"/>
              </w:rPr>
              <w:t>1 824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rsidR="00DF17E9" w:rsidRPr="00D42DCD" w:rsidRDefault="00DF17E9" w:rsidP="00044843">
            <w:pPr>
              <w:ind w:left="0" w:firstLine="0"/>
              <w:rPr>
                <w:color w:val="000000"/>
                <w:sz w:val="16"/>
                <w:szCs w:val="16"/>
              </w:rPr>
            </w:pPr>
            <w:r w:rsidRPr="00D42DCD">
              <w:rPr>
                <w:color w:val="000000"/>
                <w:sz w:val="16"/>
                <w:szCs w:val="16"/>
              </w:rPr>
              <w:t>Cash surplus/(deficit)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sz w:val="16"/>
              </w:rPr>
            </w:pPr>
            <w:r w:rsidRPr="00D42DCD">
              <w:rPr>
                <w:color w:val="000000"/>
                <w:sz w:val="16"/>
                <w:szCs w:val="16"/>
              </w:rPr>
              <w:t>(152)</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1 129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sz w:val="16"/>
              </w:rPr>
            </w:pPr>
            <w:r w:rsidRPr="00D42DCD">
              <w:rPr>
                <w:color w:val="000000"/>
                <w:sz w:val="16"/>
                <w:szCs w:val="16"/>
              </w:rPr>
              <w:t>871</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rsidR="00DF17E9" w:rsidRPr="00D42DCD" w:rsidRDefault="00DF17E9" w:rsidP="00044843">
            <w:pPr>
              <w:ind w:left="0" w:firstLine="0"/>
              <w:rPr>
                <w:color w:val="000000"/>
                <w:sz w:val="16"/>
                <w:szCs w:val="16"/>
              </w:rPr>
            </w:pPr>
            <w:r w:rsidRPr="00D42DCD">
              <w:rPr>
                <w:b/>
                <w:color w:val="000000"/>
                <w:sz w:val="16"/>
                <w:szCs w:val="16"/>
              </w:rPr>
              <w:t>Balance sheet aggregates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sz w:val="16"/>
                <w:szCs w:val="16"/>
              </w:rPr>
            </w:pPr>
            <w:r w:rsidRPr="00D42DCD">
              <w:rPr>
                <w:b/>
                <w:color w:val="000000"/>
                <w:sz w:val="16"/>
                <w:szCs w:val="16"/>
              </w:rPr>
              <w:t xml:space="preserve"> </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b/>
                <w:color w:val="000000"/>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sz w:val="16"/>
                <w:szCs w:val="16"/>
              </w:rPr>
            </w:pPr>
            <w:r w:rsidRPr="00D42DCD">
              <w:rPr>
                <w:b/>
                <w:color w:val="000000"/>
                <w:sz w:val="16"/>
                <w:szCs w:val="16"/>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Pr>
          <w:p w:rsidR="00DF17E9" w:rsidRPr="00D42DCD" w:rsidRDefault="00DF17E9" w:rsidP="00044843">
            <w:pPr>
              <w:ind w:left="0" w:firstLine="0"/>
              <w:rPr>
                <w:color w:val="000000"/>
                <w:sz w:val="16"/>
                <w:szCs w:val="16"/>
              </w:rPr>
            </w:pPr>
            <w:r w:rsidRPr="00D42DCD">
              <w:rPr>
                <w:color w:val="000000"/>
                <w:sz w:val="16"/>
                <w:szCs w:val="16"/>
              </w:rPr>
              <w:t>Net worth</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136 391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151 695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138 084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Pr>
          <w:p w:rsidR="00DF17E9" w:rsidRPr="00D42DCD" w:rsidRDefault="00DF17E9" w:rsidP="00044843">
            <w:pPr>
              <w:ind w:left="0" w:firstLine="0"/>
              <w:rPr>
                <w:color w:val="000000"/>
                <w:sz w:val="16"/>
                <w:szCs w:val="16"/>
              </w:rPr>
            </w:pPr>
            <w:r w:rsidRPr="00D42DCD">
              <w:rPr>
                <w:color w:val="000000"/>
                <w:sz w:val="16"/>
                <w:szCs w:val="16"/>
              </w:rPr>
              <w:t>Net financial worth</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27 471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35 984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sz w:val="16"/>
                <w:szCs w:val="16"/>
              </w:rPr>
            </w:pPr>
            <w:r w:rsidRPr="00D42DCD">
              <w:rPr>
                <w:color w:val="000000"/>
                <w:sz w:val="16"/>
                <w:szCs w:val="16"/>
              </w:rPr>
              <w:t>28 150</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bottom w:val="nil"/>
            </w:tcBorders>
          </w:tcPr>
          <w:p w:rsidR="00DF17E9" w:rsidRPr="00D42DCD" w:rsidRDefault="00DF17E9" w:rsidP="00044843">
            <w:pPr>
              <w:ind w:left="0" w:firstLine="0"/>
              <w:rPr>
                <w:color w:val="000000"/>
                <w:sz w:val="16"/>
                <w:szCs w:val="16"/>
              </w:rPr>
            </w:pPr>
            <w:r w:rsidRPr="00D42DCD">
              <w:rPr>
                <w:color w:val="000000"/>
                <w:sz w:val="16"/>
                <w:szCs w:val="16"/>
              </w:rPr>
              <w:t>Net financial liabilities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sz w:val="16"/>
                <w:szCs w:val="16"/>
              </w:rPr>
            </w:pPr>
            <w:r w:rsidRPr="00D42DCD">
              <w:rPr>
                <w:color w:val="000000"/>
                <w:sz w:val="16"/>
                <w:szCs w:val="16"/>
              </w:rPr>
              <w:t>54 791</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58 727</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sz w:val="16"/>
                <w:szCs w:val="16"/>
              </w:rPr>
            </w:pPr>
            <w:r w:rsidRPr="00D42DCD">
              <w:rPr>
                <w:color w:val="000000"/>
                <w:sz w:val="16"/>
                <w:szCs w:val="16"/>
              </w:rPr>
              <w:t>57 197</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rsidR="00DF17E9" w:rsidRPr="00D42DCD" w:rsidRDefault="00DF17E9" w:rsidP="00044843">
            <w:pPr>
              <w:ind w:left="0" w:firstLine="0"/>
              <w:rPr>
                <w:color w:val="000000"/>
                <w:sz w:val="16"/>
                <w:szCs w:val="16"/>
              </w:rPr>
            </w:pPr>
            <w:r w:rsidRPr="00D42DCD">
              <w:rPr>
                <w:color w:val="000000"/>
                <w:sz w:val="16"/>
                <w:szCs w:val="16"/>
              </w:rPr>
              <w:t>Net debt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sz w:val="16"/>
                <w:szCs w:val="16"/>
              </w:rPr>
            </w:pPr>
            <w:r w:rsidRPr="00D42DCD">
              <w:rPr>
                <w:color w:val="000000"/>
                <w:sz w:val="16"/>
                <w:szCs w:val="16"/>
              </w:rPr>
              <w:t>22 327</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22 309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sz w:val="16"/>
                <w:szCs w:val="16"/>
              </w:rPr>
            </w:pPr>
            <w:r w:rsidRPr="00D42DCD">
              <w:rPr>
                <w:color w:val="000000"/>
                <w:sz w:val="16"/>
                <w:szCs w:val="16"/>
              </w:rPr>
              <w:t>22 493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rsidR="00DF17E9" w:rsidRPr="00D42DCD" w:rsidRDefault="00DF17E9" w:rsidP="00044843">
            <w:pPr>
              <w:ind w:left="0" w:firstLine="0"/>
              <w:jc w:val="center"/>
              <w:rPr>
                <w:color w:val="000000"/>
                <w:sz w:val="16"/>
                <w:szCs w:val="16"/>
              </w:rPr>
            </w:pPr>
            <w:r w:rsidRPr="00D42DCD">
              <w:rPr>
                <w:i/>
                <w:color w:val="000000"/>
                <w:sz w:val="16"/>
                <w:szCs w:val="16"/>
              </w:rPr>
              <w:t>(per cent)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jc w:val="left"/>
              <w:rPr>
                <w:color w:val="000000"/>
                <w:sz w:val="16"/>
                <w:szCs w:val="16"/>
              </w:rPr>
            </w:pPr>
            <w:r w:rsidRPr="00D42DCD">
              <w:rPr>
                <w:i/>
                <w:color w:val="000000"/>
                <w:sz w:val="16"/>
                <w:szCs w:val="16"/>
              </w:rPr>
              <w:t xml:space="preserve"> </w:t>
            </w:r>
          </w:p>
        </w:tc>
        <w:tc>
          <w:tcPr>
            <w:tcW w:w="907" w:type="dxa"/>
            <w:tcBorders>
              <w:top w:val="single" w:sz="6" w:space="0" w:color="auto"/>
            </w:tcBorders>
          </w:tcPr>
          <w:p w:rsidR="00DF17E9" w:rsidRPr="00D42DCD"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i/>
                <w:color w:val="000000"/>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jc w:val="left"/>
              <w:rPr>
                <w:color w:val="000000"/>
                <w:sz w:val="16"/>
                <w:szCs w:val="16"/>
              </w:rPr>
            </w:pPr>
            <w:r w:rsidRPr="00D42DCD">
              <w:rPr>
                <w:i/>
                <w:color w:val="000000"/>
                <w:sz w:val="16"/>
                <w:szCs w:val="16"/>
              </w:rPr>
              <w:t xml:space="preserve"> </w:t>
            </w:r>
          </w:p>
        </w:tc>
      </w:tr>
      <w:tr w:rsidR="00DF17E9" w:rsidRPr="00D42DCD"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6917" w:type="dxa"/>
            <w:tcBorders>
              <w:bottom w:val="nil"/>
            </w:tcBorders>
          </w:tcPr>
          <w:p w:rsidR="00DF17E9" w:rsidRPr="00D42DCD" w:rsidRDefault="00DF17E9" w:rsidP="00044843">
            <w:pPr>
              <w:ind w:left="0" w:firstLine="0"/>
              <w:rPr>
                <w:color w:val="000000"/>
                <w:sz w:val="16"/>
                <w:szCs w:val="16"/>
              </w:rPr>
            </w:pPr>
            <w:r w:rsidRPr="00D42DCD">
              <w:rPr>
                <w:color w:val="000000"/>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jc w:val="left"/>
              <w:rPr>
                <w:color w:val="000000"/>
                <w:sz w:val="16"/>
                <w:szCs w:val="16"/>
              </w:rPr>
            </w:pPr>
            <w:r w:rsidRPr="00D42DCD">
              <w:rPr>
                <w:color w:val="000000"/>
                <w:sz w:val="16"/>
                <w:szCs w:val="16"/>
              </w:rPr>
              <w:t xml:space="preserve"> </w:t>
            </w:r>
          </w:p>
        </w:tc>
        <w:tc>
          <w:tcPr>
            <w:tcW w:w="907" w:type="dxa"/>
            <w:tcBorders>
              <w:bottom w:val="nil"/>
            </w:tcBorders>
          </w:tcPr>
          <w:p w:rsidR="00DF17E9" w:rsidRPr="00D42DCD"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szCs w:val="16"/>
              </w:rPr>
            </w:pPr>
            <w:r w:rsidRPr="00D42DCD">
              <w:rPr>
                <w:color w:val="000000"/>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jc w:val="left"/>
              <w:rPr>
                <w:color w:val="000000"/>
                <w:sz w:val="16"/>
                <w:szCs w:val="16"/>
              </w:rPr>
            </w:pPr>
            <w:r w:rsidRPr="00D42DCD">
              <w:rPr>
                <w:color w:val="000000"/>
                <w:sz w:val="16"/>
                <w:szCs w:val="16"/>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6917" w:type="dxa"/>
            <w:tcBorders>
              <w:bottom w:val="single" w:sz="12" w:space="0" w:color="auto"/>
            </w:tcBorders>
          </w:tcPr>
          <w:p w:rsidR="00DF17E9" w:rsidRPr="00D42DCD" w:rsidRDefault="00DF17E9" w:rsidP="00044843">
            <w:pPr>
              <w:ind w:left="0" w:firstLine="0"/>
              <w:rPr>
                <w:color w:val="000000"/>
                <w:sz w:val="16"/>
                <w:szCs w:val="16"/>
              </w:rPr>
            </w:pPr>
            <w:r w:rsidRPr="00D42DCD">
              <w:rPr>
                <w:color w:val="000000"/>
                <w:sz w:val="16"/>
                <w:szCs w:val="16"/>
              </w:rPr>
              <w:t>Net debt to GSP</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D42DCD" w:rsidRDefault="00DF17E9" w:rsidP="00044843">
            <w:pPr>
              <w:rPr>
                <w:sz w:val="16"/>
              </w:rPr>
            </w:pPr>
            <w:r w:rsidRPr="00D42DCD">
              <w:rPr>
                <w:color w:val="000000"/>
                <w:sz w:val="16"/>
                <w:szCs w:val="16"/>
              </w:rPr>
              <w:t>6.2</w:t>
            </w:r>
          </w:p>
        </w:tc>
        <w:tc>
          <w:tcPr>
            <w:tcW w:w="907" w:type="dxa"/>
            <w:tcBorders>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D42DCD">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D42DCD" w:rsidRDefault="00DF17E9" w:rsidP="00044843">
            <w:pPr>
              <w:rPr>
                <w:sz w:val="16"/>
              </w:rPr>
            </w:pPr>
            <w:r w:rsidRPr="00D42DCD">
              <w:rPr>
                <w:color w:val="000000"/>
                <w:sz w:val="16"/>
                <w:szCs w:val="16"/>
              </w:rPr>
              <w:t>5.9</w:t>
            </w:r>
          </w:p>
        </w:tc>
      </w:tr>
    </w:tbl>
    <w:p w:rsidR="00DF17E9" w:rsidRDefault="00DF17E9" w:rsidP="00044843">
      <w:pPr>
        <w:pStyle w:val="Source"/>
      </w:pPr>
      <w:r>
        <w:t>Source: Department of Treasury and Finance</w:t>
      </w:r>
    </w:p>
    <w:p w:rsidR="00DF17E9" w:rsidRDefault="00DF17E9" w:rsidP="00044843"/>
    <w:p w:rsidR="00044843" w:rsidRDefault="00044843" w:rsidP="00044843">
      <w:pPr>
        <w:sectPr w:rsidR="00044843" w:rsidSect="00044843">
          <w:footerReference w:type="even" r:id="rId39"/>
          <w:pgSz w:w="11906" w:h="16838" w:code="9"/>
          <w:pgMar w:top="1134" w:right="1134" w:bottom="1134" w:left="1134" w:header="624" w:footer="567" w:gutter="0"/>
          <w:cols w:space="708"/>
          <w:docGrid w:linePitch="360"/>
        </w:sectPr>
      </w:pPr>
    </w:p>
    <w:p w:rsidR="00DF17E9" w:rsidRDefault="00DF17E9" w:rsidP="00044843">
      <w:r>
        <w:lastRenderedPageBreak/>
        <w:t xml:space="preserve">The </w:t>
      </w:r>
      <w:r w:rsidRPr="003822A9">
        <w:rPr>
          <w:b/>
        </w:rPr>
        <w:t>net result from transactions</w:t>
      </w:r>
      <w:r>
        <w:t xml:space="preserve"> surplus of $2.7 billion was</w:t>
      </w:r>
      <w:r w:rsidRPr="00A00AAC">
        <w:t xml:space="preserve"> $</w:t>
      </w:r>
      <w:r>
        <w:t>776 million higher than the revised 2015</w:t>
      </w:r>
      <w:r>
        <w:noBreakHyphen/>
        <w:t xml:space="preserve">16 estimate, mainly due to higher than expected revenue and lower expenses, primarily due to the unexpected underspend across departments and the </w:t>
      </w:r>
      <w:proofErr w:type="spellStart"/>
      <w:r>
        <w:t>rephasing</w:t>
      </w:r>
      <w:proofErr w:type="spellEnd"/>
      <w:r>
        <w:t xml:space="preserve"> of the transfer of the Australian Synchrotron to the Commonwealth Government, which is expected to occur in 2016-17.</w:t>
      </w:r>
    </w:p>
    <w:p w:rsidR="00DF17E9" w:rsidRDefault="00DF17E9" w:rsidP="00044843">
      <w:r>
        <w:t>The increase of $1.5 billion in net result from transactions when compared to the previous year was mainly due to higher taxation revenue from land transfer duties, higher revenue from goods and services tax (GST) and also the one</w:t>
      </w:r>
      <w:r>
        <w:noBreakHyphen/>
        <w:t xml:space="preserve">off revenue from the High Court of Australia’s decision to overturn the Court of Appeal’s previous decision relating to Tatts Group Limited’s (Tatts) ‘Gambling Licenses’ proceedings, which resulted in an additional $541 million of revenue plus interest recorded for the financial year. </w:t>
      </w:r>
      <w:r w:rsidRPr="00627655">
        <w:t>Th</w:t>
      </w:r>
      <w:r>
        <w:t>e</w:t>
      </w:r>
      <w:r w:rsidRPr="00627655">
        <w:t xml:space="preserve"> increase</w:t>
      </w:r>
      <w:r>
        <w:t>s in revenue were</w:t>
      </w:r>
      <w:r w:rsidRPr="00627655">
        <w:t xml:space="preserve"> partly offset by an increase in employee expenses</w:t>
      </w:r>
      <w:r>
        <w:t xml:space="preserve"> mainly attributable to increased service delivery in the health, education and police sectors as well as salary growth consistent with wages policy compared to last year.</w:t>
      </w:r>
    </w:p>
    <w:p w:rsidR="00DF17E9" w:rsidRDefault="00DF17E9" w:rsidP="00044843">
      <w:r w:rsidRPr="00F60B21">
        <w:t xml:space="preserve">The </w:t>
      </w:r>
      <w:r w:rsidRPr="00F60B21">
        <w:rPr>
          <w:b/>
        </w:rPr>
        <w:t>net result</w:t>
      </w:r>
      <w:r w:rsidRPr="00F60B21">
        <w:t xml:space="preserve"> is a further measure of financial performance for the period, including the impact of financial market movements on the v</w:t>
      </w:r>
      <w:r>
        <w:t>alue</w:t>
      </w:r>
      <w:r w:rsidRPr="00F60B21">
        <w:t xml:space="preserve"> of assets and liabilities. The 2015</w:t>
      </w:r>
      <w:r>
        <w:noBreakHyphen/>
      </w:r>
      <w:r w:rsidRPr="00F60B21">
        <w:t xml:space="preserve">16 net result was </w:t>
      </w:r>
      <w:r>
        <w:t xml:space="preserve">$179 million </w:t>
      </w:r>
      <w:r w:rsidRPr="00F60B21">
        <w:t>higher than the revised budget</w:t>
      </w:r>
      <w:r>
        <w:t xml:space="preserve"> due to the same reasons as explained for the net result from transactions offset by</w:t>
      </w:r>
      <w:r w:rsidRPr="00BC3809">
        <w:t xml:space="preserve"> an increase in losses from other economic flows</w:t>
      </w:r>
      <w:r>
        <w:t xml:space="preserve">. </w:t>
      </w:r>
    </w:p>
    <w:p w:rsidR="00DF17E9" w:rsidRDefault="00044843" w:rsidP="00044843">
      <w:r>
        <w:br w:type="column"/>
      </w:r>
      <w:r w:rsidR="00DF17E9">
        <w:lastRenderedPageBreak/>
        <w:t xml:space="preserve">The </w:t>
      </w:r>
      <w:r w:rsidR="00DF17E9" w:rsidRPr="003822A9">
        <w:rPr>
          <w:b/>
        </w:rPr>
        <w:t>net lending</w:t>
      </w:r>
      <w:r w:rsidR="00DF17E9">
        <w:t xml:space="preserve"> measure broadly reflects the net impact of the general government sector on the economy and financial markets, including the impact of operating and capital investing transactions. </w:t>
      </w:r>
      <w:r w:rsidR="00DF17E9" w:rsidRPr="00F508FA">
        <w:t xml:space="preserve">The net lending </w:t>
      </w:r>
      <w:r w:rsidR="00DF17E9">
        <w:t>of $1.9</w:t>
      </w:r>
      <w:r w:rsidR="00DF17E9" w:rsidRPr="00221B07">
        <w:t xml:space="preserve"> billion </w:t>
      </w:r>
      <w:r w:rsidR="00DF17E9" w:rsidRPr="00F508FA">
        <w:t>for 2015</w:t>
      </w:r>
      <w:r w:rsidR="00DF17E9">
        <w:noBreakHyphen/>
      </w:r>
      <w:r w:rsidR="00DF17E9" w:rsidRPr="00F508FA">
        <w:t xml:space="preserve">16 </w:t>
      </w:r>
      <w:r w:rsidR="00DF17E9">
        <w:t>was $573 million higher than</w:t>
      </w:r>
      <w:r w:rsidR="00DF17E9" w:rsidRPr="00F508FA">
        <w:t xml:space="preserve"> the </w:t>
      </w:r>
      <w:r w:rsidR="00DF17E9">
        <w:t>revised estimate mainly attributable to a higher net result from transactions compared to revised estimate</w:t>
      </w:r>
      <w:r w:rsidR="00DF17E9" w:rsidRPr="00F508FA">
        <w:t>.</w:t>
      </w:r>
    </w:p>
    <w:p w:rsidR="00DF17E9" w:rsidRDefault="00DF17E9" w:rsidP="00044843">
      <w:r>
        <w:t>The 2015</w:t>
      </w:r>
      <w:r>
        <w:noBreakHyphen/>
        <w:t xml:space="preserve">16 </w:t>
      </w:r>
      <w:r w:rsidRPr="003822A9">
        <w:rPr>
          <w:b/>
        </w:rPr>
        <w:t>comprehensive result – total change in net worth</w:t>
      </w:r>
      <w:r>
        <w:t xml:space="preserve"> was </w:t>
      </w:r>
      <w:r w:rsidRPr="00AB36D7">
        <w:t>$</w:t>
      </w:r>
      <w:r>
        <w:t>7.5 billion</w:t>
      </w:r>
      <w:r w:rsidRPr="00AB36D7">
        <w:t xml:space="preserve"> higher than 2014</w:t>
      </w:r>
      <w:r>
        <w:noBreakHyphen/>
      </w:r>
      <w:r w:rsidRPr="00AB36D7">
        <w:t>15</w:t>
      </w:r>
      <w:r>
        <w:t xml:space="preserve">. The increase is mainly due to the gain on </w:t>
      </w:r>
      <w:r w:rsidRPr="00265DDD">
        <w:t>investment</w:t>
      </w:r>
      <w:r>
        <w:t>s</w:t>
      </w:r>
      <w:r w:rsidRPr="00265DDD">
        <w:t xml:space="preserve"> </w:t>
      </w:r>
      <w:r>
        <w:t>of the general government sector in the public non-financial corporations (PNFC) sector,</w:t>
      </w:r>
      <w:r w:rsidRPr="00265DDD">
        <w:t xml:space="preserve"> </w:t>
      </w:r>
      <w:r>
        <w:t>caused primarily by the increase in the net worth of Port of Melbourne Corporation. It is also attributable to the same drivers that</w:t>
      </w:r>
      <w:r w:rsidRPr="00AB36D7">
        <w:t xml:space="preserve"> i</w:t>
      </w:r>
      <w:r>
        <w:t>ncreased the</w:t>
      </w:r>
      <w:r w:rsidRPr="00AB36D7">
        <w:t xml:space="preserve"> net result </w:t>
      </w:r>
      <w:r>
        <w:t>from transactions relative to 2014</w:t>
      </w:r>
      <w:r>
        <w:noBreakHyphen/>
        <w:t>15</w:t>
      </w:r>
      <w:r w:rsidRPr="00AB36D7">
        <w:t>.</w:t>
      </w:r>
      <w:r>
        <w:t xml:space="preserve"> </w:t>
      </w:r>
    </w:p>
    <w:p w:rsidR="00DF17E9" w:rsidRDefault="00DF17E9" w:rsidP="00044843">
      <w:r>
        <w:t xml:space="preserve">The increase from the revised budget reflects the impact of the </w:t>
      </w:r>
      <w:r w:rsidRPr="00265DDD">
        <w:t xml:space="preserve">revaluation of </w:t>
      </w:r>
      <w:r>
        <w:t xml:space="preserve">the land and buildings for the Department of Education and Training and the Department of Environment, Land, Water and Planning. It is also attributable to the gain on </w:t>
      </w:r>
      <w:r w:rsidRPr="00265DDD">
        <w:t>investment</w:t>
      </w:r>
      <w:r>
        <w:t>s</w:t>
      </w:r>
      <w:r w:rsidRPr="00265DDD">
        <w:t xml:space="preserve"> </w:t>
      </w:r>
      <w:r>
        <w:t>of the general government sector in the public non-financial corporations (PNFC) sector,</w:t>
      </w:r>
      <w:r w:rsidRPr="00265DDD">
        <w:t xml:space="preserve"> </w:t>
      </w:r>
      <w:r>
        <w:t>caused primarily by the increase in the net worth of Port of Melbourne Corporation, Directo</w:t>
      </w:r>
      <w:r w:rsidR="005B64A3">
        <w:t>r of Housing and</w:t>
      </w:r>
      <w:r w:rsidR="00F90DAE">
        <w:t xml:space="preserve"> </w:t>
      </w:r>
      <w:r w:rsidR="005B64A3">
        <w:t xml:space="preserve">the </w:t>
      </w:r>
      <w:r w:rsidR="00F90DAE">
        <w:t>Water Corporations</w:t>
      </w:r>
      <w:r>
        <w:t>.</w:t>
      </w:r>
    </w:p>
    <w:p w:rsidR="00DF17E9" w:rsidRDefault="00DF17E9" w:rsidP="00044843">
      <w:r>
        <w:t xml:space="preserve">The </w:t>
      </w:r>
      <w:r w:rsidRPr="00265DDD">
        <w:rPr>
          <w:b/>
        </w:rPr>
        <w:t xml:space="preserve">cash surplus </w:t>
      </w:r>
      <w:r w:rsidRPr="00265DDD">
        <w:t>position in 2015</w:t>
      </w:r>
      <w:r>
        <w:noBreakHyphen/>
      </w:r>
      <w:r w:rsidRPr="00265DDD">
        <w:t>16</w:t>
      </w:r>
      <w:r>
        <w:t xml:space="preserve"> reflects the sum of net cash flows from operating and capital investing activities. The improvement from a deficit position in 2014</w:t>
      </w:r>
      <w:r>
        <w:noBreakHyphen/>
        <w:t>15 actual outcome to a surplus position in 2015</w:t>
      </w:r>
      <w:r>
        <w:noBreakHyphen/>
        <w:t>16 was due to higher grants and taxation revenue.</w:t>
      </w:r>
    </w:p>
    <w:p w:rsidR="00DF17E9" w:rsidRDefault="00DF17E9" w:rsidP="00044843">
      <w:r w:rsidRPr="008C40FF">
        <w:rPr>
          <w:b/>
        </w:rPr>
        <w:lastRenderedPageBreak/>
        <w:t>Net worth</w:t>
      </w:r>
      <w:r>
        <w:t xml:space="preserve"> is a measure of economic wealth and is equal to net assets outlined in Table 2.4. </w:t>
      </w:r>
      <w:r w:rsidRPr="009D72B7">
        <w:t xml:space="preserve">The increase from both the previous year and revised budget is primarily </w:t>
      </w:r>
      <w:r>
        <w:t>due to</w:t>
      </w:r>
      <w:r w:rsidRPr="009D72B7">
        <w:t xml:space="preserve"> the</w:t>
      </w:r>
      <w:r>
        <w:t xml:space="preserve"> </w:t>
      </w:r>
      <w:r w:rsidRPr="00265DDD">
        <w:t xml:space="preserve">revaluation of </w:t>
      </w:r>
      <w:r>
        <w:t>the land and buildings of the Department of Education and Training and the Department of Environment, Land, Water and Planning. It is also due to the increase in the investment of the general government in other sectors, primarily reflecting the increase in net worth of the Port of Melbourne Corporation, D</w:t>
      </w:r>
      <w:r w:rsidR="005B64A3">
        <w:t xml:space="preserve">irector of Housing and the </w:t>
      </w:r>
      <w:r w:rsidR="00F90DAE">
        <w:t>W</w:t>
      </w:r>
      <w:r>
        <w:t>ater</w:t>
      </w:r>
      <w:r w:rsidR="00F90DAE">
        <w:t xml:space="preserve"> Corporations</w:t>
      </w:r>
      <w:r>
        <w:t xml:space="preserve"> attributable to the revaluation of their non-financial assets during the year.</w:t>
      </w:r>
    </w:p>
    <w:p w:rsidR="00DF17E9" w:rsidRDefault="00DF17E9" w:rsidP="00044843">
      <w:r>
        <w:t xml:space="preserve">The year on year movement in </w:t>
      </w:r>
      <w:r w:rsidRPr="00E3684D">
        <w:rPr>
          <w:b/>
        </w:rPr>
        <w:t>net financial worth</w:t>
      </w:r>
      <w:r>
        <w:t xml:space="preserve">, which is equal to total financial assets less total liabilities, was also mainly due to the increase in </w:t>
      </w:r>
      <w:r w:rsidRPr="009D72B7">
        <w:t>the investment of the gene</w:t>
      </w:r>
      <w:r>
        <w:t>ral government in other sectors.</w:t>
      </w:r>
    </w:p>
    <w:p w:rsidR="00DF17E9" w:rsidRDefault="00DF17E9" w:rsidP="00044843">
      <w:r>
        <w:rPr>
          <w:b/>
        </w:rPr>
        <w:br w:type="column"/>
      </w:r>
      <w:r w:rsidRPr="008C40FF">
        <w:rPr>
          <w:b/>
        </w:rPr>
        <w:lastRenderedPageBreak/>
        <w:t>Net financial liabilities</w:t>
      </w:r>
      <w:r>
        <w:t xml:space="preserve"> are total liabilities less financial assets (excluding investments in other sector entities). Net financial liabilities were </w:t>
      </w:r>
      <w:r w:rsidRPr="00E3684D">
        <w:t>$58.</w:t>
      </w:r>
      <w:r>
        <w:t xml:space="preserve">7 billion as at 30 June 2016, </w:t>
      </w:r>
      <w:r w:rsidRPr="00E3684D">
        <w:t>$</w:t>
      </w:r>
      <w:r>
        <w:t xml:space="preserve">1.5 billion </w:t>
      </w:r>
      <w:r w:rsidR="00494A92">
        <w:br/>
      </w:r>
      <w:r>
        <w:t>higher than in</w:t>
      </w:r>
      <w:r w:rsidRPr="00E3684D">
        <w:t xml:space="preserve"> the re</w:t>
      </w:r>
      <w:r>
        <w:t>vised budget. This increase is  primarily due to a reduction</w:t>
      </w:r>
      <w:r w:rsidRPr="00E3684D">
        <w:t xml:space="preserve"> in the bond yields that </w:t>
      </w:r>
      <w:r>
        <w:t>were</w:t>
      </w:r>
      <w:r w:rsidRPr="00E3684D">
        <w:t xml:space="preserve"> used </w:t>
      </w:r>
      <w:r>
        <w:t>to value</w:t>
      </w:r>
      <w:r w:rsidRPr="00E3684D">
        <w:t xml:space="preserve"> the superannuation liability.</w:t>
      </w:r>
    </w:p>
    <w:p w:rsidR="00DF17E9" w:rsidRDefault="00DF17E9" w:rsidP="00044843">
      <w:r w:rsidRPr="008C40FF">
        <w:rPr>
          <w:b/>
        </w:rPr>
        <w:t>Net debt</w:t>
      </w:r>
      <w:r>
        <w:t xml:space="preserve"> reflects gross debt less liquid financial assets. Net debt of $22.3 billion at 30 June 2016 </w:t>
      </w:r>
      <w:r w:rsidR="00494A92">
        <w:br/>
      </w:r>
      <w:r>
        <w:t xml:space="preserve">was in line with the revised estimates in the </w:t>
      </w:r>
      <w:r>
        <w:rPr>
          <w:i/>
        </w:rPr>
        <w:t>2016</w:t>
      </w:r>
      <w:r>
        <w:rPr>
          <w:i/>
        </w:rPr>
        <w:noBreakHyphen/>
        <w:t>17 </w:t>
      </w:r>
      <w:r w:rsidRPr="00C74AD8">
        <w:rPr>
          <w:i/>
        </w:rPr>
        <w:t>Budget</w:t>
      </w:r>
      <w:r>
        <w:t xml:space="preserve">. </w:t>
      </w:r>
    </w:p>
    <w:p w:rsidR="00DF17E9" w:rsidRDefault="00DF17E9">
      <w:pPr>
        <w:rPr>
          <w:rFonts w:asciiTheme="majorHAnsi" w:hAnsiTheme="majorHAnsi"/>
          <w:b/>
          <w:spacing w:val="-2"/>
        </w:rPr>
      </w:pPr>
      <w:r>
        <w:br w:type="page"/>
      </w:r>
    </w:p>
    <w:p w:rsidR="00DF17E9" w:rsidRDefault="00DF17E9" w:rsidP="00044843">
      <w:pPr>
        <w:pStyle w:val="Subheadingunderline"/>
      </w:pPr>
      <w:r>
        <w:lastRenderedPageBreak/>
        <w:t>FINANCIAL PERFORMANCE</w:t>
      </w:r>
    </w:p>
    <w:p w:rsidR="00DF17E9" w:rsidRDefault="00DF17E9" w:rsidP="00044843">
      <w:r>
        <w:t>Table 2.2 shows an operating surplus of $2.7 billion in 2015</w:t>
      </w:r>
      <w:r>
        <w:noBreakHyphen/>
        <w:t>16 compared with the revised 2015</w:t>
      </w:r>
      <w:r>
        <w:noBreakHyphen/>
        <w:t>16 estimate of $1.9 billion.</w:t>
      </w:r>
    </w:p>
    <w:p w:rsidR="00DF17E9" w:rsidRDefault="00DF17E9" w:rsidP="00044843">
      <w:r>
        <w:br w:type="column"/>
      </w:r>
    </w:p>
    <w:p w:rsidR="00DF17E9" w:rsidRDefault="00DF17E9" w:rsidP="00044843">
      <w:pPr>
        <w:sectPr w:rsidR="00DF17E9" w:rsidSect="00044843">
          <w:type w:val="continuous"/>
          <w:pgSz w:w="11906" w:h="16838" w:code="9"/>
          <w:pgMar w:top="1138" w:right="1138" w:bottom="1138" w:left="1138" w:header="619" w:footer="562" w:gutter="0"/>
          <w:cols w:num="2" w:space="708"/>
          <w:docGrid w:linePitch="360"/>
        </w:sectPr>
      </w:pPr>
    </w:p>
    <w:p w:rsidR="00DF17E9" w:rsidRPr="00D42DCD" w:rsidRDefault="00DF17E9" w:rsidP="00044843">
      <w:pPr>
        <w:pStyle w:val="Subheading"/>
        <w:rPr>
          <w:bCs/>
          <w:lang w:val="en-US"/>
        </w:rPr>
      </w:pPr>
      <w:r>
        <w:lastRenderedPageBreak/>
        <w:t>Table 2.2: Summary of operating statement</w:t>
      </w:r>
      <w:r>
        <w:tab/>
      </w:r>
      <w:r w:rsidRPr="008C40FF">
        <w:rPr>
          <w:rStyle w:val="TableUnitsChar"/>
        </w:rPr>
        <w:t>($</w:t>
      </w:r>
      <w:r>
        <w:rPr>
          <w:rStyle w:val="TableUnitsChar"/>
        </w:rPr>
        <w:t> million</w:t>
      </w:r>
      <w:r w:rsidRPr="008C40FF">
        <w:rPr>
          <w:rStyle w:val="TableUnitsChar"/>
        </w:rPr>
        <w:t>)</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907"/>
      </w:tblGrid>
      <w:tr w:rsidR="00A429B9" w:rsidRPr="00D42DCD" w:rsidTr="00A429B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102" w:type="dxa"/>
          </w:tcPr>
          <w:p w:rsidR="00A429B9" w:rsidRPr="00D42DCD" w:rsidRDefault="00A429B9" w:rsidP="00044843">
            <w:pPr>
              <w:ind w:left="0" w:firstLine="0"/>
              <w:rPr>
                <w:i w:val="0"/>
                <w:color w:val="FFFFFF"/>
              </w:rPr>
            </w:pPr>
            <w:r w:rsidRPr="00D42DCD">
              <w:rPr>
                <w:color w:val="FFFFFF"/>
              </w:rPr>
              <w:t xml:space="preserve"> </w:t>
            </w:r>
          </w:p>
          <w:p w:rsidR="00A429B9" w:rsidRPr="00D42DCD" w:rsidRDefault="00A429B9" w:rsidP="00044843">
            <w:pPr>
              <w:ind w:left="0"/>
              <w:rPr>
                <w:color w:val="FFFFFF"/>
              </w:rPr>
            </w:pPr>
            <w:r w:rsidRPr="00D42DCD">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2016</w:t>
            </w:r>
          </w:p>
          <w:p w:rsidR="00A429B9" w:rsidRPr="00D42DCD" w:rsidRDefault="00A429B9" w:rsidP="00044843">
            <w:pPr>
              <w:rPr>
                <w:color w:val="FFFFFF"/>
              </w:rPr>
            </w:pPr>
            <w:r w:rsidRPr="00D42DCD">
              <w:rPr>
                <w:color w:val="FFFFFF"/>
              </w:rPr>
              <w:t xml:space="preserve"> actual</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 xml:space="preserve">2016 </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revised</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Revised </w:t>
            </w:r>
          </w:p>
          <w:p w:rsidR="00A429B9" w:rsidRPr="00D42DCD" w:rsidRDefault="00A429B9" w:rsidP="00044843">
            <w:pPr>
              <w:rPr>
                <w:color w:val="FFFFFF"/>
              </w:rPr>
            </w:pPr>
            <w:r w:rsidRPr="00D42DCD">
              <w:rPr>
                <w:color w:val="FFFFFF"/>
              </w:rPr>
              <w:t>variance</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 xml:space="preserve">% revised </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variance</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2015 </w:t>
            </w:r>
          </w:p>
          <w:p w:rsidR="00A429B9" w:rsidRPr="00D42DCD" w:rsidRDefault="00A429B9" w:rsidP="00044843">
            <w:pPr>
              <w:rPr>
                <w:color w:val="FFFFFF"/>
              </w:rPr>
            </w:pPr>
            <w:r w:rsidRPr="00D42DCD">
              <w:rPr>
                <w:color w:val="FFFFFF"/>
              </w:rPr>
              <w:t>actual</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Revenue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Taxation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19 896</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20 079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(183)</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18 339</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Interest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786</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795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(8)</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827</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848</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762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86</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1 113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6 671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6 643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29</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6 482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color w:val="000000"/>
              </w:rPr>
              <w:t>Grant revenue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25 406</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25 364</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43</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24 503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color w:val="000000"/>
              </w:rPr>
              <w:t>Other revenue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3 108</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2 828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280</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2 508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113" w:hanging="113"/>
              <w:rPr>
                <w:color w:val="000000"/>
              </w:rPr>
            </w:pPr>
            <w:r w:rsidRPr="00D42DCD">
              <w:rPr>
                <w:b/>
                <w:color w:val="000000"/>
              </w:rPr>
              <w:t>Total revenue from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56 716</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56 470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r w:rsidRPr="00D42DCD">
              <w:rPr>
                <w:b/>
                <w:color w:val="000000"/>
              </w:rPr>
              <w:t>246</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53 772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Expenses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Employee expenses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20 002</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20 057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(55)</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18 834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Net superannuation 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878</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878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1 038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Other 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2 123</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2 130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(7)</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1 978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Depreciation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2 504</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2 506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2 425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2 076</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2 134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(58)</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2 102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color w:val="000000"/>
              </w:rPr>
              <w:t>Other operating expenses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17 905</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18 331</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(426)</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17 651</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color w:val="000000"/>
              </w:rPr>
              <w:t>Grant expense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8 564</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8 547</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17</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8 529</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Total expenses from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54 052</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54 582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(530)</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52 558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Net result from transactions – net operating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2 664</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1 888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776</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41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1 214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(847)</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(250)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(596)</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238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(465)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D42DCD" w:rsidRDefault="00DF17E9" w:rsidP="00044843">
            <w:pPr>
              <w:ind w:left="113" w:hanging="113"/>
              <w:rPr>
                <w:color w:val="000000"/>
              </w:rPr>
            </w:pPr>
            <w:r w:rsidRPr="00D42DCD">
              <w:rPr>
                <w:b/>
                <w:color w:val="000000"/>
              </w:rPr>
              <w:t>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pPr>
              <w:rPr>
                <w:color w:val="000000"/>
              </w:rPr>
            </w:pPr>
            <w:r w:rsidRPr="00D42DCD">
              <w:rPr>
                <w:b/>
                <w:color w:val="000000"/>
              </w:rPr>
              <w:t>1 817</w:t>
            </w:r>
          </w:p>
        </w:tc>
        <w:tc>
          <w:tcPr>
            <w:tcW w:w="907"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1 638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r w:rsidRPr="00D42DCD">
              <w:rPr>
                <w:b/>
                <w:color w:val="000000"/>
              </w:rPr>
              <w:t>180</w:t>
            </w:r>
          </w:p>
        </w:tc>
        <w:tc>
          <w:tcPr>
            <w:tcW w:w="907"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r w:rsidRPr="00D42DCD">
              <w:rPr>
                <w:b/>
                <w:color w:val="000000"/>
              </w:rPr>
              <w:t>749</w:t>
            </w:r>
          </w:p>
        </w:tc>
      </w:tr>
    </w:tbl>
    <w:p w:rsidR="00DF17E9" w:rsidRDefault="00DF17E9" w:rsidP="00044843">
      <w:pPr>
        <w:pStyle w:val="Note"/>
        <w:ind w:left="0" w:firstLine="0"/>
      </w:pPr>
    </w:p>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pStyle w:val="Subheadingunderline"/>
      </w:pPr>
      <w:r>
        <w:lastRenderedPageBreak/>
        <w:t>Revenue</w:t>
      </w:r>
    </w:p>
    <w:p w:rsidR="00DF17E9" w:rsidRDefault="00DF17E9" w:rsidP="00044843">
      <w:r>
        <w:t>Total revenue from transactions for the year was $56.7 billion, which was within 0.4 per cent</w:t>
      </w:r>
      <w:r w:rsidRPr="00E7489C">
        <w:t xml:space="preserve"> of the</w:t>
      </w:r>
      <w:r>
        <w:t xml:space="preserve"> revised estimate and $2.9 billion</w:t>
      </w:r>
      <w:r w:rsidRPr="00E7489C">
        <w:t xml:space="preserve"> (</w:t>
      </w:r>
      <w:r>
        <w:t>5.5 per cent</w:t>
      </w:r>
      <w:r w:rsidRPr="00E7489C">
        <w:t>) higher than the previous year.</w:t>
      </w:r>
    </w:p>
    <w:p w:rsidR="009300BD" w:rsidRDefault="00DF17E9" w:rsidP="009300BD">
      <w:r>
        <w:t xml:space="preserve">Table 2.3 shows that State taxation revenue increased </w:t>
      </w:r>
      <w:r w:rsidRPr="00F638DB">
        <w:t>by $1.6</w:t>
      </w:r>
      <w:r>
        <w:t> billion compared to 2014</w:t>
      </w:r>
      <w:r>
        <w:noBreakHyphen/>
        <w:t xml:space="preserve">15. This was mainly due to increases in land transfer </w:t>
      </w:r>
      <w:r w:rsidRPr="006F018C">
        <w:t>duty ($901</w:t>
      </w:r>
      <w:r>
        <w:t> million</w:t>
      </w:r>
      <w:r w:rsidRPr="006F018C">
        <w:t>)</w:t>
      </w:r>
      <w:r>
        <w:t xml:space="preserve"> on the back of continued strength in the property market throughout 2015</w:t>
      </w:r>
      <w:r>
        <w:noBreakHyphen/>
      </w:r>
      <w:r w:rsidRPr="002E4BA7">
        <w:t>16. In addition, payroll tax collections have increased by $</w:t>
      </w:r>
      <w:r>
        <w:t>230 million</w:t>
      </w:r>
      <w:r w:rsidRPr="002E4BA7">
        <w:t xml:space="preserve">, reflecting </w:t>
      </w:r>
      <w:r w:rsidRPr="00AD3371">
        <w:t>growth in aggregate employment and wages over 2015</w:t>
      </w:r>
      <w:r>
        <w:noBreakHyphen/>
      </w:r>
      <w:r w:rsidRPr="00AD3371">
        <w:t>16</w:t>
      </w:r>
      <w:r w:rsidRPr="002E4BA7">
        <w:t>.</w:t>
      </w:r>
    </w:p>
    <w:p w:rsidR="009300BD" w:rsidRDefault="009300BD" w:rsidP="009300BD">
      <w:pPr>
        <w:spacing w:before="260"/>
      </w:pPr>
      <w:r>
        <w:br w:type="column"/>
      </w:r>
    </w:p>
    <w:p w:rsidR="00DF17E9" w:rsidRDefault="00DF17E9" w:rsidP="009300BD">
      <w:r>
        <w:t>State taxation revenue in 2015</w:t>
      </w:r>
      <w:r>
        <w:noBreakHyphen/>
        <w:t xml:space="preserve">16 was slightly lower than the revised estimates. </w:t>
      </w:r>
      <w:r w:rsidRPr="00F638DB">
        <w:t xml:space="preserve">The </w:t>
      </w:r>
      <w:r>
        <w:t xml:space="preserve">lower variance to the revised estimates </w:t>
      </w:r>
      <w:r w:rsidRPr="00F638DB">
        <w:t xml:space="preserve">was due to </w:t>
      </w:r>
      <w:r>
        <w:t>lower</w:t>
      </w:r>
      <w:r w:rsidRPr="00F638DB">
        <w:t xml:space="preserve"> than expected collections of land transfer duty </w:t>
      </w:r>
      <w:r>
        <w:t>as a result of lower volume of property transactions in the second half of the 2015</w:t>
      </w:r>
      <w:r>
        <w:noBreakHyphen/>
        <w:t>16 financial year.</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Default="00DF17E9">
      <w:pPr>
        <w:rPr>
          <w:rFonts w:asciiTheme="majorHAnsi" w:hAnsiTheme="majorHAnsi"/>
          <w:b/>
          <w:spacing w:val="-2"/>
        </w:rPr>
      </w:pPr>
      <w:r>
        <w:lastRenderedPageBreak/>
        <w:br w:type="page"/>
      </w:r>
    </w:p>
    <w:p w:rsidR="00DF17E9" w:rsidRPr="00D42DCD" w:rsidRDefault="00DF17E9" w:rsidP="00044843">
      <w:pPr>
        <w:pStyle w:val="Subheading"/>
        <w:spacing w:after="120"/>
        <w:rPr>
          <w:bCs/>
          <w:lang w:val="en-US"/>
        </w:rPr>
      </w:pPr>
      <w:r>
        <w:lastRenderedPageBreak/>
        <w:t>Table 2.3: Taxation</w:t>
      </w:r>
      <w:r>
        <w:tab/>
      </w:r>
      <w:r w:rsidRPr="0059074F">
        <w:rPr>
          <w:rStyle w:val="TableUnitsChar"/>
        </w:rPr>
        <w:t>($ million)</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907"/>
      </w:tblGrid>
      <w:tr w:rsidR="00A429B9" w:rsidRPr="00D42DCD" w:rsidTr="00A429B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102" w:type="dxa"/>
          </w:tcPr>
          <w:p w:rsidR="00A429B9" w:rsidRPr="00D42DCD" w:rsidRDefault="00A429B9" w:rsidP="00044843">
            <w:pPr>
              <w:ind w:left="0" w:firstLine="0"/>
              <w:rPr>
                <w:i w:val="0"/>
                <w:color w:val="FFFFFF"/>
              </w:rPr>
            </w:pPr>
            <w:r w:rsidRPr="00D42DCD">
              <w:rPr>
                <w:color w:val="FFFFFF"/>
              </w:rPr>
              <w:t xml:space="preserve"> </w:t>
            </w:r>
          </w:p>
          <w:p w:rsidR="00A429B9" w:rsidRPr="00D42DCD" w:rsidRDefault="00A429B9" w:rsidP="00044843">
            <w:pPr>
              <w:ind w:left="0"/>
              <w:rPr>
                <w:color w:val="FFFFFF"/>
              </w:rPr>
            </w:pPr>
            <w:r w:rsidRPr="00D42DCD">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2016 </w:t>
            </w:r>
          </w:p>
          <w:p w:rsidR="00A429B9" w:rsidRPr="00D42DCD" w:rsidRDefault="00A429B9" w:rsidP="00044843">
            <w:pPr>
              <w:rPr>
                <w:color w:val="FFFFFF"/>
              </w:rPr>
            </w:pPr>
            <w:r w:rsidRPr="00D42DCD">
              <w:rPr>
                <w:color w:val="FFFFFF"/>
              </w:rPr>
              <w:t>actual</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2016</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 xml:space="preserve"> revised</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Revised </w:t>
            </w:r>
          </w:p>
          <w:p w:rsidR="00A429B9" w:rsidRPr="00D42DCD" w:rsidRDefault="00A429B9" w:rsidP="00044843">
            <w:pPr>
              <w:rPr>
                <w:color w:val="FFFFFF"/>
              </w:rPr>
            </w:pPr>
            <w:r w:rsidRPr="00D42DCD">
              <w:rPr>
                <w:color w:val="FFFFFF"/>
              </w:rPr>
              <w:t>variance</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 xml:space="preserve">% revised </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variance</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2015 </w:t>
            </w:r>
          </w:p>
          <w:p w:rsidR="00A429B9" w:rsidRPr="00D42DCD" w:rsidRDefault="00A429B9" w:rsidP="00044843">
            <w:pPr>
              <w:rPr>
                <w:color w:val="FFFFFF"/>
              </w:rPr>
            </w:pPr>
            <w:r w:rsidRPr="00D42DCD">
              <w:rPr>
                <w:color w:val="FFFFFF"/>
              </w:rPr>
              <w:t>actual</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Taxes on employers’ payroll and labour force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5 365</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5 386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b/>
                <w:color w:val="000000"/>
              </w:rPr>
              <w:t>(20)</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5 135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Taxes on immovable property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Land tax</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1 771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1 734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37</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1 753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Fire Services Property Levy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674</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661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13</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588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color w:val="000000"/>
              </w:rPr>
              <w:t>Congestion levy</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102</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112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(10)</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(9)</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111</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color w:val="000000"/>
              </w:rPr>
              <w:t>Metropolitan improvement levy</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160</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159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153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113" w:hanging="113"/>
              <w:rPr>
                <w:color w:val="000000"/>
              </w:rPr>
            </w:pPr>
            <w:r w:rsidRPr="00D42DCD">
              <w:rPr>
                <w:b/>
                <w:color w:val="000000"/>
              </w:rPr>
              <w:t>Total taxes on immovable property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2 707</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2 666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r w:rsidRPr="00D42DCD">
              <w:rPr>
                <w:b/>
                <w:color w:val="000000"/>
              </w:rPr>
              <w:t>40</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2 604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Financial and capital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Land transfer duty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5 839</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6 064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(225)</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4 938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Other property duties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Pr>
                <w:color w:val="000000"/>
              </w:rPr>
              <w:t>(100</w:t>
            </w: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Metropolitan planning levy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20</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3</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w:t>
            </w:r>
            <w:r>
              <w:rPr>
                <w:color w:val="000000"/>
              </w:rPr>
              <w:t>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color w:val="000000"/>
              </w:rPr>
              <w:t>Financial accommodation levy</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147</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127</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19</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15</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105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color w:val="000000"/>
              </w:rPr>
              <w:t>Growth areas infrastructure contribution</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149</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138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11</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129</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Total financial and capital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6 155</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6 349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(194)</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5 174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Total taxes on property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8 862</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9 015</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(153)</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7 778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113" w:hanging="113"/>
              <w:rPr>
                <w:color w:val="000000"/>
              </w:rPr>
            </w:pPr>
            <w:r w:rsidRPr="00D42DCD">
              <w:rPr>
                <w:b/>
                <w:color w:val="000000"/>
              </w:rPr>
              <w:t>Taxes on the provision of goods and services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 xml:space="preserve"> </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 xml:space="preserve"> </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Gambling taxes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Public lotteries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427</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437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(10)</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401</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Electronic gaming machines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1 079</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1 080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1 059</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color w:val="000000"/>
              </w:rPr>
              <w:t>Casino</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228</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240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(12)</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r w:rsidRPr="00D42DCD">
              <w:rPr>
                <w:color w:val="000000"/>
              </w:rPr>
              <w:t>217</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color w:val="000000"/>
              </w:rPr>
              <w:t>Racing</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77</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79</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(2)</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(3)</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82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color w:val="000000"/>
              </w:rPr>
              <w:t>Other</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23</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24</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Pr>
                <w:color w:val="000000"/>
              </w:rPr>
              <w:t>(4</w:t>
            </w: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22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113" w:hanging="113"/>
              <w:rPr>
                <w:color w:val="000000"/>
              </w:rPr>
            </w:pPr>
            <w:r w:rsidRPr="00D42DCD">
              <w:rPr>
                <w:b/>
                <w:color w:val="000000"/>
              </w:rPr>
              <w:t>Total gambling taxes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1 834</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1 860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r w:rsidRPr="00D42DCD">
              <w:rPr>
                <w:b/>
                <w:color w:val="000000"/>
              </w:rPr>
              <w:t>(26)</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1 781</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b/>
                <w:color w:val="000000"/>
              </w:rPr>
              <w:t>Levies on statutory corporations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b/>
                <w:color w:val="000000"/>
              </w:rPr>
              <w:t>112</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112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b/>
                <w:color w:val="000000"/>
              </w:rPr>
              <w:t>..</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b/>
                <w:color w:val="000000"/>
              </w:rPr>
              <w:t>112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b/>
                <w:color w:val="000000"/>
              </w:rPr>
              <w:t>Taxes on insurance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b/>
                <w:color w:val="000000"/>
              </w:rPr>
              <w:t>1 151</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1 148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b/>
                <w:color w:val="000000"/>
              </w:rPr>
              <w:t>3</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b/>
                <w:color w:val="000000"/>
              </w:rPr>
              <w:t>1 088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Total taxes on the provision of goods and services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3 097</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3 120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(23)</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2 980</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113" w:hanging="113"/>
              <w:rPr>
                <w:color w:val="000000"/>
              </w:rPr>
            </w:pPr>
            <w:r w:rsidRPr="00D42DCD">
              <w:rPr>
                <w:b/>
                <w:color w:val="000000"/>
              </w:rPr>
              <w:t>Taxes on the use of goods and performance of activities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 xml:space="preserve"> </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 xml:space="preserve"> </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113" w:hanging="113"/>
              <w:rPr>
                <w:color w:val="000000"/>
              </w:rPr>
            </w:pPr>
            <w:r w:rsidRPr="00D42DCD">
              <w:rPr>
                <w:b/>
                <w:color w:val="000000"/>
              </w:rPr>
              <w:t>Motor vehicle taxes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color w:val="000000"/>
              </w:rPr>
              <w:t>Vehicle registration fees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1 456</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1 456</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color w:val="000000"/>
              </w:rPr>
              <w:t>..</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1 396</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color w:val="000000"/>
              </w:rPr>
              <w:t>Duty on vehicle registrations and transfers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779</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775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4</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720</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113" w:hanging="113"/>
              <w:rPr>
                <w:color w:val="000000"/>
              </w:rPr>
            </w:pPr>
            <w:r w:rsidRPr="00D42DCD">
              <w:rPr>
                <w:b/>
                <w:color w:val="000000"/>
              </w:rPr>
              <w:t>Total motor vehicle taxes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2 235</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2 231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r w:rsidRPr="00D42DCD">
              <w:rPr>
                <w:b/>
                <w:color w:val="000000"/>
              </w:rPr>
              <w:t>4</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2 117</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113" w:hanging="113"/>
              <w:rPr>
                <w:color w:val="000000"/>
              </w:rPr>
            </w:pPr>
            <w:r w:rsidRPr="00D42DCD">
              <w:rPr>
                <w:b/>
                <w:color w:val="000000"/>
              </w:rPr>
              <w:t>Liquor licence fees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b/>
                <w:color w:val="000000"/>
              </w:rPr>
              <w:t>22</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22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b/>
                <w:color w:val="000000"/>
              </w:rPr>
              <w:t>..</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r w:rsidRPr="00D42DCD">
              <w:rPr>
                <w:b/>
                <w:color w:val="000000"/>
              </w:rPr>
              <w:t>23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113" w:hanging="113"/>
              <w:rPr>
                <w:color w:val="000000"/>
              </w:rPr>
            </w:pPr>
            <w:r w:rsidRPr="00D42DCD">
              <w:rPr>
                <w:b/>
                <w:color w:val="000000"/>
              </w:rPr>
              <w:t>Other</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b/>
                <w:color w:val="000000"/>
              </w:rPr>
              <w:t>315</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305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b/>
                <w:color w:val="000000"/>
              </w:rPr>
              <w:t>10</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3</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b/>
                <w:color w:val="000000"/>
              </w:rPr>
              <w:t>306</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113" w:hanging="113"/>
              <w:rPr>
                <w:color w:val="000000"/>
              </w:rPr>
            </w:pPr>
            <w:r w:rsidRPr="00D42DCD">
              <w:rPr>
                <w:b/>
                <w:color w:val="000000"/>
              </w:rPr>
              <w:t>Total taxes on the use of goods and performance of activities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2 572</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2 558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r w:rsidRPr="00D42DCD">
              <w:rPr>
                <w:b/>
                <w:color w:val="000000"/>
              </w:rPr>
              <w:t>14</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2 445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D42DCD" w:rsidRDefault="00DF17E9" w:rsidP="00044843">
            <w:pPr>
              <w:ind w:left="113" w:hanging="113"/>
              <w:rPr>
                <w:color w:val="000000"/>
              </w:rPr>
            </w:pPr>
            <w:r w:rsidRPr="00D42DCD">
              <w:rPr>
                <w:b/>
                <w:color w:val="000000"/>
              </w:rPr>
              <w:t>Total taxation revenue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pPr>
              <w:rPr>
                <w:color w:val="000000"/>
              </w:rPr>
            </w:pPr>
            <w:r w:rsidRPr="00D42DCD">
              <w:rPr>
                <w:b/>
                <w:color w:val="000000"/>
              </w:rPr>
              <w:t>19 896</w:t>
            </w:r>
          </w:p>
        </w:tc>
        <w:tc>
          <w:tcPr>
            <w:tcW w:w="907"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20 079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r w:rsidRPr="00D42DCD">
              <w:rPr>
                <w:b/>
                <w:color w:val="000000"/>
              </w:rPr>
              <w:t>(183)</w:t>
            </w:r>
          </w:p>
        </w:tc>
        <w:tc>
          <w:tcPr>
            <w:tcW w:w="907"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pPr>
              <w:rPr>
                <w:color w:val="000000"/>
              </w:rPr>
            </w:pPr>
            <w:r w:rsidRPr="00D42DCD">
              <w:rPr>
                <w:b/>
                <w:color w:val="000000"/>
              </w:rPr>
              <w:t>18 339</w:t>
            </w:r>
          </w:p>
        </w:tc>
      </w:tr>
    </w:tbl>
    <w:p w:rsidR="00DF17E9" w:rsidRDefault="00DF17E9" w:rsidP="00044843">
      <w:pPr>
        <w:spacing w:after="0"/>
      </w:pPr>
    </w:p>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spacing w:after="100" w:line="259" w:lineRule="auto"/>
      </w:pPr>
      <w:r w:rsidRPr="00840C3A">
        <w:lastRenderedPageBreak/>
        <w:t>Dividends, income tax and rate equivalent revenue of $848 million, increased by $86 million compared to the revised estimate. The increase</w:t>
      </w:r>
      <w:r>
        <w:t xml:space="preserve"> in income tax equivalent revenue is mainly due to higher than expected profit by the metropolitan water sector and Port of Melbourne Corporation.</w:t>
      </w:r>
    </w:p>
    <w:p w:rsidR="00DF17E9" w:rsidRDefault="00DF17E9" w:rsidP="00044843">
      <w:pPr>
        <w:spacing w:after="100" w:line="259" w:lineRule="auto"/>
      </w:pPr>
      <w:r>
        <w:t xml:space="preserve">Compared to the same time last year, dividends, income tax and rate equivalent revenue decreased </w:t>
      </w:r>
      <w:r w:rsidRPr="00D31737">
        <w:t>by $</w:t>
      </w:r>
      <w:r>
        <w:t>265 million. This was</w:t>
      </w:r>
      <w:r w:rsidRPr="00D31737">
        <w:t xml:space="preserve"> mainly due to</w:t>
      </w:r>
      <w:r>
        <w:t xml:space="preserve"> the</w:t>
      </w:r>
      <w:r w:rsidRPr="00D31737">
        <w:t xml:space="preserve"> Government</w:t>
      </w:r>
      <w:r>
        <w:t>’</w:t>
      </w:r>
      <w:r w:rsidRPr="00D31737">
        <w:t xml:space="preserve">s commitment not to take dividends from </w:t>
      </w:r>
      <w:proofErr w:type="spellStart"/>
      <w:r w:rsidRPr="00D31737">
        <w:t>Work</w:t>
      </w:r>
      <w:r>
        <w:t>S</w:t>
      </w:r>
      <w:r w:rsidRPr="00D31737">
        <w:t>afe</w:t>
      </w:r>
      <w:proofErr w:type="spellEnd"/>
      <w:r>
        <w:t xml:space="preserve"> Victoria across the budget and forward estimates.</w:t>
      </w:r>
    </w:p>
    <w:p w:rsidR="00DF17E9" w:rsidRDefault="00DF17E9" w:rsidP="00044843">
      <w:pPr>
        <w:spacing w:after="100" w:line="259" w:lineRule="auto"/>
      </w:pPr>
      <w:r>
        <w:t xml:space="preserve">Revenue from sales of goods and services of </w:t>
      </w:r>
      <w:r w:rsidRPr="00D31737">
        <w:t>$6.7</w:t>
      </w:r>
      <w:r>
        <w:t xml:space="preserve"> billion was consistent with the revised budget estimate </w:t>
      </w:r>
      <w:r w:rsidRPr="0034579D">
        <w:t>and $189</w:t>
      </w:r>
      <w:r>
        <w:t> million</w:t>
      </w:r>
      <w:r w:rsidRPr="0034579D">
        <w:t xml:space="preserve"> (2.9</w:t>
      </w:r>
      <w:r>
        <w:t> per cent</w:t>
      </w:r>
      <w:r w:rsidRPr="0034579D">
        <w:t>)</w:t>
      </w:r>
      <w:r>
        <w:t xml:space="preserve"> higher than in 2014</w:t>
      </w:r>
      <w:r>
        <w:noBreakHyphen/>
      </w:r>
      <w:r w:rsidRPr="00C37A8E">
        <w:t>15. The year on year increase</w:t>
      </w:r>
      <w:r>
        <w:t xml:space="preserve"> primarily </w:t>
      </w:r>
      <w:r>
        <w:lastRenderedPageBreak/>
        <w:t>related</w:t>
      </w:r>
      <w:r w:rsidRPr="00C37A8E">
        <w:t xml:space="preserve"> to the higher capital asset charge for increased capital asset holdings in Victoria</w:t>
      </w:r>
      <w:r>
        <w:t>n</w:t>
      </w:r>
      <w:r w:rsidRPr="00C37A8E">
        <w:t xml:space="preserve"> Rail Track in 2015</w:t>
      </w:r>
      <w:r>
        <w:noBreakHyphen/>
      </w:r>
      <w:r w:rsidRPr="00C37A8E">
        <w:t>16.</w:t>
      </w:r>
    </w:p>
    <w:p w:rsidR="00DF17E9" w:rsidRDefault="00DF17E9" w:rsidP="00044843">
      <w:pPr>
        <w:spacing w:after="100" w:line="259" w:lineRule="auto"/>
      </w:pPr>
      <w:r w:rsidRPr="0069563B">
        <w:t>Other revenue in 2015</w:t>
      </w:r>
      <w:r w:rsidRPr="0069563B">
        <w:noBreakHyphen/>
        <w:t>16 was $</w:t>
      </w:r>
      <w:r>
        <w:t>280</w:t>
      </w:r>
      <w:r w:rsidRPr="0069563B">
        <w:t> million higher than the revised budget estimate, with the variance mainly from higher revenue than anticipated i</w:t>
      </w:r>
      <w:r>
        <w:t>n hospitals and health services.</w:t>
      </w:r>
    </w:p>
    <w:p w:rsidR="00DF17E9" w:rsidRDefault="00DF17E9" w:rsidP="00044843">
      <w:pPr>
        <w:spacing w:after="0" w:line="259" w:lineRule="auto"/>
      </w:pPr>
      <w:r>
        <w:t>Compared to the same time last year, other revenue increased by $600 million mainly attributable to the one</w:t>
      </w:r>
      <w:r>
        <w:noBreakHyphen/>
        <w:t>off revenue from the High Court of Australia’s decision to overturn the Court of Appeal’s previous decision relating to Tatts Group Limited’s (Tatts) ‘Gambling Licenses’ proceedings, which resulted in an additional $541 million of revenue plus interest recorded for the financial year.</w:t>
      </w:r>
    </w:p>
    <w:p w:rsidR="00DF17E9" w:rsidRDefault="00DF17E9" w:rsidP="00044843">
      <w:pPr>
        <w:pStyle w:val="Subheadingunderline"/>
      </w:pPr>
      <w:r>
        <w:lastRenderedPageBreak/>
        <w:t>Expenses</w:t>
      </w:r>
    </w:p>
    <w:p w:rsidR="00DF17E9" w:rsidRDefault="00DF17E9" w:rsidP="00044843">
      <w:r>
        <w:t>Total general government sector expenses for 2015</w:t>
      </w:r>
      <w:r>
        <w:noBreakHyphen/>
      </w:r>
      <w:r w:rsidRPr="00390D1B">
        <w:t>16 were $5</w:t>
      </w:r>
      <w:r>
        <w:t>30 million</w:t>
      </w:r>
      <w:r w:rsidRPr="00390D1B">
        <w:t xml:space="preserve"> lower than the revised estimate in the </w:t>
      </w:r>
      <w:r w:rsidRPr="00390D1B">
        <w:rPr>
          <w:i/>
        </w:rPr>
        <w:t>2016</w:t>
      </w:r>
      <w:r>
        <w:rPr>
          <w:i/>
        </w:rPr>
        <w:noBreakHyphen/>
      </w:r>
      <w:r w:rsidRPr="00390D1B">
        <w:rPr>
          <w:i/>
        </w:rPr>
        <w:t>17 Budget</w:t>
      </w:r>
      <w:r w:rsidRPr="00390D1B">
        <w:t>. When compared with the previous year, total expenses increased by $1.5</w:t>
      </w:r>
      <w:r>
        <w:t> billion</w:t>
      </w:r>
      <w:r w:rsidRPr="00390D1B">
        <w:t xml:space="preserve"> (2.8</w:t>
      </w:r>
      <w:r>
        <w:t> per cent</w:t>
      </w:r>
      <w:r w:rsidRPr="00390D1B">
        <w:t>).</w:t>
      </w:r>
      <w:r>
        <w:t xml:space="preserve"> </w:t>
      </w:r>
    </w:p>
    <w:p w:rsidR="00DF17E9" w:rsidRDefault="00DF17E9" w:rsidP="00044843">
      <w:r>
        <w:t>Employee expenses of $20 billion for 2015</w:t>
      </w:r>
      <w:r>
        <w:noBreakHyphen/>
        <w:t xml:space="preserve">16 were in line with the revised budget and </w:t>
      </w:r>
      <w:r w:rsidRPr="00390D1B">
        <w:t>6.2</w:t>
      </w:r>
      <w:r>
        <w:t> per cent</w:t>
      </w:r>
      <w:r w:rsidRPr="00390D1B">
        <w:t xml:space="preserve"> higher than in 2014</w:t>
      </w:r>
      <w:r>
        <w:noBreakHyphen/>
      </w:r>
      <w:r w:rsidRPr="00390D1B">
        <w:t>15.</w:t>
      </w:r>
      <w:r>
        <w:t xml:space="preserve"> Compared to the previous year, this was mainly attributable to increased service delivery in the health, education and police sectors as well as salary growth consistent with wages policy.</w:t>
      </w:r>
    </w:p>
    <w:p w:rsidR="00DF17E9" w:rsidRDefault="00DF17E9" w:rsidP="00044843">
      <w:r>
        <w:t>Other superannuation expense of $2.1 billion for 2015</w:t>
      </w:r>
      <w:r>
        <w:noBreakHyphen/>
        <w:t xml:space="preserve">16 was in line </w:t>
      </w:r>
      <w:r w:rsidRPr="009C3411">
        <w:t>with the revised budget. This expense was $</w:t>
      </w:r>
      <w:r>
        <w:t>145 million</w:t>
      </w:r>
      <w:r w:rsidRPr="009C3411">
        <w:t xml:space="preserve"> higher than in 2014</w:t>
      </w:r>
      <w:r>
        <w:noBreakHyphen/>
      </w:r>
      <w:r w:rsidRPr="009C3411">
        <w:t>15 due to a combination of higher employer contributions to define</w:t>
      </w:r>
      <w:r>
        <w:t>d contribution</w:t>
      </w:r>
      <w:r w:rsidRPr="009C3411">
        <w:t xml:space="preserve"> plans along with higher service costs on defined benefit plans as a result of the fall in bond yields.</w:t>
      </w:r>
    </w:p>
    <w:p w:rsidR="00DF17E9" w:rsidRDefault="00DF17E9" w:rsidP="00044843">
      <w:r>
        <w:br w:type="column"/>
      </w:r>
      <w:r>
        <w:lastRenderedPageBreak/>
        <w:t>Other operating expenses for 2015</w:t>
      </w:r>
      <w:r>
        <w:noBreakHyphen/>
        <w:t xml:space="preserve">16 were </w:t>
      </w:r>
      <w:r w:rsidRPr="00765A34">
        <w:t>$17.9</w:t>
      </w:r>
      <w:r>
        <w:t> billion</w:t>
      </w:r>
      <w:r w:rsidRPr="00765A34">
        <w:t>, $</w:t>
      </w:r>
      <w:r>
        <w:t>426 million</w:t>
      </w:r>
      <w:r w:rsidRPr="00765A34">
        <w:t xml:space="preserve"> (</w:t>
      </w:r>
      <w:r>
        <w:t>2.3 per cent</w:t>
      </w:r>
      <w:r w:rsidRPr="00765A34">
        <w:t>) lower than the revised budget and $</w:t>
      </w:r>
      <w:r>
        <w:t>254 million</w:t>
      </w:r>
      <w:r w:rsidRPr="00765A34">
        <w:t xml:space="preserve"> (1.4</w:t>
      </w:r>
      <w:r>
        <w:t> per cent</w:t>
      </w:r>
      <w:r w:rsidRPr="00765A34">
        <w:t>) higher than in 201</w:t>
      </w:r>
      <w:r>
        <w:t>4</w:t>
      </w:r>
      <w:r>
        <w:noBreakHyphen/>
      </w:r>
      <w:r w:rsidRPr="00765A34">
        <w:t>1</w:t>
      </w:r>
      <w:r>
        <w:t xml:space="preserve">5. </w:t>
      </w:r>
      <w:r w:rsidRPr="00765A34">
        <w:t>The reason for the decrease from the revised bud</w:t>
      </w:r>
      <w:r>
        <w:t xml:space="preserve">get was due to the unexpected underspend across departments. The </w:t>
      </w:r>
      <w:r w:rsidRPr="00AE53E8">
        <w:t>increase since 201</w:t>
      </w:r>
      <w:r>
        <w:t>4</w:t>
      </w:r>
      <w:r>
        <w:noBreakHyphen/>
      </w:r>
      <w:r w:rsidRPr="00AE53E8">
        <w:t>1</w:t>
      </w:r>
      <w:r>
        <w:t>5</w:t>
      </w:r>
      <w:r w:rsidRPr="00AE53E8">
        <w:t xml:space="preserve"> reflects additional spending on service delivery in the health services sector</w:t>
      </w:r>
      <w:r>
        <w:t>.</w:t>
      </w:r>
    </w:p>
    <w:p w:rsidR="00DF17E9" w:rsidRDefault="00DF17E9" w:rsidP="00044843">
      <w:r>
        <w:t>Grants and other transfer expense of $8.6 billion is in line with revised budget and consistent with last year’s grants expense.</w:t>
      </w:r>
    </w:p>
    <w:p w:rsidR="00DF17E9" w:rsidRDefault="00DF17E9" w:rsidP="00044843">
      <w:pPr>
        <w:pStyle w:val="Subheadingunderline"/>
      </w:pPr>
      <w:r>
        <w:t>Other economic flows included in the net result</w:t>
      </w:r>
    </w:p>
    <w:p w:rsidR="00DF17E9" w:rsidRDefault="00DF17E9" w:rsidP="00044843">
      <w:r>
        <w:t>The net result differs from the net result from transactions due to other economic flows, which includes various revaluation gains and losses recognised for the period.</w:t>
      </w:r>
    </w:p>
    <w:p w:rsidR="00DF17E9" w:rsidRDefault="00DF17E9" w:rsidP="00044843">
      <w:r>
        <w:t xml:space="preserve">The net result from transactions is the Government’s net surplus measure for the purposes of its fiscal strategy. </w:t>
      </w:r>
    </w:p>
    <w:p w:rsidR="00DF17E9" w:rsidRDefault="00DF17E9" w:rsidP="00044843">
      <w:r w:rsidRPr="0069563B">
        <w:t>Other economic flows included in the net result for 2015</w:t>
      </w:r>
      <w:r w:rsidRPr="0069563B">
        <w:noBreakHyphen/>
        <w:t>16 totalled a net loss of $</w:t>
      </w:r>
      <w:r>
        <w:t>847</w:t>
      </w:r>
      <w:r w:rsidRPr="0069563B">
        <w:t> million.</w:t>
      </w:r>
    </w:p>
    <w:p w:rsidR="00DF17E9" w:rsidRDefault="00DF17E9">
      <w:pPr>
        <w:rPr>
          <w:rFonts w:asciiTheme="majorHAnsi" w:hAnsiTheme="majorHAnsi"/>
          <w:b/>
          <w:spacing w:val="-2"/>
        </w:rPr>
      </w:pPr>
      <w:r>
        <w:br w:type="page"/>
      </w:r>
    </w:p>
    <w:p w:rsidR="00DF17E9" w:rsidRDefault="00DF17E9" w:rsidP="00044843">
      <w:pPr>
        <w:pStyle w:val="Subheadingunderline"/>
      </w:pPr>
      <w:r>
        <w:lastRenderedPageBreak/>
        <w:t>FINANCIAL POSITION</w:t>
      </w:r>
    </w:p>
    <w:p w:rsidR="00DF17E9" w:rsidRDefault="00DF17E9" w:rsidP="00044843">
      <w:r>
        <w:t xml:space="preserve">Table 2.4 shows the general government sector net assets </w:t>
      </w:r>
      <w:r w:rsidRPr="00CE0888">
        <w:t>increased by $</w:t>
      </w:r>
      <w:r>
        <w:t>15.3 billion</w:t>
      </w:r>
      <w:r w:rsidRPr="00CE0888">
        <w:t xml:space="preserve"> (</w:t>
      </w:r>
      <w:r>
        <w:t>11.2 per cent) to $151</w:t>
      </w:r>
      <w:r w:rsidRPr="00CE0888">
        <w:t>.</w:t>
      </w:r>
      <w:r>
        <w:t>7 billion in the 2015</w:t>
      </w:r>
      <w:r>
        <w:noBreakHyphen/>
        <w:t xml:space="preserve">16 financial year. This was </w:t>
      </w:r>
      <w:r w:rsidRPr="00CE0888">
        <w:t>$</w:t>
      </w:r>
      <w:r>
        <w:t>13.6 billion</w:t>
      </w:r>
      <w:r w:rsidRPr="00CE0888">
        <w:t xml:space="preserve"> (</w:t>
      </w:r>
      <w:r>
        <w:t>9.9 per cent</w:t>
      </w:r>
      <w:r w:rsidRPr="00CE0888">
        <w:t>) higher</w:t>
      </w:r>
      <w:r>
        <w:t xml:space="preserve"> than expected in the 2015</w:t>
      </w:r>
      <w:r>
        <w:noBreakHyphen/>
        <w:t>16 revised budget. The main drivers are outlined below.</w:t>
      </w:r>
    </w:p>
    <w:p w:rsidR="00DF17E9" w:rsidRDefault="00DF17E9" w:rsidP="00044843">
      <w:r>
        <w:br w:type="column"/>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Pr="00D42DCD" w:rsidRDefault="00DF17E9" w:rsidP="00044843">
      <w:pPr>
        <w:pStyle w:val="Subheading"/>
        <w:rPr>
          <w:bCs/>
          <w:lang w:val="en-US"/>
        </w:rPr>
      </w:pPr>
      <w:r>
        <w:lastRenderedPageBreak/>
        <w:t>Table 2.4: Summary balance sheet</w:t>
      </w:r>
      <w:r>
        <w:tab/>
      </w:r>
      <w:r w:rsidRPr="0025048F">
        <w:rPr>
          <w:rStyle w:val="TableUnitsChar"/>
        </w:rPr>
        <w:t>($</w:t>
      </w:r>
      <w:r>
        <w:rPr>
          <w:rStyle w:val="TableUnitsChar"/>
        </w:rPr>
        <w:t> million</w:t>
      </w:r>
      <w:r w:rsidRPr="0025048F">
        <w:rPr>
          <w:rStyle w:val="TableUnitsChar"/>
        </w:rPr>
        <w:t>)</w:t>
      </w:r>
    </w:p>
    <w:tbl>
      <w:tblPr>
        <w:tblStyle w:val="TableDTFGeneral"/>
        <w:tblW w:w="9694" w:type="dxa"/>
        <w:tblLayout w:type="fixed"/>
        <w:tblLook w:val="02A0" w:firstRow="1" w:lastRow="0" w:firstColumn="1" w:lastColumn="0" w:noHBand="1" w:noVBand="0"/>
      </w:tblPr>
      <w:tblGrid>
        <w:gridCol w:w="5102"/>
        <w:gridCol w:w="907"/>
        <w:gridCol w:w="907"/>
        <w:gridCol w:w="907"/>
        <w:gridCol w:w="964"/>
        <w:gridCol w:w="907"/>
      </w:tblGrid>
      <w:tr w:rsidR="00A429B9" w:rsidRPr="00D42DCD" w:rsidTr="00A429B9">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5102" w:type="dxa"/>
          </w:tcPr>
          <w:p w:rsidR="00A429B9" w:rsidRPr="00D42DCD" w:rsidRDefault="00A429B9" w:rsidP="00044843">
            <w:pPr>
              <w:ind w:left="0" w:firstLine="0"/>
              <w:rPr>
                <w:i w:val="0"/>
                <w:color w:val="FFFFFF"/>
              </w:rPr>
            </w:pPr>
            <w:r w:rsidRPr="00D42DCD">
              <w:rPr>
                <w:color w:val="FFFFFF"/>
              </w:rPr>
              <w:t xml:space="preserve"> </w:t>
            </w:r>
          </w:p>
          <w:p w:rsidR="00A429B9" w:rsidRPr="00D42DCD" w:rsidRDefault="00A429B9" w:rsidP="00044843">
            <w:pPr>
              <w:ind w:left="0"/>
              <w:rPr>
                <w:color w:val="FFFFFF"/>
              </w:rPr>
            </w:pPr>
            <w:r w:rsidRPr="00D42DCD">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2016 </w:t>
            </w:r>
          </w:p>
          <w:p w:rsidR="00A429B9" w:rsidRPr="00D42DCD" w:rsidRDefault="00A429B9" w:rsidP="00044843">
            <w:pPr>
              <w:rPr>
                <w:color w:val="FFFFFF"/>
              </w:rPr>
            </w:pPr>
            <w:r w:rsidRPr="00D42DCD">
              <w:rPr>
                <w:color w:val="FFFFFF"/>
              </w:rPr>
              <w:t xml:space="preserve"> actual</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 xml:space="preserve">Revised </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variance</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2016 </w:t>
            </w:r>
          </w:p>
          <w:p w:rsidR="00A429B9" w:rsidRPr="00D42DCD" w:rsidRDefault="00A429B9" w:rsidP="00044843">
            <w:pPr>
              <w:rPr>
                <w:color w:val="FFFFFF"/>
              </w:rPr>
            </w:pPr>
            <w:r w:rsidRPr="00D42DCD">
              <w:rPr>
                <w:color w:val="FFFFFF"/>
              </w:rPr>
              <w:t xml:space="preserve"> revised</w:t>
            </w:r>
          </w:p>
        </w:tc>
        <w:tc>
          <w:tcPr>
            <w:tcW w:w="964"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 xml:space="preserve">Actual </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 xml:space="preserve"> movement</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 xml:space="preserve">2015 </w:t>
            </w:r>
          </w:p>
          <w:p w:rsidR="00A429B9" w:rsidRPr="00D42DCD" w:rsidRDefault="00A429B9" w:rsidP="00044843">
            <w:pPr>
              <w:rPr>
                <w:color w:val="FFFFFF"/>
              </w:rPr>
            </w:pPr>
            <w:r w:rsidRPr="00D42DCD">
              <w:rPr>
                <w:color w:val="FFFFFF"/>
              </w:rPr>
              <w:t>actual</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0" w:firstLine="0"/>
              <w:rPr>
                <w:color w:val="000000"/>
              </w:rPr>
            </w:pPr>
            <w:r w:rsidRPr="00D42DCD">
              <w:rPr>
                <w:b/>
                <w:color w:val="000000"/>
              </w:rPr>
              <w:t>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64"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0" w:firstLine="0"/>
              <w:rPr>
                <w:color w:val="000000"/>
              </w:rPr>
            </w:pPr>
            <w:r w:rsidRPr="00D42DCD">
              <w:rPr>
                <w:color w:val="000000"/>
              </w:rPr>
              <w:t>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17 820</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209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17 612</w:t>
            </w:r>
          </w:p>
        </w:tc>
        <w:tc>
          <w:tcPr>
            <w:tcW w:w="964"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(39)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17 859</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0" w:firstLine="0"/>
              <w:rPr>
                <w:color w:val="000000"/>
              </w:rPr>
            </w:pPr>
            <w:r w:rsidRPr="00D42DCD">
              <w:rPr>
                <w:color w:val="000000"/>
              </w:rPr>
              <w:t>Non-financial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115 711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5 776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109 935</w:t>
            </w:r>
          </w:p>
        </w:tc>
        <w:tc>
          <w:tcPr>
            <w:tcW w:w="964"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6 791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108 920</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0" w:firstLine="0"/>
              <w:rPr>
                <w:color w:val="000000"/>
              </w:rPr>
            </w:pPr>
            <w:r w:rsidRPr="00D42DCD">
              <w:rPr>
                <w:b/>
                <w:color w:val="000000"/>
              </w:rPr>
              <w:t>Investment in other sector entities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64"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0" w:firstLine="0"/>
              <w:rPr>
                <w:color w:val="000000"/>
                <w:vertAlign w:val="superscript"/>
              </w:rPr>
            </w:pPr>
            <w:r w:rsidRPr="00D42DCD">
              <w:rPr>
                <w:color w:val="000000"/>
              </w:rPr>
              <w:t>Public non-financial corporations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92 233</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9 792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82 441</w:t>
            </w:r>
          </w:p>
        </w:tc>
        <w:tc>
          <w:tcPr>
            <w:tcW w:w="964"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13 181</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79 052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0" w:firstLine="0"/>
              <w:rPr>
                <w:color w:val="000000"/>
              </w:rPr>
            </w:pPr>
            <w:r w:rsidRPr="00D42DCD">
              <w:rPr>
                <w:color w:val="000000"/>
              </w:rPr>
              <w:t>Public financial corporations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2 477</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(429)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2 906</w:t>
            </w:r>
          </w:p>
        </w:tc>
        <w:tc>
          <w:tcPr>
            <w:tcW w:w="964"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(732)</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3 210</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D42DCD" w:rsidRDefault="00DF17E9" w:rsidP="00044843">
            <w:pPr>
              <w:ind w:left="0" w:firstLine="0"/>
              <w:rPr>
                <w:b/>
                <w:color w:val="000000"/>
              </w:rPr>
            </w:pPr>
            <w:r w:rsidRPr="00D42DCD">
              <w:rPr>
                <w:b/>
                <w:color w:val="000000"/>
              </w:rPr>
              <w:t>Total assets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228 242</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15 349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212 893</w:t>
            </w:r>
          </w:p>
        </w:tc>
        <w:tc>
          <w:tcPr>
            <w:tcW w:w="964"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19 200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209 041</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0" w:firstLine="0"/>
              <w:rPr>
                <w:color w:val="000000"/>
              </w:rPr>
            </w:pPr>
            <w:r w:rsidRPr="00D42DCD">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64"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D42DCD" w:rsidRDefault="00DF17E9" w:rsidP="00044843">
            <w:pPr>
              <w:ind w:left="0" w:firstLine="0"/>
              <w:rPr>
                <w:color w:val="000000"/>
              </w:rPr>
            </w:pPr>
            <w:r w:rsidRPr="00D42DCD">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29 291</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1 403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27 888</w:t>
            </w:r>
          </w:p>
        </w:tc>
        <w:tc>
          <w:tcPr>
            <w:tcW w:w="964"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3 344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25 947</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D42DCD" w:rsidRDefault="00DF17E9" w:rsidP="00044843">
            <w:pPr>
              <w:ind w:left="0" w:firstLine="0"/>
              <w:rPr>
                <w:color w:val="000000"/>
              </w:rPr>
            </w:pPr>
            <w:r w:rsidRPr="00D42DCD">
              <w:rPr>
                <w:color w:val="000000"/>
              </w:rPr>
              <w:t>Borrowings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33 811</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(575)</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34 386</w:t>
            </w:r>
          </w:p>
        </w:tc>
        <w:tc>
          <w:tcPr>
            <w:tcW w:w="964"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(258)</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34 069</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D42DCD" w:rsidRDefault="00DF17E9" w:rsidP="00044843">
            <w:pPr>
              <w:ind w:left="0" w:firstLine="0"/>
              <w:rPr>
                <w:color w:val="000000"/>
              </w:rPr>
            </w:pPr>
            <w:r w:rsidRPr="00D42DCD">
              <w:rPr>
                <w:color w:val="000000"/>
              </w:rPr>
              <w:t>Other liabilities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13 445</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910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12 535</w:t>
            </w:r>
          </w:p>
        </w:tc>
        <w:tc>
          <w:tcPr>
            <w:tcW w:w="964"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811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12 635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D42DCD" w:rsidRDefault="00DF17E9" w:rsidP="00044843">
            <w:pPr>
              <w:ind w:left="0" w:firstLine="0"/>
              <w:rPr>
                <w:color w:val="000000"/>
              </w:rPr>
            </w:pPr>
            <w:r w:rsidRPr="00D42DCD">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76 547</w:t>
            </w:r>
          </w:p>
        </w:tc>
        <w:tc>
          <w:tcPr>
            <w:tcW w:w="907"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1 738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74 809</w:t>
            </w:r>
          </w:p>
        </w:tc>
        <w:tc>
          <w:tcPr>
            <w:tcW w:w="964" w:type="dxa"/>
            <w:tcBorders>
              <w:top w:val="single" w:sz="6" w:space="0" w:color="auto"/>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3 897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D42DCD" w:rsidRDefault="00DF17E9" w:rsidP="00044843">
            <w:pPr>
              <w:rPr>
                <w:color w:val="000000"/>
              </w:rPr>
            </w:pPr>
            <w:r w:rsidRPr="00D42DCD">
              <w:rPr>
                <w:b/>
                <w:color w:val="000000"/>
              </w:rPr>
              <w:t>72 650</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D42DCD" w:rsidRDefault="00DF17E9" w:rsidP="00044843">
            <w:pPr>
              <w:ind w:left="0" w:firstLine="0"/>
              <w:rPr>
                <w:b/>
                <w:color w:val="000000"/>
              </w:rPr>
            </w:pPr>
            <w:r w:rsidRPr="00D42DCD">
              <w:rPr>
                <w:b/>
                <w:color w:val="000000"/>
              </w:rPr>
              <w:t>Net assets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pPr>
              <w:rPr>
                <w:color w:val="000000"/>
              </w:rPr>
            </w:pPr>
            <w:r w:rsidRPr="00D42DCD">
              <w:rPr>
                <w:b/>
                <w:color w:val="000000"/>
              </w:rPr>
              <w:t>151 695</w:t>
            </w:r>
          </w:p>
        </w:tc>
        <w:tc>
          <w:tcPr>
            <w:tcW w:w="907"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13 610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pPr>
              <w:rPr>
                <w:color w:val="000000"/>
              </w:rPr>
            </w:pPr>
            <w:r w:rsidRPr="00D42DCD">
              <w:rPr>
                <w:b/>
                <w:color w:val="000000"/>
              </w:rPr>
              <w:t>138 084</w:t>
            </w:r>
          </w:p>
        </w:tc>
        <w:tc>
          <w:tcPr>
            <w:tcW w:w="964"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15 304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pPr>
              <w:rPr>
                <w:color w:val="000000"/>
              </w:rPr>
            </w:pPr>
            <w:r w:rsidRPr="00D42DCD">
              <w:rPr>
                <w:b/>
                <w:color w:val="000000"/>
              </w:rPr>
              <w:t>136 391</w:t>
            </w:r>
          </w:p>
        </w:tc>
      </w:tr>
    </w:tbl>
    <w:p w:rsidR="00DF17E9" w:rsidRPr="006B751A" w:rsidRDefault="00DF17E9" w:rsidP="00044843">
      <w:pPr>
        <w:pStyle w:val="Note"/>
        <w:rPr>
          <w:rFonts w:cs="Helv"/>
          <w:iCs/>
          <w:color w:val="000000"/>
          <w:szCs w:val="16"/>
        </w:rPr>
      </w:pPr>
    </w:p>
    <w:p w:rsidR="00DF17E9" w:rsidRPr="006B751A" w:rsidRDefault="00DF17E9" w:rsidP="00044843">
      <w:pPr>
        <w:pStyle w:val="Note"/>
        <w:rPr>
          <w:rFonts w:cs="Helv"/>
          <w:iCs/>
          <w:color w:val="000000"/>
          <w:szCs w:val="16"/>
        </w:rPr>
      </w:pPr>
    </w:p>
    <w:p w:rsidR="00DF17E9" w:rsidRDefault="00DF17E9" w:rsidP="00044843">
      <w:pPr>
        <w:pStyle w:val="Note"/>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pStyle w:val="Subheadingunderline"/>
      </w:pPr>
      <w:r>
        <w:lastRenderedPageBreak/>
        <w:t>Assets</w:t>
      </w:r>
    </w:p>
    <w:p w:rsidR="00DF17E9" w:rsidRDefault="00DF17E9" w:rsidP="00044843">
      <w:r>
        <w:t xml:space="preserve">Financial assets in Table 2.4 include cash, investments, loans and placements. The value of financial assets held by the general government sector was relatively constant at </w:t>
      </w:r>
      <w:r w:rsidRPr="0015475E">
        <w:t>$17.</w:t>
      </w:r>
      <w:r>
        <w:t>8 billion during the financial year. The actual outcome was also in line with revised estimates.</w:t>
      </w:r>
    </w:p>
    <w:p w:rsidR="00DF17E9" w:rsidRDefault="00DF17E9" w:rsidP="00044843">
      <w:r>
        <w:t>Non</w:t>
      </w:r>
      <w:r>
        <w:noBreakHyphen/>
        <w:t xml:space="preserve">financial </w:t>
      </w:r>
      <w:r w:rsidRPr="00E3150B">
        <w:t>assets increased by $</w:t>
      </w:r>
      <w:r>
        <w:t>6.8 billion during the 2015</w:t>
      </w:r>
      <w:r>
        <w:noBreakHyphen/>
        <w:t xml:space="preserve">16 financial year, which is mainly due to the Government’s investment in the infrastructure program, the </w:t>
      </w:r>
      <w:r w:rsidRPr="00742962">
        <w:t xml:space="preserve">revaluation of </w:t>
      </w:r>
      <w:r>
        <w:t xml:space="preserve">land and buildings and the recognition of the </w:t>
      </w:r>
      <w:r w:rsidRPr="00D42C24">
        <w:t xml:space="preserve">Victorian Comprehensive Cancer Centre </w:t>
      </w:r>
      <w:r w:rsidRPr="00742962">
        <w:t>during the year.</w:t>
      </w:r>
    </w:p>
    <w:p w:rsidR="00DF17E9" w:rsidRDefault="00DF17E9" w:rsidP="00044843">
      <w:r>
        <w:t xml:space="preserve">General government investments in other sector entities </w:t>
      </w:r>
      <w:r w:rsidRPr="00742962">
        <w:t>increased by $</w:t>
      </w:r>
      <w:r>
        <w:t>12.4 billion in the year. This mainly reflects the revaluation of Port of Melbourne Corporation’s non-financial assets to reflect the expected lease transaction price and also the revaluation of the Di</w:t>
      </w:r>
      <w:r w:rsidR="00F90DAE">
        <w:t xml:space="preserve">rector of Housing and </w:t>
      </w:r>
      <w:r w:rsidR="005B64A3">
        <w:t xml:space="preserve">the </w:t>
      </w:r>
      <w:r w:rsidR="00F90DAE">
        <w:t>W</w:t>
      </w:r>
      <w:r>
        <w:t>ater</w:t>
      </w:r>
      <w:r w:rsidR="00F90DAE">
        <w:t xml:space="preserve"> Corporations</w:t>
      </w:r>
      <w:r>
        <w:t xml:space="preserve"> non</w:t>
      </w:r>
      <w:r>
        <w:noBreakHyphen/>
        <w:t xml:space="preserve">financial </w:t>
      </w:r>
      <w:r w:rsidRPr="00742962">
        <w:t>assets</w:t>
      </w:r>
      <w:r>
        <w:t>, in line with the relevant financial reporting requirements.</w:t>
      </w:r>
    </w:p>
    <w:p w:rsidR="00DF17E9" w:rsidRDefault="00DF17E9" w:rsidP="00044843">
      <w:pPr>
        <w:pStyle w:val="Subheadingunderline"/>
        <w:spacing w:before="320"/>
      </w:pPr>
      <w:r>
        <w:br w:type="column"/>
      </w:r>
      <w:r>
        <w:lastRenderedPageBreak/>
        <w:t>Liabilities</w:t>
      </w:r>
    </w:p>
    <w:p w:rsidR="00DF17E9" w:rsidRDefault="00DF17E9" w:rsidP="00044843">
      <w:r>
        <w:t xml:space="preserve">Total liabilities as at 30 June 2016 were </w:t>
      </w:r>
      <w:r w:rsidRPr="00D81FDA">
        <w:t>$1.7</w:t>
      </w:r>
      <w:r>
        <w:t> billion and $3.9 billion</w:t>
      </w:r>
      <w:r w:rsidRPr="00D81FDA">
        <w:t xml:space="preserve"> higher than the 2015</w:t>
      </w:r>
      <w:r>
        <w:noBreakHyphen/>
      </w:r>
      <w:r w:rsidRPr="00D81FDA">
        <w:t>16 revised budget</w:t>
      </w:r>
      <w:r>
        <w:t xml:space="preserve"> and 2014</w:t>
      </w:r>
      <w:r>
        <w:noBreakHyphen/>
        <w:t xml:space="preserve">15 actual outcome respectively. These </w:t>
      </w:r>
      <w:r w:rsidRPr="00D81FDA">
        <w:t>increase</w:t>
      </w:r>
      <w:r>
        <w:t>s were</w:t>
      </w:r>
      <w:r w:rsidRPr="00D81FDA">
        <w:t xml:space="preserve"> largely attributable to </w:t>
      </w:r>
      <w:r>
        <w:t>a reduction in bond yields which resulted in the value of the superannuation liability increasing.</w:t>
      </w:r>
    </w:p>
    <w:p w:rsidR="00DF17E9" w:rsidRDefault="00DF17E9">
      <w:r>
        <w:br w:type="page"/>
      </w:r>
    </w:p>
    <w:p w:rsidR="00F90DAE" w:rsidRDefault="00F90DAE">
      <w:pPr>
        <w:rPr>
          <w:rFonts w:asciiTheme="majorHAnsi" w:hAnsiTheme="majorHAnsi"/>
          <w:b/>
          <w:spacing w:val="-2"/>
        </w:rPr>
      </w:pPr>
    </w:p>
    <w:p w:rsidR="00DF17E9" w:rsidRDefault="00DF17E9" w:rsidP="00044843">
      <w:pPr>
        <w:pStyle w:val="Subheadingunderline"/>
      </w:pPr>
      <w:r>
        <w:t>CASH FLOWS</w:t>
      </w:r>
    </w:p>
    <w:p w:rsidR="00DF17E9" w:rsidRDefault="00DF17E9" w:rsidP="00044843">
      <w:r>
        <w:t>Table 2.5 outlines the use of cash resources. It summarises cash generated through the operations of Victorian government departments and other general government sector agencies, and how the cash has been invested in fixed assets.</w:t>
      </w:r>
    </w:p>
    <w:p w:rsidR="00DF17E9" w:rsidRDefault="00DF17E9" w:rsidP="00044843">
      <w:r>
        <w:t>A detailed cash flow statement is provided in Chapter 4.</w:t>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r>
        <w:br w:type="column"/>
      </w:r>
    </w:p>
    <w:p w:rsidR="00DF17E9" w:rsidRPr="00D42DCD" w:rsidRDefault="00DF17E9" w:rsidP="00044843">
      <w:pPr>
        <w:pStyle w:val="Subheading"/>
        <w:rPr>
          <w:bCs/>
          <w:lang w:val="en-US"/>
        </w:rPr>
      </w:pPr>
      <w:r>
        <w:lastRenderedPageBreak/>
        <w:t>Table 2.5: Application of cash resources</w:t>
      </w:r>
      <w:r>
        <w:tab/>
      </w:r>
      <w:r w:rsidRPr="0025048F">
        <w:rPr>
          <w:rStyle w:val="TableUnitsChar"/>
        </w:rPr>
        <w:t>($</w:t>
      </w:r>
      <w:r>
        <w:rPr>
          <w:rStyle w:val="TableUnitsChar"/>
        </w:rPr>
        <w:t> million</w:t>
      </w:r>
      <w:r w:rsidRPr="0025048F">
        <w:rPr>
          <w:rStyle w:val="TableUnitsChar"/>
        </w:rPr>
        <w:t>)</w:t>
      </w:r>
    </w:p>
    <w:tbl>
      <w:tblPr>
        <w:tblStyle w:val="TableDTFGeneral"/>
        <w:tblW w:w="9638" w:type="dxa"/>
        <w:tblLayout w:type="fixed"/>
        <w:tblLook w:val="02A0" w:firstRow="1" w:lastRow="0" w:firstColumn="1" w:lastColumn="0" w:noHBand="1" w:noVBand="0"/>
      </w:tblPr>
      <w:tblGrid>
        <w:gridCol w:w="7824"/>
        <w:gridCol w:w="907"/>
        <w:gridCol w:w="907"/>
      </w:tblGrid>
      <w:tr w:rsidR="00A429B9" w:rsidRPr="00D42DCD" w:rsidTr="00A429B9">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7824" w:type="dxa"/>
          </w:tcPr>
          <w:p w:rsidR="00A429B9" w:rsidRPr="00D42DCD" w:rsidRDefault="00A429B9" w:rsidP="00044843">
            <w:pPr>
              <w:ind w:left="0" w:firstLine="0"/>
              <w:rPr>
                <w:i w:val="0"/>
                <w:color w:val="FFFFFF"/>
              </w:rPr>
            </w:pPr>
            <w:r w:rsidRPr="00D42DCD">
              <w:rPr>
                <w:color w:val="FFFFFF"/>
              </w:rPr>
              <w:t xml:space="preserve"> </w:t>
            </w:r>
          </w:p>
          <w:p w:rsidR="00A429B9" w:rsidRPr="00D42DCD" w:rsidRDefault="00A429B9" w:rsidP="00044843">
            <w:pPr>
              <w:ind w:left="0"/>
              <w:rPr>
                <w:color w:val="FFFFFF"/>
              </w:rPr>
            </w:pPr>
            <w:r w:rsidRPr="00D42DCD">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D42DCD" w:rsidRDefault="00A429B9" w:rsidP="00044843">
            <w:pPr>
              <w:rPr>
                <w:i w:val="0"/>
                <w:color w:val="FFFFFF"/>
              </w:rPr>
            </w:pPr>
            <w:r w:rsidRPr="00D42DCD">
              <w:rPr>
                <w:color w:val="FFFFFF"/>
              </w:rPr>
              <w:t>2016</w:t>
            </w:r>
          </w:p>
          <w:p w:rsidR="00A429B9" w:rsidRPr="00D42DCD" w:rsidRDefault="00A429B9" w:rsidP="00044843">
            <w:pPr>
              <w:rPr>
                <w:color w:val="FFFFFF"/>
              </w:rPr>
            </w:pPr>
            <w:r w:rsidRPr="00D42DCD">
              <w:rPr>
                <w:color w:val="FFFFFF"/>
              </w:rPr>
              <w:t xml:space="preserve"> actual</w:t>
            </w:r>
          </w:p>
        </w:tc>
        <w:tc>
          <w:tcPr>
            <w:tcW w:w="907" w:type="dxa"/>
          </w:tcPr>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D42DCD">
              <w:rPr>
                <w:color w:val="FFFFFF"/>
              </w:rPr>
              <w:t>2016</w:t>
            </w:r>
          </w:p>
          <w:p w:rsidR="00A429B9" w:rsidRPr="00D42DCD"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D42DCD">
              <w:rPr>
                <w:color w:val="FFFFFF"/>
              </w:rPr>
              <w:t xml:space="preserve"> revised</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D42DCD" w:rsidRDefault="00DF17E9" w:rsidP="00044843">
            <w:pPr>
              <w:ind w:left="0" w:firstLine="0"/>
              <w:rPr>
                <w:color w:val="000000"/>
              </w:rPr>
            </w:pPr>
            <w:r w:rsidRPr="00D42DCD">
              <w:rPr>
                <w:color w:val="000000"/>
              </w:rPr>
              <w:t xml:space="preserve">Net result from transactions </w:t>
            </w:r>
            <w:r w:rsidR="007D116D">
              <w:rPr>
                <w:color w:val="000000"/>
                <w:sz w:val="16"/>
                <w:szCs w:val="16"/>
              </w:rPr>
              <w:t>–</w:t>
            </w:r>
            <w:r w:rsidRPr="00D42DCD">
              <w:rPr>
                <w:color w:val="000000"/>
              </w:rPr>
              <w:t xml:space="preserve"> net operating balance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2 664</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1 888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D42DCD" w:rsidRDefault="00DF17E9" w:rsidP="00044843">
            <w:pPr>
              <w:ind w:left="0" w:firstLine="0"/>
              <w:rPr>
                <w:color w:val="000000"/>
              </w:rPr>
            </w:pPr>
            <w:r w:rsidRPr="00D42DCD">
              <w:rPr>
                <w:color w:val="000000"/>
              </w:rPr>
              <w:t xml:space="preserve">Add back: Non-cash revenues and expenses (net) </w:t>
            </w:r>
            <w:r w:rsidRPr="00D42DCD">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pPr>
              <w:rPr>
                <w:color w:val="000000"/>
              </w:rPr>
            </w:pPr>
            <w:r w:rsidRPr="00D42DCD">
              <w:rPr>
                <w:color w:val="000000"/>
              </w:rPr>
              <w:t>2 695</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2 885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D42DCD" w:rsidRDefault="00DF17E9" w:rsidP="00044843">
            <w:pPr>
              <w:ind w:left="0" w:firstLine="0"/>
              <w:rPr>
                <w:color w:val="000000"/>
              </w:rPr>
            </w:pPr>
            <w:r w:rsidRPr="00D42DCD">
              <w:rPr>
                <w:b/>
                <w:color w:val="000000"/>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5 359</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4 773</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D42DCD" w:rsidRDefault="00DF17E9" w:rsidP="00044843">
            <w:pPr>
              <w:ind w:left="0" w:firstLine="0"/>
              <w:rPr>
                <w:color w:val="000000"/>
              </w:rPr>
            </w:pPr>
            <w:r w:rsidRPr="00D42DCD">
              <w:rPr>
                <w:color w:val="000000"/>
              </w:rPr>
              <w:t>Less: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D42DCD" w:rsidRDefault="00DF17E9" w:rsidP="00044843">
            <w:pPr>
              <w:ind w:left="0" w:firstLine="0"/>
              <w:rPr>
                <w:color w:val="000000"/>
              </w:rPr>
            </w:pPr>
            <w:r w:rsidRPr="00D42DCD">
              <w:rPr>
                <w:b/>
                <w:color w:val="000000"/>
              </w:rPr>
              <w:t>Net investment in fixed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D42DCD" w:rsidRDefault="00DF17E9" w:rsidP="00044843">
            <w:pPr>
              <w:rPr>
                <w:color w:val="000000"/>
              </w:rPr>
            </w:pPr>
            <w:r w:rsidRPr="00D42DCD">
              <w:rPr>
                <w:b/>
                <w:color w:val="000000"/>
              </w:rPr>
              <w:t xml:space="preserve"> </w:t>
            </w:r>
          </w:p>
        </w:tc>
        <w:tc>
          <w:tcPr>
            <w:tcW w:w="907" w:type="dxa"/>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 xml:space="preserve"> </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D42DCD" w:rsidRDefault="00DF17E9" w:rsidP="00044843">
            <w:pPr>
              <w:ind w:left="0" w:firstLine="0"/>
              <w:rPr>
                <w:color w:val="000000"/>
              </w:rPr>
            </w:pPr>
            <w:r w:rsidRPr="00D42DCD">
              <w:rPr>
                <w:color w:val="000000"/>
              </w:rPr>
              <w:t>Expenditure on approved projects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4 327</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4 022</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D42DCD" w:rsidRDefault="00DF17E9" w:rsidP="00044843">
            <w:pPr>
              <w:ind w:left="0" w:firstLine="0"/>
            </w:pPr>
            <w:r w:rsidRPr="00D42DCD">
              <w:rPr>
                <w:color w:val="000000"/>
              </w:rPr>
              <w:t>Less: Sale of non-financial</w:t>
            </w:r>
            <w:r w:rsidRPr="00D42DCD">
              <w:t xml:space="preserve">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190</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174</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D42DCD" w:rsidRDefault="00DF17E9" w:rsidP="00044843">
            <w:pPr>
              <w:ind w:left="0" w:firstLine="0"/>
              <w:rPr>
                <w:b/>
                <w:color w:val="000000"/>
              </w:rPr>
            </w:pPr>
            <w:r w:rsidRPr="00D42DCD">
              <w:rPr>
                <w:b/>
                <w:color w:val="000000"/>
              </w:rPr>
              <w:t>Net investment in fixed assets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D42DCD" w:rsidRDefault="00DF17E9" w:rsidP="00044843">
            <w:pPr>
              <w:rPr>
                <w:color w:val="000000"/>
              </w:rPr>
            </w:pPr>
            <w:r w:rsidRPr="00D42DCD">
              <w:rPr>
                <w:b/>
                <w:color w:val="000000"/>
              </w:rPr>
              <w:t>4 137</w:t>
            </w:r>
          </w:p>
        </w:tc>
        <w:tc>
          <w:tcPr>
            <w:tcW w:w="907" w:type="dxa"/>
            <w:tcBorders>
              <w:top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b/>
                <w:color w:val="000000"/>
              </w:rPr>
              <w:t>3 848</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D42DCD" w:rsidRDefault="00DF17E9" w:rsidP="00044843">
            <w:pPr>
              <w:ind w:left="0" w:firstLine="0"/>
              <w:rPr>
                <w:color w:val="000000"/>
              </w:rPr>
            </w:pPr>
            <w:r w:rsidRPr="00D42DCD">
              <w:rPr>
                <w:color w:val="000000"/>
              </w:rPr>
              <w:t>Finance leases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D42DCD" w:rsidRDefault="00DF17E9" w:rsidP="00044843">
            <w:pPr>
              <w:rPr>
                <w:color w:val="000000"/>
              </w:rPr>
            </w:pPr>
            <w:r w:rsidRPr="00D42DCD">
              <w:rPr>
                <w:color w:val="000000"/>
              </w:rPr>
              <w:t>1 050</w:t>
            </w:r>
          </w:p>
        </w:tc>
        <w:tc>
          <w:tcPr>
            <w:tcW w:w="907" w:type="dxa"/>
            <w:tcBorders>
              <w:bottom w:val="nil"/>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D42DCD">
              <w:rPr>
                <w:color w:val="000000"/>
              </w:rPr>
              <w:t>1 056</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D42DCD" w:rsidRDefault="00DF17E9" w:rsidP="00044843">
            <w:pPr>
              <w:ind w:left="0" w:firstLine="0"/>
              <w:rPr>
                <w:color w:val="000000"/>
              </w:rPr>
            </w:pPr>
            <w:r w:rsidRPr="00D42DCD">
              <w:rPr>
                <w:color w:val="000000"/>
              </w:rPr>
              <w:t>Other investment activities (net)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D42DCD" w:rsidRDefault="00DF17E9" w:rsidP="00044843">
            <w:r w:rsidRPr="00D42DCD">
              <w:rPr>
                <w:color w:val="000000"/>
              </w:rPr>
              <w:t>153</w:t>
            </w:r>
          </w:p>
        </w:tc>
        <w:tc>
          <w:tcPr>
            <w:tcW w:w="907" w:type="dxa"/>
            <w:tcBorders>
              <w:bottom w:val="single" w:sz="6"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color w:val="000000"/>
              </w:rPr>
              <w:t>35</w:t>
            </w:r>
          </w:p>
        </w:tc>
      </w:tr>
      <w:tr w:rsidR="00DF17E9" w:rsidRPr="00D42DCD"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D42DCD" w:rsidRDefault="00DF17E9" w:rsidP="00044843">
            <w:pPr>
              <w:ind w:left="0" w:firstLine="0"/>
              <w:rPr>
                <w:color w:val="000000"/>
              </w:rPr>
            </w:pPr>
            <w:r w:rsidRPr="00D42DCD">
              <w:rPr>
                <w:b/>
                <w:color w:val="000000"/>
              </w:rPr>
              <w:t>Decrease/(increase) in net debt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D42DCD" w:rsidRDefault="00DF17E9" w:rsidP="00044843">
            <w:r w:rsidRPr="00D42DCD">
              <w:rPr>
                <w:b/>
                <w:color w:val="000000"/>
              </w:rPr>
              <w:t>19</w:t>
            </w:r>
          </w:p>
        </w:tc>
        <w:tc>
          <w:tcPr>
            <w:tcW w:w="907" w:type="dxa"/>
            <w:tcBorders>
              <w:top w:val="single" w:sz="6" w:space="0" w:color="auto"/>
              <w:bottom w:val="single" w:sz="12" w:space="0" w:color="auto"/>
            </w:tcBorders>
          </w:tcPr>
          <w:p w:rsidR="00DF17E9" w:rsidRPr="00D42DCD" w:rsidRDefault="00DF17E9" w:rsidP="00044843">
            <w:pPr>
              <w:cnfStyle w:val="000000000000" w:firstRow="0" w:lastRow="0" w:firstColumn="0" w:lastColumn="0" w:oddVBand="0" w:evenVBand="0" w:oddHBand="0" w:evenHBand="0" w:firstRowFirstColumn="0" w:firstRowLastColumn="0" w:lastRowFirstColumn="0" w:lastRowLastColumn="0"/>
            </w:pPr>
            <w:r w:rsidRPr="00D42DCD">
              <w:rPr>
                <w:b/>
                <w:color w:val="000000"/>
              </w:rPr>
              <w:t>(166)</w:t>
            </w:r>
          </w:p>
        </w:tc>
      </w:tr>
    </w:tbl>
    <w:p w:rsidR="00DF17E9" w:rsidRDefault="00DF17E9" w:rsidP="00044843">
      <w:pPr>
        <w:pStyle w:val="Source"/>
      </w:pPr>
      <w:r>
        <w:t>Source: Department of Treasury and Finance</w:t>
      </w:r>
    </w:p>
    <w:p w:rsidR="00DF17E9" w:rsidRDefault="00DF17E9" w:rsidP="00044843">
      <w:pPr>
        <w:pStyle w:val="Note"/>
      </w:pPr>
      <w:r>
        <w:t>Note:</w:t>
      </w:r>
    </w:p>
    <w:p w:rsidR="00DF17E9" w:rsidRDefault="00DF17E9" w:rsidP="00044843">
      <w:pPr>
        <w:pStyle w:val="Note"/>
      </w:pPr>
      <w:r>
        <w:t>(a)</w:t>
      </w:r>
      <w:r>
        <w:tab/>
        <w:t>Includes depreciation and movements in liabilities such as superannuation and employee benefits.</w:t>
      </w:r>
    </w:p>
    <w:p w:rsidR="00DF17E9" w:rsidRDefault="00DF17E9" w:rsidP="00044843">
      <w:pPr>
        <w:pStyle w:val="Note"/>
      </w:pPr>
    </w:p>
    <w:p w:rsidR="00DF17E9" w:rsidRDefault="00DF17E9" w:rsidP="00044843">
      <w:pPr>
        <w:pStyle w:val="Note"/>
      </w:pPr>
    </w:p>
    <w:p w:rsidR="00DF17E9" w:rsidRDefault="00DF17E9" w:rsidP="00044843">
      <w:pPr>
        <w:pStyle w:val="Note"/>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pStyle w:val="Subheadingunderline"/>
      </w:pPr>
      <w:r>
        <w:lastRenderedPageBreak/>
        <w:t>GOVERNMENT INFRASTRUCTURE INVESTMENT</w:t>
      </w:r>
    </w:p>
    <w:p w:rsidR="00DF17E9" w:rsidRDefault="00DF17E9" w:rsidP="00044843">
      <w:r>
        <w:t xml:space="preserve">Infrastructure supports delivery of high quality services to the community. It has a significant and ongoing impact on state and national productivity and has the ability to generate significant direct and indirect employment, and wider economic benefits. </w:t>
      </w:r>
    </w:p>
    <w:p w:rsidR="00DF17E9" w:rsidRDefault="00DF17E9" w:rsidP="00044843">
      <w:pPr>
        <w:spacing w:before="380"/>
      </w:pPr>
      <w:r>
        <w:br w:type="column"/>
      </w:r>
    </w:p>
    <w:p w:rsidR="00DF17E9" w:rsidRDefault="00DF17E9" w:rsidP="00044843">
      <w:r>
        <w:t>The Government infrastructure investment program in 2015</w:t>
      </w:r>
      <w:r>
        <w:noBreakHyphen/>
        <w:t xml:space="preserve">16, which includes general government net infrastructure investment and estimated cash outflows for Partnership Victoria projects (net of asset sales), was </w:t>
      </w:r>
      <w:r w:rsidRPr="00A11094">
        <w:t>$4.</w:t>
      </w:r>
      <w:r>
        <w:t xml:space="preserve">7 billion. This is </w:t>
      </w:r>
      <w:r w:rsidRPr="00231315">
        <w:t>a $</w:t>
      </w:r>
      <w:r w:rsidR="00D25EDB">
        <w:t>260</w:t>
      </w:r>
      <w:r>
        <w:t> million</w:t>
      </w:r>
      <w:r w:rsidRPr="00231315">
        <w:t xml:space="preserve"> increase compared to the revised budget,</w:t>
      </w:r>
      <w:r>
        <w:t xml:space="preserve"> mainly reflecting higher than expected health sector capital spend.</w:t>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
        <w:lastRenderedPageBreak/>
        <w:br w:type="page"/>
      </w:r>
    </w:p>
    <w:p w:rsidR="00DF17E9" w:rsidRDefault="00DF17E9" w:rsidP="00044843">
      <w:r>
        <w:lastRenderedPageBreak/>
        <w:t>For the 2015</w:t>
      </w:r>
      <w:r>
        <w:noBreakHyphen/>
        <w:t>16 year, the Government undertook the following major infrastructure projects.</w:t>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r>
        <w:br w:type="column"/>
      </w:r>
    </w:p>
    <w:p w:rsidR="00DF17E9" w:rsidRDefault="00DF17E9" w:rsidP="00044843"/>
    <w:p w:rsidR="00DF17E9" w:rsidRDefault="00DF17E9" w:rsidP="00044843">
      <w:pPr>
        <w:pStyle w:val="HighlightBoxHeading"/>
      </w:pPr>
      <w:r>
        <w:t>The Government’s infrastructure scorecard 2015</w:t>
      </w:r>
      <w:r>
        <w:noBreakHyphen/>
        <w:t>16</w:t>
      </w:r>
    </w:p>
    <w:p w:rsidR="00DF17E9" w:rsidRDefault="00DF17E9" w:rsidP="00044843">
      <w:pPr>
        <w:pStyle w:val="HighlightBoxText"/>
      </w:pPr>
      <w:r>
        <w:t>Major projects completed during the year include:</w:t>
      </w:r>
    </w:p>
    <w:p w:rsidR="00DF17E9" w:rsidRDefault="00DF17E9" w:rsidP="00044843">
      <w:pPr>
        <w:pStyle w:val="HighlightBullet"/>
        <w:numPr>
          <w:ilvl w:val="0"/>
          <w:numId w:val="11"/>
        </w:numPr>
      </w:pPr>
      <w:r>
        <w:t>Dingley Bypass;</w:t>
      </w:r>
    </w:p>
    <w:p w:rsidR="00DF17E9" w:rsidRDefault="00DF17E9" w:rsidP="00044843">
      <w:pPr>
        <w:pStyle w:val="HighlightBullet"/>
        <w:numPr>
          <w:ilvl w:val="0"/>
          <w:numId w:val="11"/>
        </w:numPr>
      </w:pPr>
      <w:r>
        <w:t>Melbourne Wholesale Market Redevelopment; and</w:t>
      </w:r>
    </w:p>
    <w:p w:rsidR="00DF17E9" w:rsidRDefault="00DF17E9" w:rsidP="00044843">
      <w:pPr>
        <w:pStyle w:val="HighlightBullet"/>
        <w:numPr>
          <w:ilvl w:val="0"/>
          <w:numId w:val="11"/>
        </w:numPr>
      </w:pPr>
      <w:r>
        <w:t>Victorian Comprehensive Cancer Centre.</w:t>
      </w:r>
    </w:p>
    <w:p w:rsidR="00DF17E9" w:rsidRDefault="00DF17E9" w:rsidP="00044843">
      <w:pPr>
        <w:pStyle w:val="HighlightBoxText"/>
        <w:spacing w:before="120"/>
      </w:pPr>
      <w:r>
        <w:t>Major projects in progress include:</w:t>
      </w:r>
    </w:p>
    <w:p w:rsidR="00DF17E9" w:rsidRDefault="00DF17E9" w:rsidP="00044843">
      <w:pPr>
        <w:pStyle w:val="HighlightBullet"/>
        <w:numPr>
          <w:ilvl w:val="0"/>
          <w:numId w:val="11"/>
        </w:numPr>
      </w:pPr>
      <w:r>
        <w:t>Bendigo Hospital project;</w:t>
      </w:r>
    </w:p>
    <w:p w:rsidR="00DF17E9" w:rsidRDefault="00DF17E9" w:rsidP="00044843">
      <w:pPr>
        <w:pStyle w:val="HighlightBullet"/>
        <w:numPr>
          <w:ilvl w:val="0"/>
          <w:numId w:val="11"/>
        </w:numPr>
      </w:pPr>
      <w:r>
        <w:t>Box Hill Hospital redevelopment;</w:t>
      </w:r>
    </w:p>
    <w:p w:rsidR="00DF17E9" w:rsidRDefault="00DF17E9" w:rsidP="00044843">
      <w:pPr>
        <w:pStyle w:val="HighlightBullet"/>
        <w:numPr>
          <w:ilvl w:val="0"/>
          <w:numId w:val="11"/>
        </w:numPr>
      </w:pPr>
      <w:proofErr w:type="spellStart"/>
      <w:r>
        <w:t>CityLink-Tulla</w:t>
      </w:r>
      <w:proofErr w:type="spellEnd"/>
      <w:r>
        <w:t xml:space="preserve"> widening;</w:t>
      </w:r>
    </w:p>
    <w:p w:rsidR="00DF17E9" w:rsidRDefault="00DF17E9" w:rsidP="00044843">
      <w:pPr>
        <w:pStyle w:val="HighlightBullet"/>
        <w:numPr>
          <w:ilvl w:val="0"/>
          <w:numId w:val="11"/>
        </w:numPr>
      </w:pPr>
      <w:r>
        <w:t>Goulburn</w:t>
      </w:r>
      <w:r>
        <w:noBreakHyphen/>
        <w:t>Murray Water Connections Project (Northern Victoria Irrigation Renewal Project);</w:t>
      </w:r>
    </w:p>
    <w:p w:rsidR="00DF17E9" w:rsidRDefault="00DF17E9" w:rsidP="00044843">
      <w:pPr>
        <w:pStyle w:val="HighlightBullet"/>
        <w:numPr>
          <w:ilvl w:val="0"/>
          <w:numId w:val="11"/>
        </w:numPr>
      </w:pPr>
      <w:r>
        <w:t xml:space="preserve">Joan </w:t>
      </w:r>
      <w:proofErr w:type="spellStart"/>
      <w:r>
        <w:t>Kirner</w:t>
      </w:r>
      <w:proofErr w:type="spellEnd"/>
      <w:r>
        <w:t xml:space="preserve"> Women’s and Children’s Hospital;</w:t>
      </w:r>
    </w:p>
    <w:p w:rsidR="00DF17E9" w:rsidRDefault="00DF17E9" w:rsidP="00044843">
      <w:pPr>
        <w:pStyle w:val="HighlightBullet"/>
        <w:numPr>
          <w:ilvl w:val="0"/>
          <w:numId w:val="11"/>
        </w:numPr>
      </w:pPr>
      <w:r>
        <w:t>Level Crossing Removal Program;</w:t>
      </w:r>
    </w:p>
    <w:p w:rsidR="00DF17E9" w:rsidRDefault="00DF17E9" w:rsidP="00044843">
      <w:pPr>
        <w:pStyle w:val="HighlightBullet"/>
        <w:numPr>
          <w:ilvl w:val="0"/>
          <w:numId w:val="11"/>
        </w:numPr>
      </w:pPr>
      <w:r>
        <w:t>Melbourne Convention and Exhibition Centre Stage 2 development;</w:t>
      </w:r>
    </w:p>
    <w:p w:rsidR="00DF17E9" w:rsidRDefault="00DF17E9" w:rsidP="00044843">
      <w:pPr>
        <w:pStyle w:val="HighlightBullet"/>
        <w:numPr>
          <w:ilvl w:val="0"/>
          <w:numId w:val="11"/>
        </w:numPr>
      </w:pPr>
      <w:r>
        <w:t xml:space="preserve">Metro Tunnel – Early Works Package; </w:t>
      </w:r>
    </w:p>
    <w:p w:rsidR="00DF17E9" w:rsidRDefault="00DF17E9" w:rsidP="00044843">
      <w:pPr>
        <w:pStyle w:val="HighlightBullet"/>
        <w:numPr>
          <w:ilvl w:val="0"/>
          <w:numId w:val="11"/>
        </w:numPr>
      </w:pPr>
      <w:r>
        <w:t>Monash Children’s Hospital;</w:t>
      </w:r>
    </w:p>
    <w:p w:rsidR="00DF17E9" w:rsidRDefault="00DF17E9" w:rsidP="00044843">
      <w:pPr>
        <w:pStyle w:val="HighlightBullet"/>
        <w:numPr>
          <w:ilvl w:val="0"/>
          <w:numId w:val="11"/>
        </w:numPr>
      </w:pPr>
      <w:r>
        <w:t>Murray Basin Rail Project;</w:t>
      </w:r>
    </w:p>
    <w:p w:rsidR="00DF17E9" w:rsidRDefault="00DF17E9" w:rsidP="00044843">
      <w:pPr>
        <w:pStyle w:val="HighlightBullet"/>
        <w:numPr>
          <w:ilvl w:val="0"/>
          <w:numId w:val="11"/>
        </w:numPr>
      </w:pPr>
      <w:r>
        <w:t>New Schools (PPP) project;</w:t>
      </w:r>
    </w:p>
    <w:p w:rsidR="00DF17E9" w:rsidRDefault="00DF17E9" w:rsidP="00044843">
      <w:pPr>
        <w:pStyle w:val="HighlightBullet"/>
        <w:numPr>
          <w:ilvl w:val="0"/>
          <w:numId w:val="11"/>
        </w:numPr>
      </w:pPr>
      <w:r>
        <w:t>New trains, trams and associated infrastructure for Melbourne commuters;</w:t>
      </w:r>
    </w:p>
    <w:p w:rsidR="00DF17E9" w:rsidRDefault="00DF17E9" w:rsidP="00044843">
      <w:pPr>
        <w:pStyle w:val="HighlightBullet"/>
        <w:numPr>
          <w:ilvl w:val="0"/>
          <w:numId w:val="11"/>
        </w:numPr>
      </w:pPr>
      <w:r>
        <w:t>Port capacity;</w:t>
      </w:r>
    </w:p>
    <w:p w:rsidR="00DF17E9" w:rsidRDefault="00DF17E9" w:rsidP="00044843">
      <w:pPr>
        <w:pStyle w:val="HighlightBullet"/>
        <w:numPr>
          <w:ilvl w:val="0"/>
          <w:numId w:val="11"/>
        </w:numPr>
      </w:pPr>
      <w:r>
        <w:t>Princes Highway duplication project – Winchelsea to Colac;</w:t>
      </w:r>
    </w:p>
    <w:p w:rsidR="00DF17E9" w:rsidRDefault="00DF17E9" w:rsidP="00044843">
      <w:pPr>
        <w:pStyle w:val="HighlightBullet"/>
        <w:numPr>
          <w:ilvl w:val="0"/>
          <w:numId w:val="11"/>
        </w:numPr>
      </w:pPr>
      <w:r>
        <w:t>Princes Highway East – Traralgon to Sale duplication;</w:t>
      </w:r>
    </w:p>
    <w:p w:rsidR="00DF17E9" w:rsidRDefault="00DF17E9" w:rsidP="00044843">
      <w:pPr>
        <w:pStyle w:val="HighlightBullet"/>
        <w:numPr>
          <w:ilvl w:val="0"/>
          <w:numId w:val="11"/>
        </w:numPr>
      </w:pPr>
      <w:r>
        <w:t>Ravenhall Prison;</w:t>
      </w:r>
    </w:p>
    <w:p w:rsidR="00DF17E9" w:rsidRDefault="00DF17E9" w:rsidP="00044843">
      <w:pPr>
        <w:pStyle w:val="HighlightBullet"/>
        <w:numPr>
          <w:ilvl w:val="0"/>
          <w:numId w:val="11"/>
        </w:numPr>
      </w:pPr>
      <w:r>
        <w:t>Redevelopment of Melbourne Park;</w:t>
      </w:r>
    </w:p>
    <w:p w:rsidR="00DF17E9" w:rsidRDefault="00DF17E9" w:rsidP="00044843">
      <w:pPr>
        <w:pStyle w:val="HighlightBullet"/>
        <w:numPr>
          <w:ilvl w:val="0"/>
          <w:numId w:val="11"/>
        </w:numPr>
      </w:pPr>
      <w:r>
        <w:t>Regional rolling stock;</w:t>
      </w:r>
    </w:p>
    <w:p w:rsidR="00DF17E9" w:rsidRDefault="00DF17E9" w:rsidP="00044843">
      <w:pPr>
        <w:pStyle w:val="HighlightBullet"/>
        <w:numPr>
          <w:ilvl w:val="0"/>
          <w:numId w:val="11"/>
        </w:numPr>
      </w:pPr>
      <w:r>
        <w:t>Royal Victorian Eye and Ear Hospital; and</w:t>
      </w:r>
    </w:p>
    <w:p w:rsidR="00DF17E9" w:rsidRDefault="00DF17E9" w:rsidP="00044843">
      <w:pPr>
        <w:pStyle w:val="HighlightBullet"/>
        <w:numPr>
          <w:ilvl w:val="0"/>
          <w:numId w:val="11"/>
        </w:numPr>
      </w:pPr>
      <w:r>
        <w:t>Western Highway duplication – Ballarat to Stawell.</w:t>
      </w:r>
    </w:p>
    <w:p w:rsidR="00DF17E9" w:rsidRDefault="00DF17E9" w:rsidP="00044843">
      <w:pPr>
        <w:pStyle w:val="HighlightBoxText"/>
        <w:spacing w:before="120"/>
      </w:pPr>
      <w:r>
        <w:t>Major projects that commenced procurement in 2015</w:t>
      </w:r>
      <w:r>
        <w:noBreakHyphen/>
        <w:t>16 include:</w:t>
      </w:r>
    </w:p>
    <w:p w:rsidR="00DF17E9" w:rsidRDefault="00DF17E9" w:rsidP="00044843">
      <w:pPr>
        <w:pStyle w:val="HighlightBullet"/>
        <w:numPr>
          <w:ilvl w:val="0"/>
          <w:numId w:val="11"/>
        </w:numPr>
      </w:pPr>
      <w:r>
        <w:t>Casey Hospital Expansion;</w:t>
      </w:r>
    </w:p>
    <w:p w:rsidR="00DF17E9" w:rsidRPr="00963C7A" w:rsidRDefault="00DF17E9" w:rsidP="00044843">
      <w:pPr>
        <w:pStyle w:val="HighlightBullet"/>
        <w:numPr>
          <w:ilvl w:val="0"/>
          <w:numId w:val="11"/>
        </w:numPr>
      </w:pPr>
      <w:r>
        <w:t>Chandler Highway Upgrade;</w:t>
      </w:r>
    </w:p>
    <w:p w:rsidR="00DF17E9" w:rsidRDefault="00DF17E9" w:rsidP="00044843">
      <w:pPr>
        <w:pStyle w:val="HighlightBullet"/>
        <w:numPr>
          <w:ilvl w:val="0"/>
          <w:numId w:val="11"/>
        </w:numPr>
      </w:pPr>
      <w:r>
        <w:t>M80 Upgrade – Sunshine Avenue to Calder Freeway;</w:t>
      </w:r>
    </w:p>
    <w:p w:rsidR="00DF17E9" w:rsidRDefault="00DF17E9" w:rsidP="00044843">
      <w:pPr>
        <w:pStyle w:val="HighlightBullet"/>
        <w:numPr>
          <w:ilvl w:val="0"/>
          <w:numId w:val="11"/>
        </w:numPr>
      </w:pPr>
      <w:r>
        <w:t>Mernda Rail Extension Project;</w:t>
      </w:r>
    </w:p>
    <w:p w:rsidR="00DF17E9" w:rsidRDefault="00DF17E9" w:rsidP="00044843">
      <w:pPr>
        <w:pStyle w:val="HighlightBullet"/>
        <w:numPr>
          <w:ilvl w:val="0"/>
          <w:numId w:val="11"/>
        </w:numPr>
      </w:pPr>
      <w:r>
        <w:t>Metro Tunnel – Rail Systems Package;</w:t>
      </w:r>
    </w:p>
    <w:p w:rsidR="00DF17E9" w:rsidRDefault="00DF17E9" w:rsidP="00044843">
      <w:pPr>
        <w:pStyle w:val="HighlightBullet"/>
        <w:numPr>
          <w:ilvl w:val="0"/>
          <w:numId w:val="11"/>
        </w:numPr>
      </w:pPr>
      <w:r>
        <w:t xml:space="preserve">Metro Tunnel – Tunnel and Stations Package; and </w:t>
      </w:r>
    </w:p>
    <w:p w:rsidR="00DF17E9" w:rsidRDefault="00DF17E9" w:rsidP="00044843">
      <w:pPr>
        <w:pStyle w:val="HighlightBullet"/>
        <w:numPr>
          <w:ilvl w:val="0"/>
          <w:numId w:val="11"/>
        </w:numPr>
      </w:pPr>
      <w:r>
        <w:t>Western Distributor market</w:t>
      </w:r>
      <w:r>
        <w:noBreakHyphen/>
        <w:t>led proposal.</w:t>
      </w:r>
    </w:p>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r>
        <w:br w:type="page"/>
      </w:r>
    </w:p>
    <w:p w:rsidR="00DF17E9" w:rsidRDefault="00DF17E9" w:rsidP="001D40F4">
      <w:pPr>
        <w:sectPr w:rsidR="00DF17E9" w:rsidSect="001D40F4">
          <w:headerReference w:type="even" r:id="rId40"/>
          <w:headerReference w:type="default" r:id="rId41"/>
          <w:footerReference w:type="even" r:id="rId42"/>
          <w:footerReference w:type="default" r:id="rId43"/>
          <w:type w:val="continuous"/>
          <w:pgSz w:w="11906" w:h="16838" w:code="9"/>
          <w:pgMar w:top="1134" w:right="1134" w:bottom="1134" w:left="1134" w:header="624" w:footer="567" w:gutter="0"/>
          <w:cols w:space="708"/>
          <w:docGrid w:linePitch="360"/>
        </w:sectPr>
      </w:pPr>
    </w:p>
    <w:p w:rsidR="00DF17E9" w:rsidRPr="000D5949" w:rsidRDefault="00DF17E9" w:rsidP="00044843">
      <w:pPr>
        <w:pStyle w:val="Chapterheading"/>
      </w:pPr>
      <w:bookmarkStart w:id="3" w:name="_Toc462865837"/>
      <w:r>
        <w:lastRenderedPageBreak/>
        <w:t>Chapter 3 – State of Victoria outcome</w:t>
      </w:r>
      <w:bookmarkEnd w:id="3"/>
    </w:p>
    <w:p w:rsidR="00DF17E9" w:rsidRPr="000D5949" w:rsidRDefault="00DF17E9" w:rsidP="006125C9">
      <w:pPr>
        <w:sectPr w:rsidR="00DF17E9" w:rsidRPr="000D5949" w:rsidSect="00743CE4">
          <w:headerReference w:type="even" r:id="rId44"/>
          <w:headerReference w:type="default" r:id="rId45"/>
          <w:footerReference w:type="even" r:id="rId46"/>
          <w:footerReference w:type="default" r:id="rId47"/>
          <w:headerReference w:type="first" r:id="rId48"/>
          <w:footerReference w:type="first" r:id="rId49"/>
          <w:type w:val="oddPage"/>
          <w:pgSz w:w="11906" w:h="16838" w:code="9"/>
          <w:pgMar w:top="1134" w:right="1134" w:bottom="1134" w:left="1134" w:header="624" w:footer="567" w:gutter="0"/>
          <w:cols w:space="708"/>
          <w:docGrid w:linePitch="360"/>
        </w:sectPr>
      </w:pPr>
    </w:p>
    <w:p w:rsidR="00DF17E9" w:rsidRDefault="00DF17E9" w:rsidP="00044843">
      <w:pPr>
        <w:pStyle w:val="HighlightBullet"/>
      </w:pPr>
      <w:r w:rsidRPr="00A044B6">
        <w:lastRenderedPageBreak/>
        <w:t xml:space="preserve">The State </w:t>
      </w:r>
      <w:r>
        <w:t>is</w:t>
      </w:r>
      <w:r w:rsidRPr="00A044B6">
        <w:t xml:space="preserve"> in a strong and sustainable</w:t>
      </w:r>
      <w:r>
        <w:t xml:space="preserve"> financial</w:t>
      </w:r>
      <w:r w:rsidRPr="00A044B6">
        <w:t xml:space="preserve"> p</w:t>
      </w:r>
      <w:r>
        <w:t>osition, with net assets of $152 </w:t>
      </w:r>
      <w:r w:rsidRPr="00A044B6">
        <w:t>billion at 30</w:t>
      </w:r>
      <w:r>
        <w:t> </w:t>
      </w:r>
      <w:r w:rsidRPr="00A044B6">
        <w:t xml:space="preserve">June 2016. The balance sheet </w:t>
      </w:r>
      <w:r>
        <w:t>was strengthened during 2015-16 by a $7.9</w:t>
      </w:r>
      <w:r w:rsidRPr="00A044B6">
        <w:t xml:space="preserve"> billion operating cash flow surplus.</w:t>
      </w:r>
    </w:p>
    <w:p w:rsidR="00DF17E9" w:rsidRDefault="00DF17E9" w:rsidP="00044843">
      <w:pPr>
        <w:pStyle w:val="HighlightBullet"/>
      </w:pPr>
      <w:r w:rsidRPr="00A044B6">
        <w:t xml:space="preserve">The </w:t>
      </w:r>
      <w:r w:rsidRPr="00A044B6">
        <w:rPr>
          <w:b/>
        </w:rPr>
        <w:t>net result from transactions</w:t>
      </w:r>
      <w:r w:rsidRPr="00A044B6">
        <w:t xml:space="preserve"> fo</w:t>
      </w:r>
      <w:r>
        <w:t>r the State in 2015-16 was a surplus of $1.6 </w:t>
      </w:r>
      <w:r w:rsidRPr="00A044B6">
        <w:t>billion, an increase on the</w:t>
      </w:r>
      <w:r>
        <w:t xml:space="preserve"> previous year’s deficit of $736 m</w:t>
      </w:r>
      <w:r w:rsidRPr="00A044B6">
        <w:t>illion. The difference was predominantly due to</w:t>
      </w:r>
      <w:r>
        <w:t xml:space="preserve"> </w:t>
      </w:r>
      <w:r w:rsidRPr="00A044B6">
        <w:t>increase</w:t>
      </w:r>
      <w:r>
        <w:t>d</w:t>
      </w:r>
      <w:r w:rsidRPr="00A044B6">
        <w:t xml:space="preserve"> taxation and grants revenue in 2015-16.</w:t>
      </w:r>
    </w:p>
    <w:p w:rsidR="00DF17E9" w:rsidRDefault="00DF17E9" w:rsidP="00044843">
      <w:pPr>
        <w:pStyle w:val="HighlightBullet"/>
      </w:pPr>
      <w:r w:rsidRPr="00A044B6">
        <w:t xml:space="preserve">The </w:t>
      </w:r>
      <w:r w:rsidRPr="00A044B6">
        <w:rPr>
          <w:b/>
        </w:rPr>
        <w:t>net result</w:t>
      </w:r>
      <w:r>
        <w:t xml:space="preserve"> for the State for 2015-</w:t>
      </w:r>
      <w:r w:rsidRPr="00A044B6">
        <w:t>16 was a deficit of $1.</w:t>
      </w:r>
      <w:r>
        <w:t>6</w:t>
      </w:r>
      <w:r w:rsidRPr="00A044B6">
        <w:t xml:space="preserve"> billion. This include</w:t>
      </w:r>
      <w:r>
        <w:t>d significant reductions</w:t>
      </w:r>
      <w:r w:rsidRPr="00A044B6">
        <w:t xml:space="preserve"> in the value of the State’s financial </w:t>
      </w:r>
      <w:r>
        <w:t>assets, which were mainly caused</w:t>
      </w:r>
      <w:r w:rsidRPr="00A044B6">
        <w:t xml:space="preserve"> by</w:t>
      </w:r>
      <w:r>
        <w:t xml:space="preserve"> decreased bond yields impacting financial liability values and other</w:t>
      </w:r>
      <w:r w:rsidRPr="00A044B6">
        <w:t xml:space="preserve"> unfavourable conditions in </w:t>
      </w:r>
      <w:r>
        <w:t xml:space="preserve">financial </w:t>
      </w:r>
      <w:r w:rsidRPr="00A044B6">
        <w:t>markets.</w:t>
      </w:r>
    </w:p>
    <w:p w:rsidR="00DF17E9" w:rsidRDefault="00DF17E9" w:rsidP="00044843">
      <w:r>
        <w:t>This chapter sets out the financial results for the State of Victoria for 2015-16.</w:t>
      </w:r>
    </w:p>
    <w:p w:rsidR="00DF17E9" w:rsidRDefault="00DF17E9" w:rsidP="00044843">
      <w:r>
        <w:t>The State comprises the general government sector, which has been discussed in Chapter 2, the public non-financial corporations (PNFC) sector and the public financial corporations (PFC) sector.</w:t>
      </w:r>
    </w:p>
    <w:p w:rsidR="00DF17E9" w:rsidRDefault="00DF17E9" w:rsidP="00044843">
      <w:r>
        <w:t>The PFC and PNFC sectors, which are discussed in this chapter, comprise a wide range of entities that generally provide goods and services on a commercial basis, primarily funded from user charges and fees.</w:t>
      </w:r>
    </w:p>
    <w:p w:rsidR="00DF17E9" w:rsidRDefault="00DF17E9" w:rsidP="00044843">
      <w:r>
        <w:t>When considering the State of Victoria results, it should be noted that transactions between the sectors are eliminated in arriving at the consolidated position. These eliminations mean that the State of Victoria result is not necessarily the sum of results and variations from each individual sector.</w:t>
      </w:r>
    </w:p>
    <w:p w:rsidR="00DF17E9" w:rsidRDefault="00DF17E9" w:rsidP="00044843">
      <w:r>
        <w:t>The full financial statements for the State of Victoria are provided in Chapter 4. Sector contributions to the State’s outcome are also shown below.</w:t>
      </w:r>
    </w:p>
    <w:p w:rsidR="00DF17E9" w:rsidRDefault="00DF17E9" w:rsidP="00044843">
      <w:pPr>
        <w:pStyle w:val="Subheadingunderline"/>
      </w:pPr>
      <w:r>
        <w:br w:type="column"/>
      </w:r>
      <w:r>
        <w:lastRenderedPageBreak/>
        <w:t>FINANCIAL PEFORMANCE</w:t>
      </w:r>
    </w:p>
    <w:p w:rsidR="00DF17E9" w:rsidRDefault="00DF17E9" w:rsidP="00044843">
      <w:pPr>
        <w:pStyle w:val="ListBullet"/>
        <w:numPr>
          <w:ilvl w:val="0"/>
          <w:numId w:val="0"/>
        </w:numPr>
      </w:pPr>
      <w:r w:rsidRPr="00A044B6">
        <w:t>Table 3.1 summarises the operating performance for the State of Victoria. This table shows that the State recorded a net surplus from trans</w:t>
      </w:r>
      <w:r>
        <w:t>actions of $1.6 billion in 2015-</w:t>
      </w:r>
      <w:r w:rsidRPr="00A044B6">
        <w:t xml:space="preserve">16 compared to a </w:t>
      </w:r>
      <w:r>
        <w:t>deficit of $736 million in 2014-</w:t>
      </w:r>
      <w:r w:rsidRPr="00A044B6">
        <w:t>15. This result reflects:</w:t>
      </w:r>
    </w:p>
    <w:p w:rsidR="00DF17E9" w:rsidRDefault="00DF17E9" w:rsidP="00044843">
      <w:pPr>
        <w:pStyle w:val="ListBullet"/>
      </w:pPr>
      <w:r>
        <w:t>a $2.7 billion surplus within the general government sector (discussed in the preceding chapter);</w:t>
      </w:r>
    </w:p>
    <w:p w:rsidR="00DF17E9" w:rsidRDefault="00DF17E9" w:rsidP="00044843">
      <w:pPr>
        <w:pStyle w:val="ListBullet"/>
      </w:pPr>
      <w:r>
        <w:t>a $154 million surplus within the PNFC sector; and</w:t>
      </w:r>
    </w:p>
    <w:p w:rsidR="00DF17E9" w:rsidRDefault="00DF17E9" w:rsidP="00044843">
      <w:pPr>
        <w:pStyle w:val="ListBullet"/>
      </w:pPr>
      <w:r>
        <w:t>a $797 million deficit within the PFC sector.</w:t>
      </w:r>
    </w:p>
    <w:p w:rsidR="00DF17E9" w:rsidRDefault="00DF17E9" w:rsidP="00044843">
      <w:r>
        <w:t xml:space="preserve">The </w:t>
      </w:r>
      <w:r w:rsidRPr="00B5460B">
        <w:rPr>
          <w:b/>
        </w:rPr>
        <w:t>net result</w:t>
      </w:r>
      <w:r>
        <w:t xml:space="preserve"> for the State is a deficit of $1.6 billion after including other economic flows. These outcomes are explained in Table 3.1.</w:t>
      </w:r>
    </w:p>
    <w:p w:rsidR="00DF17E9" w:rsidRDefault="00DF17E9" w:rsidP="00044843">
      <w:pPr>
        <w:pStyle w:val="Subheadingunderline"/>
        <w:sectPr w:rsidR="00DF17E9" w:rsidSect="00044843">
          <w:headerReference w:type="even" r:id="rId50"/>
          <w:headerReference w:type="default" r:id="rId51"/>
          <w:footerReference w:type="even" r:id="rId52"/>
          <w:footerReference w:type="default" r:id="rId53"/>
          <w:type w:val="continuous"/>
          <w:pgSz w:w="11906" w:h="16838" w:code="9"/>
          <w:pgMar w:top="1134" w:right="1134" w:bottom="1134" w:left="1134" w:header="624" w:footer="567" w:gutter="0"/>
          <w:cols w:num="2" w:space="708"/>
          <w:docGrid w:linePitch="360"/>
        </w:sectPr>
      </w:pPr>
    </w:p>
    <w:p w:rsidR="00DF17E9" w:rsidRDefault="00DF17E9" w:rsidP="00044843">
      <w:pPr>
        <w:pStyle w:val="Subheadingunderline"/>
        <w:sectPr w:rsidR="00DF17E9" w:rsidSect="00044843">
          <w:pgSz w:w="11906" w:h="16838" w:code="9"/>
          <w:pgMar w:top="1134" w:right="1134" w:bottom="1134" w:left="1134" w:header="624" w:footer="567" w:gutter="0"/>
          <w:cols w:space="708"/>
          <w:docGrid w:linePitch="360"/>
        </w:sectPr>
      </w:pPr>
      <w:r>
        <w:lastRenderedPageBreak/>
        <w:t>OPERATING STATEMENT</w:t>
      </w:r>
    </w:p>
    <w:p w:rsidR="00DF17E9" w:rsidRPr="004756CE" w:rsidRDefault="00DF17E9" w:rsidP="00044843">
      <w:pPr>
        <w:pStyle w:val="Subheading"/>
        <w:rPr>
          <w:bCs/>
          <w:lang w:val="en-US"/>
        </w:rPr>
      </w:pPr>
      <w:r>
        <w:lastRenderedPageBreak/>
        <w:t>Table 3.1: 2015-16 summary operating statement – State of Victoria</w:t>
      </w:r>
      <w:r>
        <w:tab/>
      </w:r>
      <w:r w:rsidRPr="00B5460B">
        <w:rPr>
          <w:rStyle w:val="TableUnitsChar"/>
        </w:rPr>
        <w:t>($ million)</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907"/>
      </w:tblGrid>
      <w:tr w:rsidR="00A429B9" w:rsidRPr="004756CE" w:rsidTr="00A429B9">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5102" w:type="dxa"/>
          </w:tcPr>
          <w:p w:rsidR="00A429B9" w:rsidRPr="004756CE" w:rsidRDefault="00A429B9" w:rsidP="00044843">
            <w:pPr>
              <w:ind w:left="0" w:firstLine="0"/>
              <w:rPr>
                <w:i w:val="0"/>
                <w:color w:val="FFFFFF"/>
              </w:rPr>
            </w:pPr>
            <w:r w:rsidRPr="004756CE">
              <w:rPr>
                <w:color w:val="FFFFFF"/>
              </w:rPr>
              <w:t xml:space="preserve"> </w:t>
            </w:r>
          </w:p>
          <w:p w:rsidR="00A429B9" w:rsidRPr="004756CE" w:rsidRDefault="00A429B9" w:rsidP="00044843">
            <w:pPr>
              <w:ind w:left="0"/>
              <w:rPr>
                <w:color w:val="FFFFFF"/>
              </w:rPr>
            </w:pPr>
            <w:r w:rsidRPr="004756CE">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2016</w:t>
            </w:r>
          </w:p>
          <w:p w:rsidR="00A429B9" w:rsidRPr="004756CE" w:rsidRDefault="00A429B9" w:rsidP="00044843">
            <w:pPr>
              <w:rPr>
                <w:color w:val="FFFFFF"/>
              </w:rPr>
            </w:pPr>
            <w:r w:rsidRPr="004756CE">
              <w:rPr>
                <w:color w:val="FFFFFF"/>
              </w:rPr>
              <w:t>actual</w:t>
            </w:r>
          </w:p>
        </w:tc>
        <w:tc>
          <w:tcPr>
            <w:tcW w:w="907" w:type="dxa"/>
          </w:tcPr>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4756CE">
              <w:rPr>
                <w:color w:val="FFFFFF"/>
              </w:rPr>
              <w:t>2016</w:t>
            </w:r>
          </w:p>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revised</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Revised</w:t>
            </w:r>
          </w:p>
          <w:p w:rsidR="00A429B9" w:rsidRPr="004756CE" w:rsidRDefault="00A429B9" w:rsidP="00044843">
            <w:pPr>
              <w:rPr>
                <w:color w:val="FFFFFF"/>
              </w:rPr>
            </w:pPr>
            <w:r w:rsidRPr="004756CE">
              <w:rPr>
                <w:color w:val="FFFFFF"/>
              </w:rPr>
              <w:t>variance</w:t>
            </w:r>
          </w:p>
        </w:tc>
        <w:tc>
          <w:tcPr>
            <w:tcW w:w="907" w:type="dxa"/>
          </w:tcPr>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4756CE">
              <w:rPr>
                <w:color w:val="FFFFFF"/>
              </w:rPr>
              <w:t>% Revised</w:t>
            </w:r>
          </w:p>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variance</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2015</w:t>
            </w:r>
          </w:p>
          <w:p w:rsidR="00A429B9" w:rsidRPr="004756CE" w:rsidRDefault="00A429B9" w:rsidP="00044843">
            <w:pPr>
              <w:rPr>
                <w:color w:val="FFFFFF"/>
              </w:rPr>
            </w:pPr>
            <w:r w:rsidRPr="004756CE">
              <w:rPr>
                <w:color w:val="FFFFFF"/>
              </w:rPr>
              <w:t>actual</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b/>
                <w:color w:val="000000"/>
              </w:rPr>
              <w:t>Revenue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Taxation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19 446</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19 644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(198)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17 936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Interest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651</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583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68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855</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Dividends and income tax equivalent and rate equivalent revenue</w:t>
            </w:r>
            <w:r w:rsidRPr="004756CE">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1 159</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1 303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(144)</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768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14 324</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14 192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132</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13 906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Grant revenue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color w:val="000000"/>
              </w:rPr>
              <w:t>25 241</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25 244</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(3)</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color w:val="000000"/>
              </w:rPr>
              <w:t>24 377</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color w:val="000000"/>
              </w:rPr>
              <w:t>Other revenue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3 835</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3 471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364</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3 088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4756CE" w:rsidRDefault="00DF17E9" w:rsidP="00044843">
            <w:pPr>
              <w:ind w:left="0" w:firstLine="0"/>
              <w:rPr>
                <w:color w:val="000000"/>
              </w:rPr>
            </w:pPr>
            <w:r w:rsidRPr="004756CE">
              <w:rPr>
                <w:b/>
                <w:color w:val="000000"/>
              </w:rPr>
              <w:t>Total revenue from transactions</w:t>
            </w:r>
            <w:r w:rsidRPr="004756CE">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64 657</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b/>
                <w:color w:val="000000"/>
              </w:rPr>
              <w:t>64 438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r w:rsidRPr="004756CE">
              <w:rPr>
                <w:b/>
                <w:color w:val="000000"/>
              </w:rPr>
              <w:t>219</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60 929</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b/>
                <w:color w:val="000000"/>
              </w:rPr>
              <w:t>Expenses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 xml:space="preserve"> </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 xml:space="preserve"> </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Employee expenses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21 066</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21 124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(58)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19 834</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Net superannuation interest expense</w:t>
            </w:r>
            <w:r w:rsidRPr="004756CE">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880</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878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2</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1 041</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Other superannuation</w:t>
            </w:r>
            <w:r w:rsidRPr="004756CE">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2 254</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2 250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4</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2 103</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Depreciation</w:t>
            </w:r>
            <w:r w:rsidRPr="004756CE">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4 706</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4 665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41</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4 454</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2 730</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2 757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(28)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2 867</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Grant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5 657</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5 532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124</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5 822</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Other operating expenses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color w:val="000000"/>
              </w:rPr>
              <w:t>25 720</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26 425</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(705)</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(3)</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color w:val="000000"/>
              </w:rPr>
              <w:t>25 544</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b/>
                <w:color w:val="000000"/>
              </w:rPr>
              <w:t>Total expenses from transactions</w:t>
            </w:r>
            <w:r w:rsidRPr="004756CE">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b/>
                <w:color w:val="000000"/>
              </w:rPr>
              <w:t>63 012</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b/>
                <w:color w:val="000000"/>
              </w:rPr>
              <w:t>63 631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b/>
                <w:color w:val="000000"/>
              </w:rPr>
              <w:t>(619)</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b/>
                <w:color w:val="000000"/>
              </w:rPr>
              <w:t>61 665</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4756CE" w:rsidRDefault="00DF17E9" w:rsidP="00044843">
            <w:pPr>
              <w:ind w:left="0" w:firstLine="0"/>
              <w:rPr>
                <w:color w:val="000000"/>
              </w:rPr>
            </w:pPr>
            <w:r w:rsidRPr="004756CE">
              <w:rPr>
                <w:b/>
                <w:color w:val="000000"/>
              </w:rPr>
              <w:t>Net result from transactions – net operating balance</w:t>
            </w:r>
            <w:r w:rsidRPr="004756CE">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pPr>
              <w:rPr>
                <w:color w:val="000000"/>
              </w:rPr>
            </w:pPr>
            <w:r w:rsidRPr="004756CE">
              <w:rPr>
                <w:b/>
                <w:color w:val="000000"/>
              </w:rPr>
              <w:t>1 645</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807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838</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104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(736)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4756CE" w:rsidRDefault="00DF17E9" w:rsidP="00044843">
            <w:pPr>
              <w:ind w:left="0" w:firstLine="0"/>
              <w:rPr>
                <w:color w:val="000000"/>
              </w:rPr>
            </w:pPr>
            <w:r w:rsidRPr="004756CE">
              <w:rPr>
                <w:b/>
                <w:color w:val="000000"/>
              </w:rPr>
              <w:t>Total other economic flows included in net result</w:t>
            </w:r>
            <w:r w:rsidRPr="004756CE">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(3 284)</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249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(3 533)</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proofErr w:type="spellStart"/>
            <w:r w:rsidRPr="004756CE">
              <w:rPr>
                <w:b/>
                <w:color w:val="000000"/>
              </w:rPr>
              <w:t>n.a</w:t>
            </w:r>
            <w:proofErr w:type="spellEnd"/>
            <w:r w:rsidRPr="004756CE">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786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4756CE" w:rsidRDefault="00DF17E9" w:rsidP="00044843">
            <w:pPr>
              <w:ind w:left="0" w:firstLine="0"/>
              <w:rPr>
                <w:color w:val="000000"/>
              </w:rPr>
            </w:pPr>
            <w:r w:rsidRPr="004756CE">
              <w:rPr>
                <w:b/>
                <w:color w:val="000000"/>
              </w:rPr>
              <w:t>Net result</w:t>
            </w:r>
            <w:r w:rsidRPr="004756CE">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b/>
                <w:color w:val="000000"/>
              </w:rPr>
              <w:t>(1 640)</w:t>
            </w:r>
          </w:p>
        </w:tc>
        <w:tc>
          <w:tcPr>
            <w:tcW w:w="907" w:type="dxa"/>
            <w:tcBorders>
              <w:top w:val="single" w:sz="6" w:space="0" w:color="auto"/>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b/>
                <w:color w:val="000000"/>
              </w:rPr>
              <w:t>1 056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b/>
                <w:color w:val="000000"/>
              </w:rPr>
              <w:t>(2 696)</w:t>
            </w:r>
          </w:p>
        </w:tc>
        <w:tc>
          <w:tcPr>
            <w:tcW w:w="907" w:type="dxa"/>
            <w:tcBorders>
              <w:top w:val="single" w:sz="6" w:space="0" w:color="auto"/>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proofErr w:type="spellStart"/>
            <w:r w:rsidRPr="004756CE">
              <w:rPr>
                <w:b/>
                <w:color w:val="000000"/>
              </w:rPr>
              <w:t>n.a</w:t>
            </w:r>
            <w:proofErr w:type="spellEnd"/>
            <w:r w:rsidRPr="004756CE">
              <w: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b/>
                <w:color w:val="000000"/>
              </w:rPr>
              <w:t>51</w:t>
            </w:r>
          </w:p>
        </w:tc>
      </w:tr>
    </w:tbl>
    <w:p w:rsidR="00DF17E9" w:rsidRDefault="00DF17E9" w:rsidP="00044843">
      <w:pPr>
        <w:pStyle w:val="Source"/>
      </w:pPr>
      <w:r>
        <w:t>Source: Department of Treasury and Finance</w:t>
      </w:r>
    </w:p>
    <w:p w:rsidR="00DF17E9" w:rsidRDefault="00DF17E9" w:rsidP="00044843">
      <w:pPr>
        <w:pStyle w:val="Note"/>
      </w:pPr>
      <w:r>
        <w:t xml:space="preserve">Note: </w:t>
      </w:r>
    </w:p>
    <w:p w:rsidR="00DF17E9" w:rsidRDefault="00DF17E9" w:rsidP="00044843">
      <w:pPr>
        <w:pStyle w:val="Note"/>
      </w:pPr>
      <w:r>
        <w:t>(a)</w:t>
      </w:r>
      <w:r>
        <w:tab/>
        <w:t>Certain June 2015 comparative figures have been restated.</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pStyle w:val="Subheadingunderline"/>
      </w:pPr>
      <w:r>
        <w:lastRenderedPageBreak/>
        <w:t>Revenue</w:t>
      </w:r>
    </w:p>
    <w:p w:rsidR="009300BD" w:rsidRDefault="00DF17E9" w:rsidP="00044843">
      <w:r>
        <w:t xml:space="preserve">Total State revenue increased by 6.1 per cent during 2015-16 to $64.7 billion. This was $219 million higher than the revised estimate reflected in the </w:t>
      </w:r>
      <w:r>
        <w:rPr>
          <w:i/>
        </w:rPr>
        <w:t>2016-17</w:t>
      </w:r>
      <w:r w:rsidRPr="00B5460B">
        <w:rPr>
          <w:i/>
        </w:rPr>
        <w:t xml:space="preserve"> Budget</w:t>
      </w:r>
      <w:r>
        <w:t xml:space="preserve">. The general government sector accounts for 88 per cent of total State revenue. </w:t>
      </w:r>
    </w:p>
    <w:p w:rsidR="009300BD" w:rsidRDefault="009300BD" w:rsidP="009300BD">
      <w:pPr>
        <w:spacing w:before="250"/>
      </w:pPr>
      <w:r>
        <w:br w:type="column"/>
      </w:r>
    </w:p>
    <w:p w:rsidR="00DF17E9" w:rsidRDefault="00DF17E9" w:rsidP="00044843">
      <w:r>
        <w:t>The increase in taxation receipts, grants and other revenue in the general government sector was the main contributor towards increased State revenue. The performance of the general government sector is discussed in Chapter 2.</w:t>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044843"/>
    <w:p w:rsidR="00DF17E9" w:rsidRDefault="00DF17E9" w:rsidP="00044843">
      <w:pPr>
        <w:pStyle w:val="Subheading"/>
      </w:pPr>
      <w:r>
        <w:lastRenderedPageBreak/>
        <w:t>Chart 3.1: Revenue contributions by sector</w:t>
      </w:r>
    </w:p>
    <w:p w:rsidR="00DF17E9" w:rsidRDefault="003A3C3D" w:rsidP="0004484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97.75pt">
            <v:imagedata r:id="rId54" o:title=""/>
          </v:shape>
        </w:pict>
      </w:r>
    </w:p>
    <w:p w:rsidR="00DF17E9" w:rsidRDefault="00DF17E9" w:rsidP="00044843">
      <w:pPr>
        <w:pStyle w:val="Source"/>
      </w:pPr>
      <w:r>
        <w:t>Source: Department of Treasury and Finance</w:t>
      </w:r>
    </w:p>
    <w:p w:rsidR="00DF17E9" w:rsidRDefault="00DF17E9" w:rsidP="00044843">
      <w:pPr>
        <w:pStyle w:val="Note"/>
      </w:pPr>
      <w:r>
        <w:t>Note: The State of Victoria will not equal the sum of the general government, PNFC and PFC sectors due to inter-sector eliminations.</w:t>
      </w:r>
    </w:p>
    <w:p w:rsidR="00DF17E9" w:rsidRDefault="00DF17E9" w:rsidP="00044843"/>
    <w:p w:rsidR="00DF17E9" w:rsidRDefault="00DF17E9" w:rsidP="00044843">
      <w:pPr>
        <w:pStyle w:val="Note"/>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r>
        <w:lastRenderedPageBreak/>
        <w:t xml:space="preserve">Within the PNFC sector, total revenue increased by 9.4 per cent to $10.4 billion during 2015-16, $101 million more than estimated in the </w:t>
      </w:r>
      <w:r>
        <w:rPr>
          <w:i/>
        </w:rPr>
        <w:t>2016-17</w:t>
      </w:r>
      <w:r w:rsidRPr="00B5460B">
        <w:rPr>
          <w:i/>
        </w:rPr>
        <w:t xml:space="preserve"> Budget</w:t>
      </w:r>
      <w:r>
        <w:t xml:space="preserve"> and a $888 million increase from 2014-15. The increase since 2014-15 largely reflects:</w:t>
      </w:r>
    </w:p>
    <w:p w:rsidR="00DF17E9" w:rsidRDefault="00DF17E9" w:rsidP="00044843">
      <w:pPr>
        <w:pStyle w:val="ListBullet"/>
      </w:pPr>
      <w:r>
        <w:t>high water consumption and increases in developer revenue for the metropolitan water sector; and</w:t>
      </w:r>
    </w:p>
    <w:p w:rsidR="00DF17E9" w:rsidRDefault="00DF17E9" w:rsidP="00044843">
      <w:pPr>
        <w:pStyle w:val="ListBullet"/>
      </w:pPr>
      <w:r w:rsidRPr="006A6456">
        <w:t>the government’s decision to forgive the outstanding balance of the loan to the Director of Housing. This decision was made to simplify the financial arrangements between the Director of Housing and the Treasurer.</w:t>
      </w:r>
    </w:p>
    <w:p w:rsidR="00DF17E9" w:rsidRDefault="00DF17E9" w:rsidP="00044843">
      <w:r>
        <w:t xml:space="preserve">In the PFC sector, operating revenue increased by 4.7 per cent to $7.5 billion during 2015-16, a $337 million increase from 2014-15. </w:t>
      </w:r>
      <w:r w:rsidRPr="00531DBC">
        <w:t>The increase since 2014</w:t>
      </w:r>
      <w:r>
        <w:noBreakHyphen/>
      </w:r>
      <w:r w:rsidRPr="00531DBC">
        <w:t xml:space="preserve">15 </w:t>
      </w:r>
      <w:r>
        <w:t>is</w:t>
      </w:r>
      <w:r w:rsidRPr="00531DBC">
        <w:t xml:space="preserve"> </w:t>
      </w:r>
      <w:r>
        <w:t xml:space="preserve">mainly related to </w:t>
      </w:r>
      <w:r w:rsidRPr="00531DBC">
        <w:t xml:space="preserve">steady growth in premium revenue for both the Transport Accident Commission (TAC) and Victorian WorkCover Authority (WorkSafe) reflecting a combination of factors, including scheduled increases in premium rates, growth in the number of vehicles (affecting TAC) and </w:t>
      </w:r>
      <w:r>
        <w:t>state</w:t>
      </w:r>
      <w:r w:rsidRPr="00531DBC">
        <w:t>wide remuneration (affecting WorkSafe).</w:t>
      </w:r>
      <w:r>
        <w:t xml:space="preserve"> </w:t>
      </w:r>
    </w:p>
    <w:p w:rsidR="00DF17E9" w:rsidRDefault="00DF17E9" w:rsidP="00044843">
      <w:r>
        <w:br w:type="column"/>
      </w:r>
      <w:r>
        <w:lastRenderedPageBreak/>
        <w:t xml:space="preserve">The PFC sector </w:t>
      </w:r>
      <w:r w:rsidRPr="002A1132">
        <w:t>experienced weak investment returns</w:t>
      </w:r>
      <w:r>
        <w:t xml:space="preserve"> overall</w:t>
      </w:r>
      <w:r w:rsidRPr="002A1132">
        <w:t xml:space="preserve"> due to unfavourable conditions in global </w:t>
      </w:r>
      <w:r>
        <w:t xml:space="preserve">financial markets, with TAC, </w:t>
      </w:r>
      <w:r w:rsidRPr="002A1132">
        <w:t>WorkSafe</w:t>
      </w:r>
      <w:r>
        <w:t xml:space="preserve"> and Victorian Managed Insurance Authority (VMIA)</w:t>
      </w:r>
      <w:r w:rsidRPr="002A1132">
        <w:t xml:space="preserve"> recording a return of approximately 3 per cent on their investment portfolios, compared with returns of approximately 12 per cent in 2014-15.</w:t>
      </w:r>
      <w:r>
        <w:t xml:space="preserve"> However, these unfavourable movements are reported below the line in the net result.</w:t>
      </w:r>
    </w:p>
    <w:p w:rsidR="00DF17E9" w:rsidRDefault="00DF17E9" w:rsidP="00044843">
      <w:pPr>
        <w:pStyle w:val="Subheading"/>
      </w:pPr>
      <w:r>
        <w:t>Expenses</w:t>
      </w:r>
    </w:p>
    <w:p w:rsidR="00DF17E9" w:rsidRPr="00531DBC" w:rsidRDefault="00DF17E9" w:rsidP="00044843">
      <w:pPr>
        <w:rPr>
          <w:b/>
        </w:rPr>
      </w:pPr>
      <w:r w:rsidRPr="00531DBC">
        <w:t>Total State expenses increa</w:t>
      </w:r>
      <w:r>
        <w:t>sed by 2.2 per cent during 2015-16 to $63</w:t>
      </w:r>
      <w:r w:rsidRPr="00531DBC">
        <w:t xml:space="preserve"> billion, $6</w:t>
      </w:r>
      <w:r>
        <w:t>19</w:t>
      </w:r>
      <w:r w:rsidRPr="00531DBC">
        <w:t xml:space="preserve"> million lower than forecast in the </w:t>
      </w:r>
      <w:r>
        <w:rPr>
          <w:i/>
        </w:rPr>
        <w:t>2016-</w:t>
      </w:r>
      <w:r w:rsidRPr="00531DBC">
        <w:rPr>
          <w:i/>
        </w:rPr>
        <w:t>17 Budget</w:t>
      </w:r>
      <w:r w:rsidRPr="00531DBC">
        <w:t xml:space="preserve"> and $</w:t>
      </w:r>
      <w:r>
        <w:t>1.3 billion higher than in 2014-</w:t>
      </w:r>
      <w:r w:rsidRPr="00531DBC">
        <w:t xml:space="preserve">15. </w:t>
      </w:r>
    </w:p>
    <w:p w:rsidR="00DF17E9" w:rsidRPr="00531DBC" w:rsidRDefault="00DF17E9" w:rsidP="00044843">
      <w:pPr>
        <w:rPr>
          <w:b/>
        </w:rPr>
      </w:pPr>
      <w:r w:rsidRPr="00531DBC">
        <w:t>In the PNFC sector, total expenses increased by 5.9</w:t>
      </w:r>
      <w:r>
        <w:t> </w:t>
      </w:r>
      <w:r w:rsidRPr="00531DBC">
        <w:t>per cent to $10.2 billion, $</w:t>
      </w:r>
      <w:r>
        <w:t>9</w:t>
      </w:r>
      <w:r w:rsidRPr="00531DBC">
        <w:t xml:space="preserve"> million lower than forecast in the </w:t>
      </w:r>
      <w:r>
        <w:rPr>
          <w:i/>
        </w:rPr>
        <w:t>2016-</w:t>
      </w:r>
      <w:r w:rsidRPr="00531DBC">
        <w:rPr>
          <w:i/>
        </w:rPr>
        <w:t>17 Budget</w:t>
      </w:r>
      <w:r>
        <w:t xml:space="preserve"> and</w:t>
      </w:r>
      <w:r w:rsidRPr="00531DBC">
        <w:t xml:space="preserve"> $5</w:t>
      </w:r>
      <w:r>
        <w:t>72</w:t>
      </w:r>
      <w:r w:rsidRPr="00531DBC">
        <w:t xml:space="preserve"> million higher than 2</w:t>
      </w:r>
      <w:r>
        <w:t>014-15. The increase since 2014-</w:t>
      </w:r>
      <w:r w:rsidRPr="00531DBC">
        <w:t xml:space="preserve">15 was mainly </w:t>
      </w:r>
      <w:r>
        <w:t>from</w:t>
      </w:r>
      <w:r w:rsidRPr="00531DBC">
        <w:t xml:space="preserve"> </w:t>
      </w:r>
      <w:r>
        <w:t xml:space="preserve">income tax expenses </w:t>
      </w:r>
      <w:r w:rsidRPr="00531DBC">
        <w:t>and depreciation expenses.</w:t>
      </w:r>
    </w:p>
    <w:p w:rsidR="00DF17E9" w:rsidRDefault="00DF17E9">
      <w:r>
        <w:br w:type="page"/>
      </w:r>
    </w:p>
    <w:p w:rsidR="00DF17E9" w:rsidRDefault="00DF17E9" w:rsidP="00044843">
      <w:pPr>
        <w:rPr>
          <w:b/>
        </w:rPr>
      </w:pPr>
      <w:r w:rsidRPr="00531DBC">
        <w:lastRenderedPageBreak/>
        <w:t xml:space="preserve">Within the PFC sector, total expenses increased by </w:t>
      </w:r>
      <w:r>
        <w:t>1.4 per cent to $8.3</w:t>
      </w:r>
      <w:r w:rsidRPr="00531DBC">
        <w:t xml:space="preserve"> billion, </w:t>
      </w:r>
      <w:r>
        <w:t>$31 million higher than</w:t>
      </w:r>
      <w:r w:rsidRPr="00531DBC">
        <w:t xml:space="preserve"> forecast in the </w:t>
      </w:r>
      <w:r>
        <w:rPr>
          <w:i/>
        </w:rPr>
        <w:t>2016-</w:t>
      </w:r>
      <w:r w:rsidRPr="00531DBC">
        <w:rPr>
          <w:i/>
        </w:rPr>
        <w:t>17 Budget</w:t>
      </w:r>
      <w:r w:rsidRPr="00531DBC">
        <w:t xml:space="preserve">, and was </w:t>
      </w:r>
      <w:r>
        <w:t>$116 million higher than in 2014-</w:t>
      </w:r>
      <w:r w:rsidRPr="00531DBC">
        <w:t xml:space="preserve">15. The </w:t>
      </w:r>
      <w:r>
        <w:t>increase in expenses since 2014-</w:t>
      </w:r>
      <w:r w:rsidRPr="00531DBC">
        <w:t xml:space="preserve">15 was mainly </w:t>
      </w:r>
      <w:r>
        <w:t>from</w:t>
      </w:r>
      <w:r w:rsidRPr="00531DBC">
        <w:t xml:space="preserve"> </w:t>
      </w:r>
      <w:r>
        <w:t xml:space="preserve">an </w:t>
      </w:r>
      <w:r w:rsidRPr="00531DBC">
        <w:t xml:space="preserve">increase in </w:t>
      </w:r>
      <w:r>
        <w:t>other operating expenses</w:t>
      </w:r>
      <w:r w:rsidRPr="00531DBC">
        <w:t>.</w:t>
      </w:r>
    </w:p>
    <w:p w:rsidR="00DF17E9" w:rsidRDefault="00DF17E9" w:rsidP="00044843">
      <w:pPr>
        <w:pStyle w:val="Subheadingunderline"/>
      </w:pPr>
      <w:r>
        <w:lastRenderedPageBreak/>
        <w:t>Net result from transactions</w:t>
      </w:r>
    </w:p>
    <w:p w:rsidR="00DF17E9" w:rsidRDefault="00DF17E9" w:rsidP="00044843">
      <w:r w:rsidRPr="00531DBC">
        <w:t>As shown in Chart 3.2, the PNFC sector recorded a $1</w:t>
      </w:r>
      <w:r>
        <w:t>54</w:t>
      </w:r>
      <w:r w:rsidRPr="00531DBC">
        <w:t xml:space="preserve"> million net surplus from transactions in 2015</w:t>
      </w:r>
      <w:r>
        <w:noBreakHyphen/>
      </w:r>
      <w:r w:rsidRPr="00531DBC">
        <w:t>16, improving on the $162 million deficit in 2014</w:t>
      </w:r>
      <w:r>
        <w:t>-</w:t>
      </w:r>
      <w:r w:rsidRPr="00531DBC">
        <w:t>15. This reflects improved performance from the metropolitan water businesses and the one-off effect of forgiving Director of Housing debt repayment obligation</w:t>
      </w:r>
      <w:r>
        <w:t>s</w:t>
      </w:r>
      <w:r w:rsidRPr="00531DBC">
        <w:t>.</w:t>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044843">
      <w:pPr>
        <w:pStyle w:val="Subheading"/>
      </w:pPr>
      <w:r>
        <w:lastRenderedPageBreak/>
        <w:t>Chart 3.2: Net result from transactions by sector</w:t>
      </w:r>
    </w:p>
    <w:p w:rsidR="00DF17E9" w:rsidRDefault="003A3C3D" w:rsidP="00044843">
      <w:pPr>
        <w:jc w:val="center"/>
      </w:pPr>
      <w:r>
        <w:pict>
          <v:shape id="_x0000_i1026" type="#_x0000_t75" style="width:426pt;height:297pt">
            <v:imagedata r:id="rId55" o:title=""/>
          </v:shape>
        </w:pict>
      </w:r>
    </w:p>
    <w:p w:rsidR="00DF17E9" w:rsidRDefault="00DF17E9" w:rsidP="00044843">
      <w:pPr>
        <w:pStyle w:val="Source"/>
      </w:pPr>
      <w:r>
        <w:t>Source: Department of Treasury and Finance</w:t>
      </w:r>
    </w:p>
    <w:p w:rsidR="00DF17E9" w:rsidRDefault="00DF17E9" w:rsidP="00044843">
      <w:pPr>
        <w:pStyle w:val="Note"/>
      </w:pPr>
      <w:r w:rsidRPr="00DF3BCA">
        <w:t>Note</w:t>
      </w:r>
      <w:r>
        <w:t xml:space="preserve">: </w:t>
      </w:r>
      <w:r>
        <w:tab/>
        <w:t>The State of Victoria will not equal the sum of the general government, PNFC and PFC sectors due to inter-sector eliminations.</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r w:rsidRPr="00531DBC">
        <w:lastRenderedPageBreak/>
        <w:t>The PFC sector recorded a net deficit from trans</w:t>
      </w:r>
      <w:r>
        <w:t>actions of $797 million in 2015-</w:t>
      </w:r>
      <w:r w:rsidRPr="00531DBC">
        <w:t>16 compared to a $1 billion deficit in</w:t>
      </w:r>
      <w:r>
        <w:t xml:space="preserve"> 2014-</w:t>
      </w:r>
      <w:r w:rsidRPr="00531DBC">
        <w:t>15. Care needs to be taken in interpreting this result as it excludes gains in the value of investment portfolios of the insurance agencies which will be used to fund their claims liabilities. These are included in the net result which is discussed in the next section.</w:t>
      </w:r>
      <w:r>
        <w:t xml:space="preserve"> </w:t>
      </w:r>
    </w:p>
    <w:p w:rsidR="00DF17E9" w:rsidRDefault="00DF17E9" w:rsidP="00044843">
      <w:pPr>
        <w:pStyle w:val="Subheadingunderline"/>
      </w:pPr>
      <w:r>
        <w:t>Net result</w:t>
      </w:r>
    </w:p>
    <w:p w:rsidR="00DF17E9" w:rsidRDefault="00DF17E9" w:rsidP="00044843">
      <w:r>
        <w:t xml:space="preserve">At the consolidated State level, the net result for 2015-16 was a deficit of $1.6 billion. </w:t>
      </w:r>
    </w:p>
    <w:p w:rsidR="00DF17E9" w:rsidRDefault="00DF17E9" w:rsidP="00044843">
      <w:r>
        <w:t xml:space="preserve">The difference between the net result and the net result from transactions comprises ‘other economic flows’ and includes the impact of valuation movements and actuarial assumptions on the State’s </w:t>
      </w:r>
      <w:r>
        <w:lastRenderedPageBreak/>
        <w:t>financial assets and liabilities including investments used to fund the State’s insurance and superannuation liabilities. As a result, the net result is considered a more meaningful measure of the underlying sustainable operating position of the State.</w:t>
      </w:r>
    </w:p>
    <w:p w:rsidR="00DF17E9" w:rsidRDefault="00DF17E9">
      <w:r>
        <w:br w:type="page"/>
      </w:r>
    </w:p>
    <w:p w:rsidR="00DF17E9" w:rsidRDefault="00DF17E9" w:rsidP="00044843">
      <w:r>
        <w:lastRenderedPageBreak/>
        <w:t>Other economic flows contributed a deficit of $3.3 billion towards the State’s net result. These mainly comprised:</w:t>
      </w:r>
    </w:p>
    <w:p w:rsidR="00DF17E9" w:rsidRDefault="00DF17E9" w:rsidP="00044843">
      <w:pPr>
        <w:pStyle w:val="ListBullet"/>
      </w:pPr>
      <w:r>
        <w:t>subdued investment returns for the State’s insurance agencies, attributed to the unfavourable conditions in global financial markets; and</w:t>
      </w:r>
    </w:p>
    <w:p w:rsidR="00DF17E9" w:rsidRDefault="00DF17E9" w:rsidP="00044843">
      <w:pPr>
        <w:pStyle w:val="ListBullet"/>
      </w:pPr>
      <w:r>
        <w:t>valuation changes on the State’s insurance liabilities arising from falling bond rates.</w:t>
      </w:r>
    </w:p>
    <w:p w:rsidR="00DF17E9" w:rsidRDefault="00DF17E9" w:rsidP="00044843">
      <w:pPr>
        <w:pStyle w:val="Subheadingunderline"/>
      </w:pPr>
      <w:r>
        <w:lastRenderedPageBreak/>
        <w:t>FINANCIAL POSITION</w:t>
      </w:r>
    </w:p>
    <w:p w:rsidR="00DF17E9" w:rsidRDefault="00DF17E9" w:rsidP="00044843">
      <w:r>
        <w:t>Table 3.2</w:t>
      </w:r>
      <w:r w:rsidRPr="001143EE">
        <w:t xml:space="preserve"> </w:t>
      </w:r>
      <w:r>
        <w:t xml:space="preserve">shows </w:t>
      </w:r>
      <w:r w:rsidRPr="001143EE">
        <w:t>the State’s n</w:t>
      </w:r>
      <w:r>
        <w:t>et assets increased during 2015-</w:t>
      </w:r>
      <w:r w:rsidRPr="001143EE">
        <w:t>16 by $</w:t>
      </w:r>
      <w:r>
        <w:t>12</w:t>
      </w:r>
      <w:r w:rsidRPr="001143EE">
        <w:t xml:space="preserve"> billion to $1</w:t>
      </w:r>
      <w:r>
        <w:t>52 billion at 30 </w:t>
      </w:r>
      <w:r w:rsidRPr="001143EE">
        <w:t>June 2016. This mainly reflects revaluation gains in non-financial assets driven by the general government and PNFC sectors.</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Pr="004756CE" w:rsidRDefault="00DF17E9" w:rsidP="00044843">
      <w:pPr>
        <w:pStyle w:val="Subheading"/>
        <w:rPr>
          <w:bCs/>
          <w:lang w:val="en-US"/>
        </w:rPr>
      </w:pPr>
      <w:r>
        <w:lastRenderedPageBreak/>
        <w:t>Table 3.2: Summary balance sheet – State of Victoria</w:t>
      </w:r>
      <w:r>
        <w:rPr>
          <w:vertAlign w:val="superscript"/>
        </w:rPr>
        <w:tab/>
      </w:r>
      <w:r w:rsidRPr="00B5460B">
        <w:rPr>
          <w:rStyle w:val="TableUnitsChar"/>
        </w:rPr>
        <w:t>($ billion)</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907"/>
      </w:tblGrid>
      <w:tr w:rsidR="00A429B9" w:rsidRPr="004756CE" w:rsidTr="00A429B9">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5102" w:type="dxa"/>
          </w:tcPr>
          <w:p w:rsidR="00A429B9" w:rsidRPr="004756CE" w:rsidRDefault="00A429B9" w:rsidP="00044843">
            <w:pPr>
              <w:ind w:left="0" w:firstLine="0"/>
              <w:rPr>
                <w:i w:val="0"/>
                <w:color w:val="FFFFFF"/>
              </w:rPr>
            </w:pPr>
            <w:r w:rsidRPr="004756CE">
              <w:rPr>
                <w:color w:val="FFFFFF"/>
              </w:rPr>
              <w:t xml:space="preserve"> </w:t>
            </w:r>
          </w:p>
          <w:p w:rsidR="00A429B9" w:rsidRPr="004756CE" w:rsidRDefault="00A429B9" w:rsidP="00044843">
            <w:pPr>
              <w:ind w:left="0"/>
              <w:rPr>
                <w:color w:val="FFFFFF"/>
              </w:rPr>
            </w:pPr>
            <w:r w:rsidRPr="004756CE">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2016</w:t>
            </w:r>
          </w:p>
          <w:p w:rsidR="00A429B9" w:rsidRPr="004756CE" w:rsidRDefault="00A429B9" w:rsidP="00044843">
            <w:pPr>
              <w:rPr>
                <w:color w:val="FFFFFF"/>
              </w:rPr>
            </w:pPr>
            <w:r w:rsidRPr="004756CE">
              <w:rPr>
                <w:color w:val="FFFFFF"/>
              </w:rPr>
              <w:t>actual</w:t>
            </w:r>
          </w:p>
        </w:tc>
        <w:tc>
          <w:tcPr>
            <w:tcW w:w="907" w:type="dxa"/>
          </w:tcPr>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4756CE">
              <w:rPr>
                <w:color w:val="FFFFFF"/>
              </w:rPr>
              <w:t>Revised</w:t>
            </w:r>
          </w:p>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variance</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2016</w:t>
            </w:r>
          </w:p>
          <w:p w:rsidR="00A429B9" w:rsidRPr="004756CE" w:rsidRDefault="00A429B9" w:rsidP="00044843">
            <w:pPr>
              <w:rPr>
                <w:color w:val="FFFFFF"/>
              </w:rPr>
            </w:pPr>
            <w:r w:rsidRPr="004756CE">
              <w:rPr>
                <w:color w:val="FFFFFF"/>
              </w:rPr>
              <w:t>revised</w:t>
            </w:r>
          </w:p>
        </w:tc>
        <w:tc>
          <w:tcPr>
            <w:tcW w:w="907" w:type="dxa"/>
          </w:tcPr>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4756CE">
              <w:rPr>
                <w:color w:val="FFFFFF"/>
              </w:rPr>
              <w:t>Actual</w:t>
            </w:r>
          </w:p>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movement</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2015</w:t>
            </w:r>
          </w:p>
          <w:p w:rsidR="00A429B9" w:rsidRPr="004756CE" w:rsidRDefault="00A429B9" w:rsidP="00044843">
            <w:pPr>
              <w:rPr>
                <w:color w:val="FFFFFF"/>
              </w:rPr>
            </w:pPr>
            <w:r w:rsidRPr="004756CE">
              <w:rPr>
                <w:color w:val="FFFFFF"/>
              </w:rPr>
              <w:t>actual</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b/>
                <w:color w:val="000000"/>
              </w:rPr>
              <w:t>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52</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50</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50</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color w:val="000000"/>
              </w:rPr>
              <w:t>Non-financial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230</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215</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210</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4756CE" w:rsidRDefault="00DF17E9" w:rsidP="00044843">
            <w:pPr>
              <w:ind w:left="0" w:firstLine="0"/>
              <w:rPr>
                <w:color w:val="000000"/>
              </w:rPr>
            </w:pPr>
            <w:r w:rsidRPr="004756CE">
              <w:rPr>
                <w:b/>
                <w:color w:val="000000"/>
              </w:rPr>
              <w:t>Total assets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r w:rsidRPr="004756CE">
              <w:rPr>
                <w:b/>
                <w:color w:val="000000"/>
              </w:rPr>
              <w:t>282</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r w:rsidRPr="004756CE">
              <w:rPr>
                <w:b/>
                <w:color w:val="000000"/>
              </w:rPr>
              <w:t>265</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22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r w:rsidRPr="004756CE">
              <w:rPr>
                <w:b/>
                <w:color w:val="000000"/>
              </w:rPr>
              <w:t>260</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29</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28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26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Borrowings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54</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52</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52</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color w:val="000000"/>
              </w:rPr>
              <w:t>Other liabilities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47</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3</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44</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42</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4756CE" w:rsidRDefault="00DF17E9" w:rsidP="00044843">
            <w:pPr>
              <w:ind w:left="0" w:firstLine="0"/>
              <w:rPr>
                <w:color w:val="000000"/>
              </w:rPr>
            </w:pPr>
            <w:r w:rsidRPr="004756CE">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130</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123</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b/>
                <w:color w:val="000000"/>
              </w:rPr>
              <w:t>120</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4756CE" w:rsidRDefault="00DF17E9" w:rsidP="00044843">
            <w:pPr>
              <w:ind w:left="0" w:firstLine="0"/>
              <w:rPr>
                <w:color w:val="000000"/>
              </w:rPr>
            </w:pPr>
            <w:r w:rsidRPr="004756CE">
              <w:rPr>
                <w:b/>
                <w:color w:val="000000"/>
              </w:rPr>
              <w:t>Net assets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b/>
                <w:color w:val="000000"/>
              </w:rPr>
              <w:t>152</w:t>
            </w:r>
          </w:p>
        </w:tc>
        <w:tc>
          <w:tcPr>
            <w:tcW w:w="907" w:type="dxa"/>
            <w:tcBorders>
              <w:top w:val="single" w:sz="6" w:space="0" w:color="auto"/>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b/>
                <w:color w:val="000000"/>
              </w:rPr>
              <w:t>142</w:t>
            </w:r>
          </w:p>
        </w:tc>
        <w:tc>
          <w:tcPr>
            <w:tcW w:w="907" w:type="dxa"/>
            <w:tcBorders>
              <w:top w:val="single" w:sz="6" w:space="0" w:color="auto"/>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b/>
                <w:color w:val="000000"/>
              </w:rPr>
              <w:t>140</w:t>
            </w:r>
          </w:p>
        </w:tc>
      </w:tr>
    </w:tbl>
    <w:p w:rsidR="00DF17E9" w:rsidRDefault="00DF17E9" w:rsidP="00044843">
      <w:pPr>
        <w:pStyle w:val="Source"/>
      </w:pPr>
      <w:r>
        <w:t>Source: Department of Treasury and Finance</w:t>
      </w:r>
    </w:p>
    <w:p w:rsidR="00DF17E9" w:rsidRDefault="00DF17E9" w:rsidP="00044843">
      <w:pPr>
        <w:pStyle w:val="Subheading"/>
      </w:pPr>
      <w:r>
        <w:t xml:space="preserve">Chart 3.3: Net assets by sector as at 30 June </w:t>
      </w:r>
      <w:r w:rsidRPr="003536B6">
        <w:rPr>
          <w:vertAlign w:val="superscript"/>
        </w:rPr>
        <w:t>(a)</w:t>
      </w:r>
    </w:p>
    <w:p w:rsidR="00DF17E9" w:rsidRDefault="003A3C3D" w:rsidP="00044843">
      <w:pPr>
        <w:jc w:val="center"/>
      </w:pPr>
      <w:r>
        <w:pict>
          <v:shape id="_x0000_i1027" type="#_x0000_t75" style="width:450.75pt;height:297pt">
            <v:imagedata r:id="rId56" o:title=""/>
          </v:shape>
        </w:pict>
      </w:r>
    </w:p>
    <w:p w:rsidR="00DF17E9" w:rsidRDefault="00DF17E9" w:rsidP="00044843">
      <w:pPr>
        <w:pStyle w:val="Source"/>
      </w:pPr>
      <w:r>
        <w:t>Source: Department of Treasury and Finance</w:t>
      </w:r>
    </w:p>
    <w:p w:rsidR="00DF17E9" w:rsidRDefault="00DF17E9" w:rsidP="00044843">
      <w:pPr>
        <w:pStyle w:val="Note"/>
      </w:pPr>
      <w:r>
        <w:t>Note:</w:t>
      </w:r>
    </w:p>
    <w:p w:rsidR="00DF17E9" w:rsidRDefault="00DF17E9" w:rsidP="00044843">
      <w:pPr>
        <w:pStyle w:val="Note"/>
      </w:pPr>
      <w:r>
        <w:t>(a)</w:t>
      </w:r>
      <w:r>
        <w:tab/>
        <w:t xml:space="preserve">General government net assets exclude investments in other sector entities and the State of Victoria will not equal the sum of the general government, PNFC and PFC sectors due to inter- sector eliminations. </w:t>
      </w:r>
    </w:p>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r>
        <w:lastRenderedPageBreak/>
        <w:t>Chart 3.3 shows net assets have increased by $12 billion during 2015-16 driven largely in the general government sector and the PNFC sector. The general government sector is discussed in Chapter 2.</w:t>
      </w:r>
    </w:p>
    <w:p w:rsidR="00DF17E9" w:rsidRDefault="00DF17E9" w:rsidP="00044843">
      <w:r>
        <w:t xml:space="preserve">Non-financial assets increased by $20 billion </w:t>
      </w:r>
      <w:r w:rsidR="00494A92">
        <w:br/>
      </w:r>
      <w:r>
        <w:t xml:space="preserve">during 2015-16. This increase mainly reflects the </w:t>
      </w:r>
      <w:r w:rsidRPr="00071156">
        <w:t>revaluation of Port of Melbourne Corporation’s non-financial assets to reflect the expected lease transaction price and also the revaluation of the Di</w:t>
      </w:r>
      <w:r w:rsidR="00F90DAE">
        <w:t xml:space="preserve">rector of Housing and </w:t>
      </w:r>
      <w:r w:rsidR="005B64A3">
        <w:t xml:space="preserve">the </w:t>
      </w:r>
      <w:r w:rsidRPr="00071156">
        <w:t>Water</w:t>
      </w:r>
      <w:r w:rsidR="00F90DAE">
        <w:t xml:space="preserve"> Corporations</w:t>
      </w:r>
      <w:r w:rsidRPr="00071156">
        <w:t xml:space="preserve"> </w:t>
      </w:r>
      <w:r w:rsidR="00494A92">
        <w:t>non</w:t>
      </w:r>
      <w:r w:rsidR="00494A92">
        <w:noBreakHyphen/>
      </w:r>
      <w:r w:rsidRPr="00071156">
        <w:t>financial assets, in line with the relevant financial reporting requirements.</w:t>
      </w:r>
      <w:r>
        <w:t xml:space="preserve"> </w:t>
      </w:r>
    </w:p>
    <w:p w:rsidR="00DF17E9" w:rsidRDefault="00DF17E9" w:rsidP="00044843">
      <w:r>
        <w:t>The net asset position of the PFC sector declined by $3 billion to a negative $3.8 billion at 30 June 2016. This is primarily due to the impact of lower interest and bond rates impacting on the value of financial liabilities of the Treasury Corporation of Victoria (TCV) and the State’s insurance agencies.</w:t>
      </w:r>
    </w:p>
    <w:p w:rsidR="00DF17E9" w:rsidRDefault="00DF17E9" w:rsidP="00044843">
      <w:r>
        <w:t>The valuation impact on TCV’s liabilities arises because the majority of TCV’s assets are fixed interest rate loans to Government clients which are measured at book value rather than market value, whereas its liabilities are reported at market value. This creates a valuation difference between TCV’s assets and liabilities when reported in the PFC sector. This difference is ultimately eliminated when TCV’s loans to Government clients are eliminated on consolidation of the whole of State accounts. This negative net asset position is not reflected in TCV’s accounts where both assets and liabilities are reported at market value.</w:t>
      </w:r>
    </w:p>
    <w:p w:rsidR="00DF17E9" w:rsidRDefault="00DF17E9" w:rsidP="00044843">
      <w:pPr>
        <w:pStyle w:val="Subheadingunderline"/>
      </w:pPr>
      <w:r>
        <w:t>CASH FLOWS</w:t>
      </w:r>
    </w:p>
    <w:p w:rsidR="00DF17E9" w:rsidRDefault="00DF17E9" w:rsidP="00044843">
      <w:r>
        <w:t>After excluding non-cash items such as asset revaluations and depreciation, the change in operating receipts and payments for the State are broadly in line with the same factors that underpinned the income and expense movements discussed earlier in this chapter.</w:t>
      </w:r>
    </w:p>
    <w:p w:rsidR="00DF17E9" w:rsidRDefault="00DF17E9" w:rsidP="00044843">
      <w:pPr>
        <w:pStyle w:val="Subheadingunderline"/>
      </w:pPr>
      <w:r>
        <w:lastRenderedPageBreak/>
        <w:t>Infrastructure investment</w:t>
      </w:r>
    </w:p>
    <w:p w:rsidR="00DF17E9" w:rsidRDefault="00DF17E9" w:rsidP="00044843">
      <w:r>
        <w:t xml:space="preserve">Net cash flows from investment activities comprised of $4.2 billion invested by the general government sector (discussed in Chapter 2) and $2.1 billion by the PNFC sector, particularly in the water and transport sectors. </w:t>
      </w:r>
    </w:p>
    <w:p w:rsidR="00DF17E9" w:rsidRDefault="00DF17E9" w:rsidP="00044843">
      <w:r>
        <w:t>Key projects in the PNFC sector included the following. U</w:t>
      </w:r>
      <w:r w:rsidRPr="00444CFC">
        <w:t>pgrading regional rail services on the Ballarat rail corridor and procuring additional rolling stock with a further 27 VLocity train carriages to meet the d</w:t>
      </w:r>
      <w:r>
        <w:t>emand of the regional network. A</w:t>
      </w:r>
      <w:r w:rsidRPr="00444CFC">
        <w:t>dditional regional r</w:t>
      </w:r>
      <w:r>
        <w:t>olling stock investments including</w:t>
      </w:r>
      <w:r w:rsidRPr="00444CFC">
        <w:t xml:space="preserve"> life-extension works t</w:t>
      </w:r>
      <w:r>
        <w:t>o V/Line trains and carriages. I</w:t>
      </w:r>
      <w:r w:rsidRPr="00444CFC">
        <w:t>nvestment in metropoli</w:t>
      </w:r>
      <w:r>
        <w:t>tan rail infrastructure including</w:t>
      </w:r>
      <w:r w:rsidRPr="00444CFC">
        <w:t xml:space="preserve"> extending rail services to Mernda in Melbourne's northern suburbs, upgrading the Hurstbridge rail corridor and redeveloping the Frankston Station Precinct</w:t>
      </w:r>
      <w:r>
        <w:t>. Upgrading and renewal of water and sewer assets, including Goulburn-Murray Water’s Connections Project, which will connect irrigators to a modernised main system of irrigation channels.</w:t>
      </w:r>
    </w:p>
    <w:p w:rsidR="00DF17E9" w:rsidRDefault="00DF17E9" w:rsidP="00044843">
      <w:pPr>
        <w:pStyle w:val="Subheadingunderline"/>
      </w:pPr>
      <w:r>
        <w:t>FINANCIAL SUSTAINABILITY (NON-FINANCIAL PUBLIC SECTOR)</w:t>
      </w:r>
    </w:p>
    <w:p w:rsidR="00DF17E9" w:rsidRDefault="00DF17E9" w:rsidP="00044843">
      <w:r>
        <w:t xml:space="preserve">The sustainability of the non-financial public sector (NFPS) is significant for the State’s credit rating. The NFPS comprises the general government sector and the PNFC sector. The credit rating agencies consider the level of net debt, net financial liabilities and the State’s capacity to service these liabilities. </w:t>
      </w:r>
    </w:p>
    <w:p w:rsidR="00DF17E9" w:rsidRDefault="00DF17E9" w:rsidP="00044843">
      <w:r>
        <w:t>Table 3.3 shows</w:t>
      </w:r>
      <w:r w:rsidRPr="001143EE">
        <w:t xml:space="preserve"> NFPS net debt</w:t>
      </w:r>
      <w:r>
        <w:t xml:space="preserve"> of $36.6 billion</w:t>
      </w:r>
      <w:r w:rsidRPr="001143EE">
        <w:t xml:space="preserve"> </w:t>
      </w:r>
      <w:r>
        <w:t xml:space="preserve">is largely unchanged </w:t>
      </w:r>
      <w:r w:rsidRPr="001143EE">
        <w:t xml:space="preserve">compared </w:t>
      </w:r>
      <w:r>
        <w:t>with the previous year, and $700</w:t>
      </w:r>
      <w:r w:rsidRPr="001143EE">
        <w:t xml:space="preserve"> million lower than the revised estimate of $37.3 billion. The ratio of net NFPS debt to gross state product (GSP) has fallen to 9.7 per cent from 10.1 per cent in 2014-15.</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044843"/>
    <w:p w:rsidR="00DF17E9" w:rsidRPr="004756CE" w:rsidRDefault="00DF17E9" w:rsidP="00044843">
      <w:pPr>
        <w:pStyle w:val="Subheading"/>
      </w:pPr>
      <w:r>
        <w:br w:type="page"/>
      </w:r>
      <w:r w:rsidRPr="00AF673A">
        <w:lastRenderedPageBreak/>
        <w:t>Table 3.3: Non-financial public sector net debt and net financia</w:t>
      </w:r>
      <w:r>
        <w:t>l liabilities as at 30 June</w:t>
      </w:r>
      <w:r w:rsidRPr="00AF673A">
        <w:tab/>
      </w:r>
      <w:r w:rsidRPr="00DF3BCA">
        <w:rPr>
          <w:rStyle w:val="TableUnitsChar"/>
        </w:rPr>
        <w:t>($ million)</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907"/>
      </w:tblGrid>
      <w:tr w:rsidR="00A429B9" w:rsidRPr="004756CE" w:rsidTr="00A429B9">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5102" w:type="dxa"/>
          </w:tcPr>
          <w:p w:rsidR="00A429B9" w:rsidRPr="004756CE" w:rsidRDefault="00A429B9" w:rsidP="00044843">
            <w:pPr>
              <w:ind w:left="0" w:firstLine="0"/>
              <w:rPr>
                <w:i w:val="0"/>
                <w:color w:val="FFFFFF"/>
              </w:rPr>
            </w:pPr>
            <w:r w:rsidRPr="004756CE">
              <w:rPr>
                <w:color w:val="FFFFFF"/>
              </w:rPr>
              <w:t xml:space="preserve"> </w:t>
            </w:r>
          </w:p>
          <w:p w:rsidR="00A429B9" w:rsidRPr="004756CE" w:rsidRDefault="00A429B9" w:rsidP="00044843">
            <w:pPr>
              <w:ind w:left="0"/>
              <w:rPr>
                <w:color w:val="FFFFFF"/>
              </w:rPr>
            </w:pPr>
            <w:r w:rsidRPr="004756CE">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2016</w:t>
            </w:r>
          </w:p>
          <w:p w:rsidR="00A429B9" w:rsidRPr="004756CE" w:rsidRDefault="00A429B9" w:rsidP="00044843">
            <w:pPr>
              <w:rPr>
                <w:color w:val="FFFFFF"/>
              </w:rPr>
            </w:pPr>
            <w:r w:rsidRPr="004756CE">
              <w:rPr>
                <w:color w:val="FFFFFF"/>
              </w:rPr>
              <w:t>actual</w:t>
            </w:r>
          </w:p>
        </w:tc>
        <w:tc>
          <w:tcPr>
            <w:tcW w:w="907" w:type="dxa"/>
          </w:tcPr>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4756CE">
              <w:rPr>
                <w:color w:val="FFFFFF"/>
              </w:rPr>
              <w:t>Revised</w:t>
            </w:r>
          </w:p>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variance</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2016</w:t>
            </w:r>
          </w:p>
          <w:p w:rsidR="00A429B9" w:rsidRPr="004756CE" w:rsidRDefault="00A429B9" w:rsidP="00044843">
            <w:pPr>
              <w:rPr>
                <w:color w:val="FFFFFF"/>
              </w:rPr>
            </w:pPr>
            <w:r w:rsidRPr="004756CE">
              <w:rPr>
                <w:color w:val="FFFFFF"/>
              </w:rPr>
              <w:t>revised</w:t>
            </w:r>
          </w:p>
        </w:tc>
        <w:tc>
          <w:tcPr>
            <w:tcW w:w="907" w:type="dxa"/>
          </w:tcPr>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4756CE">
              <w:rPr>
                <w:color w:val="FFFFFF"/>
              </w:rPr>
              <w:t>Actual</w:t>
            </w:r>
          </w:p>
          <w:p w:rsidR="00A429B9" w:rsidRPr="004756CE" w:rsidRDefault="00A429B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movement</w:t>
            </w:r>
          </w:p>
        </w:tc>
        <w:tc>
          <w:tcPr>
            <w:cnfStyle w:val="000010000000" w:firstRow="0" w:lastRow="0" w:firstColumn="0" w:lastColumn="0" w:oddVBand="1" w:evenVBand="0" w:oddHBand="0" w:evenHBand="0" w:firstRowFirstColumn="0" w:firstRowLastColumn="0" w:lastRowFirstColumn="0" w:lastRowLastColumn="0"/>
            <w:tcW w:w="907" w:type="dxa"/>
          </w:tcPr>
          <w:p w:rsidR="00A429B9" w:rsidRPr="004756CE" w:rsidRDefault="00A429B9" w:rsidP="00044843">
            <w:pPr>
              <w:rPr>
                <w:i w:val="0"/>
                <w:color w:val="FFFFFF"/>
              </w:rPr>
            </w:pPr>
            <w:r w:rsidRPr="004756CE">
              <w:rPr>
                <w:color w:val="FFFFFF"/>
              </w:rPr>
              <w:t>2015</w:t>
            </w:r>
          </w:p>
          <w:p w:rsidR="00A429B9" w:rsidRPr="004756CE" w:rsidRDefault="00A429B9" w:rsidP="00044843">
            <w:pPr>
              <w:rPr>
                <w:color w:val="FFFFFF"/>
              </w:rPr>
            </w:pPr>
            <w:r w:rsidRPr="004756CE">
              <w:rPr>
                <w:color w:val="FFFFFF"/>
              </w:rPr>
              <w:t>actual</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b/>
                <w:color w:val="000000"/>
              </w:rPr>
              <w:t>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i/>
                <w:color w:val="FFFFFF"/>
              </w:rPr>
              <w:t xml:space="preserve"> </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FFFFFF"/>
              </w:rPr>
            </w:pPr>
            <w:r w:rsidRPr="004756CE">
              <w:rPr>
                <w:i/>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i/>
                <w:color w:val="FFFFFF"/>
              </w:rPr>
              <w:t xml:space="preserve"> </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FFFFFF"/>
              </w:rPr>
            </w:pPr>
            <w:r w:rsidRPr="004756CE">
              <w:rPr>
                <w:i/>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i/>
                <w:color w:val="FFFFFF"/>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5</w:t>
            </w:r>
            <w:r w:rsidRPr="004756CE">
              <w:t xml:space="preserve"> 574</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485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5 089</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200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000000"/>
              </w:rPr>
            </w:pPr>
            <w:r w:rsidRPr="004756CE">
              <w:rPr>
                <w:color w:val="000000"/>
              </w:rPr>
              <w:t>5 374</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Advances paid</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153</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72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81</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64</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89</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color w:val="000000"/>
              </w:rPr>
              <w:t>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3 906</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(591)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4 497</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(489)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4 395</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4756CE" w:rsidRDefault="00DF17E9" w:rsidP="00044843">
            <w:pPr>
              <w:ind w:left="0" w:firstLine="0"/>
              <w:rPr>
                <w:color w:val="000000"/>
              </w:rPr>
            </w:pPr>
            <w:r w:rsidRPr="004756CE">
              <w:rPr>
                <w:b/>
                <w:color w:val="000000"/>
              </w:rPr>
              <w:t>Total</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9 633</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(34)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9 667</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(225)</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9 858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4756CE" w:rsidRDefault="00DF17E9" w:rsidP="00044843">
            <w:pPr>
              <w:ind w:left="0" w:firstLine="0"/>
              <w:rPr>
                <w:color w:val="000000"/>
              </w:rPr>
            </w:pPr>
            <w:r w:rsidRPr="004756CE">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c>
          <w:tcPr>
            <w:tcW w:w="907" w:type="dxa"/>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jc w:val="left"/>
              <w:rPr>
                <w:color w:val="000000"/>
              </w:rPr>
            </w:pPr>
            <w:r w:rsidRPr="004756CE">
              <w:rPr>
                <w:color w:val="000000"/>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 xml:space="preserve">Deposits held and advances received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802</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162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640</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165</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637</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color w:val="000000"/>
              </w:rPr>
              <w:t xml:space="preserve">Borrowings </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45 409</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(896)</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46 305</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(360)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45 769</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4756CE" w:rsidRDefault="00DF17E9" w:rsidP="00044843">
            <w:pPr>
              <w:ind w:left="0" w:firstLine="0"/>
              <w:rPr>
                <w:color w:val="000000"/>
              </w:rPr>
            </w:pPr>
            <w:r w:rsidRPr="004756CE">
              <w:rPr>
                <w:b/>
                <w:color w:val="000000"/>
              </w:rPr>
              <w:t>Total</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46 211</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(734)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46 945</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(195)</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46 406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b/>
                <w:color w:val="000000"/>
              </w:rPr>
              <w:t>Net debt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b/>
                <w:color w:val="000000"/>
              </w:rPr>
              <w:t>36 578</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(700)</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b/>
                <w:color w:val="000000"/>
              </w:rPr>
              <w:t>37 278</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30</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b/>
                <w:color w:val="000000"/>
              </w:rPr>
              <w:t>36 548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29 354</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1 424</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27 930</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3 366</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pPr>
              <w:rPr>
                <w:color w:val="000000"/>
              </w:rPr>
            </w:pPr>
            <w:r w:rsidRPr="004756CE">
              <w:rPr>
                <w:color w:val="000000"/>
              </w:rPr>
              <w:t>25 988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4756CE" w:rsidRDefault="00DF17E9" w:rsidP="00044843">
            <w:pPr>
              <w:ind w:left="0" w:firstLine="0"/>
              <w:rPr>
                <w:color w:val="000000"/>
              </w:rPr>
            </w:pPr>
            <w:r w:rsidRPr="004756CE">
              <w:rPr>
                <w:b/>
                <w:color w:val="000000"/>
              </w:rPr>
              <w:t>Net debt plus superannuation liabilities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65 932</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b/>
                <w:color w:val="000000"/>
              </w:rPr>
              <w:t>724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65 208</w:t>
            </w:r>
          </w:p>
        </w:tc>
        <w:tc>
          <w:tcPr>
            <w:tcW w:w="907" w:type="dxa"/>
            <w:tcBorders>
              <w:top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b/>
                <w:color w:val="000000"/>
              </w:rPr>
              <w:t>3 396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4756CE" w:rsidRDefault="00DF17E9" w:rsidP="00044843">
            <w:pPr>
              <w:rPr>
                <w:color w:val="000000"/>
              </w:rPr>
            </w:pPr>
            <w:r w:rsidRPr="004756CE">
              <w:rPr>
                <w:b/>
                <w:color w:val="000000"/>
              </w:rPr>
              <w:t>62 536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4756CE" w:rsidRDefault="00DF17E9" w:rsidP="00044843">
            <w:pPr>
              <w:ind w:left="0" w:firstLine="0"/>
              <w:rPr>
                <w:color w:val="000000"/>
              </w:rPr>
            </w:pPr>
            <w:r w:rsidRPr="004756CE">
              <w:rPr>
                <w:color w:val="000000"/>
              </w:rPr>
              <w:t>Other liabilities (net)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r w:rsidRPr="004756CE">
              <w:rPr>
                <w:color w:val="000000"/>
              </w:rPr>
              <w:t>6</w:t>
            </w:r>
            <w:r w:rsidRPr="004756CE">
              <w:t xml:space="preserve"> 133</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756</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color w:val="000000"/>
              </w:rPr>
              <w:t>5 377</w:t>
            </w:r>
          </w:p>
        </w:tc>
        <w:tc>
          <w:tcPr>
            <w:tcW w:w="907" w:type="dxa"/>
            <w:tcBorders>
              <w:bottom w:val="nil"/>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522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4756CE" w:rsidRDefault="00DF17E9" w:rsidP="00044843">
            <w:pPr>
              <w:rPr>
                <w:color w:val="000000"/>
              </w:rPr>
            </w:pPr>
            <w:r w:rsidRPr="004756CE">
              <w:rPr>
                <w:color w:val="000000"/>
              </w:rPr>
              <w:t>5 612</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12" w:space="0" w:color="auto"/>
            </w:tcBorders>
          </w:tcPr>
          <w:p w:rsidR="00DF17E9" w:rsidRPr="004756CE" w:rsidRDefault="00DF17E9" w:rsidP="00044843">
            <w:pPr>
              <w:ind w:left="0" w:firstLine="0"/>
              <w:rPr>
                <w:color w:val="000000"/>
              </w:rPr>
            </w:pPr>
            <w:r w:rsidRPr="004756CE">
              <w:rPr>
                <w:b/>
                <w:color w:val="000000"/>
              </w:rPr>
              <w:t>Net financial liabilities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4756CE" w:rsidRDefault="00DF17E9" w:rsidP="00044843">
            <w:pPr>
              <w:rPr>
                <w:color w:val="000000"/>
              </w:rPr>
            </w:pPr>
            <w:r w:rsidRPr="004756CE">
              <w:rPr>
                <w:b/>
                <w:color w:val="000000"/>
              </w:rPr>
              <w:t>72 066</w:t>
            </w:r>
          </w:p>
        </w:tc>
        <w:tc>
          <w:tcPr>
            <w:tcW w:w="907" w:type="dxa"/>
            <w:tcBorders>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b/>
                <w:color w:val="000000"/>
              </w:rPr>
              <w:t>1 480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4756CE" w:rsidRDefault="00DF17E9" w:rsidP="00044843">
            <w:pPr>
              <w:rPr>
                <w:color w:val="000000"/>
              </w:rPr>
            </w:pPr>
            <w:r w:rsidRPr="004756CE">
              <w:rPr>
                <w:b/>
                <w:color w:val="000000"/>
              </w:rPr>
              <w:t>70 586</w:t>
            </w:r>
          </w:p>
        </w:tc>
        <w:tc>
          <w:tcPr>
            <w:tcW w:w="907" w:type="dxa"/>
            <w:tcBorders>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b/>
                <w:color w:val="000000"/>
              </w:rPr>
              <w:t>3 918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4756CE" w:rsidRDefault="00DF17E9" w:rsidP="00044843">
            <w:pPr>
              <w:rPr>
                <w:color w:val="000000"/>
              </w:rPr>
            </w:pPr>
            <w:r w:rsidRPr="004756CE">
              <w:rPr>
                <w:b/>
                <w:color w:val="000000"/>
              </w:rPr>
              <w:t>68 148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12" w:space="0" w:color="auto"/>
              <w:bottom w:val="nil"/>
            </w:tcBorders>
          </w:tcPr>
          <w:p w:rsidR="00DF17E9" w:rsidRPr="004756CE" w:rsidRDefault="00DF17E9" w:rsidP="00044843">
            <w:pPr>
              <w:ind w:left="0" w:firstLine="0"/>
              <w:jc w:val="right"/>
              <w:rPr>
                <w:i/>
              </w:rPr>
            </w:pPr>
            <w:r w:rsidRPr="004756CE">
              <w:rPr>
                <w:i/>
                <w:color w:val="000000"/>
              </w:rPr>
              <w:t xml:space="preserve"> (</w:t>
            </w:r>
            <w:r w:rsidRPr="004756CE">
              <w:rPr>
                <w:i/>
              </w:rPr>
              <w:t>per cent)</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nil"/>
            </w:tcBorders>
          </w:tcPr>
          <w:p w:rsidR="00DF17E9" w:rsidRPr="004756CE" w:rsidRDefault="00DF17E9" w:rsidP="00044843">
            <w:pPr>
              <w:jc w:val="left"/>
              <w:rPr>
                <w:i/>
                <w:color w:val="000000"/>
              </w:rPr>
            </w:pPr>
          </w:p>
        </w:tc>
        <w:tc>
          <w:tcPr>
            <w:tcW w:w="907" w:type="dxa"/>
            <w:tcBorders>
              <w:top w:val="single" w:sz="12" w:space="0" w:color="auto"/>
              <w:bottom w:val="nil"/>
            </w:tcBorders>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nil"/>
            </w:tcBorders>
          </w:tcPr>
          <w:p w:rsidR="00DF17E9" w:rsidRPr="004756CE" w:rsidRDefault="00DF17E9" w:rsidP="00044843">
            <w:pPr>
              <w:jc w:val="left"/>
              <w:rPr>
                <w:color w:val="000000"/>
              </w:rPr>
            </w:pPr>
            <w:r w:rsidRPr="004756CE">
              <w:rPr>
                <w:color w:val="000000"/>
              </w:rPr>
              <w:t xml:space="preserve"> </w:t>
            </w:r>
          </w:p>
        </w:tc>
        <w:tc>
          <w:tcPr>
            <w:tcW w:w="907" w:type="dxa"/>
            <w:tcBorders>
              <w:top w:val="single" w:sz="12" w:space="0" w:color="auto"/>
              <w:bottom w:val="nil"/>
            </w:tcBorders>
          </w:tcPr>
          <w:p w:rsidR="00DF17E9" w:rsidRPr="004756CE"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nil"/>
            </w:tcBorders>
          </w:tcPr>
          <w:p w:rsidR="00DF17E9" w:rsidRPr="004756CE" w:rsidRDefault="00DF17E9" w:rsidP="00044843">
            <w:pPr>
              <w:jc w:val="left"/>
              <w:rPr>
                <w:color w:val="000000"/>
              </w:rPr>
            </w:pPr>
            <w:r w:rsidRPr="004756CE">
              <w:rPr>
                <w:color w:val="000000"/>
              </w:rPr>
              <w:t xml:space="preserve"> </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4756CE" w:rsidRDefault="00DF17E9" w:rsidP="00044843">
            <w:pPr>
              <w:ind w:left="0" w:firstLine="0"/>
              <w:rPr>
                <w:color w:val="000000"/>
              </w:rPr>
            </w:pPr>
            <w:r w:rsidRPr="004756CE">
              <w:rPr>
                <w:b/>
                <w:color w:val="000000"/>
              </w:rPr>
              <w:t>Net debt to GSP</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9.7</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9.8</w:t>
            </w:r>
          </w:p>
        </w:tc>
        <w:tc>
          <w:tcPr>
            <w:tcW w:w="907" w:type="dxa"/>
            <w:tcBorders>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4756CE" w:rsidRDefault="00DF17E9" w:rsidP="00044843">
            <w:r w:rsidRPr="004756CE">
              <w:rPr>
                <w:color w:val="000000"/>
              </w:rPr>
              <w:t>10.1</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4756CE" w:rsidRDefault="00DF17E9" w:rsidP="00044843">
            <w:pPr>
              <w:ind w:left="0" w:firstLine="0"/>
              <w:rPr>
                <w:color w:val="000000"/>
              </w:rPr>
            </w:pPr>
            <w:r w:rsidRPr="004756CE">
              <w:rPr>
                <w:b/>
                <w:color w:val="000000"/>
              </w:rPr>
              <w:t>Net debt plus superannuation liabilities to GSP</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color w:val="000000"/>
              </w:rPr>
              <w:t>17.4</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color w:val="000000"/>
              </w:rPr>
              <w:t>17.2</w:t>
            </w:r>
          </w:p>
        </w:tc>
        <w:tc>
          <w:tcPr>
            <w:tcW w:w="907" w:type="dxa"/>
            <w:tcBorders>
              <w:top w:val="single" w:sz="6" w:space="0" w:color="auto"/>
              <w:bottom w:val="single" w:sz="6"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4756CE" w:rsidRDefault="00DF17E9" w:rsidP="00044843">
            <w:r w:rsidRPr="004756CE">
              <w:rPr>
                <w:color w:val="000000"/>
              </w:rPr>
              <w:t>17.2</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4756CE" w:rsidRDefault="00DF17E9" w:rsidP="00044843">
            <w:pPr>
              <w:ind w:left="0" w:firstLine="0"/>
              <w:rPr>
                <w:color w:val="000000"/>
              </w:rPr>
            </w:pPr>
            <w:r w:rsidRPr="004756CE">
              <w:rPr>
                <w:b/>
                <w:color w:val="000000"/>
              </w:rPr>
              <w:t>Net financial liabilities to GSP</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color w:val="000000"/>
              </w:rPr>
              <w:t>19.0</w:t>
            </w:r>
          </w:p>
        </w:tc>
        <w:tc>
          <w:tcPr>
            <w:tcW w:w="907" w:type="dxa"/>
            <w:tcBorders>
              <w:top w:val="single" w:sz="6" w:space="0" w:color="auto"/>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color w:val="000000"/>
              </w:rPr>
              <w:t>18.6</w:t>
            </w:r>
          </w:p>
        </w:tc>
        <w:tc>
          <w:tcPr>
            <w:tcW w:w="907" w:type="dxa"/>
            <w:tcBorders>
              <w:top w:val="single" w:sz="6" w:space="0" w:color="auto"/>
              <w:bottom w:val="single" w:sz="12" w:space="0" w:color="auto"/>
            </w:tcBorders>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4756C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4756CE" w:rsidRDefault="00DF17E9" w:rsidP="00044843">
            <w:r w:rsidRPr="004756CE">
              <w:rPr>
                <w:color w:val="000000"/>
              </w:rPr>
              <w:t>18.7</w:t>
            </w:r>
          </w:p>
        </w:tc>
      </w:tr>
    </w:tbl>
    <w:p w:rsidR="00DF17E9" w:rsidRDefault="00DF17E9" w:rsidP="00044843">
      <w:pPr>
        <w:pStyle w:val="Source"/>
      </w:pPr>
      <w:r>
        <w:t>Source: Department of Treasury and Finance</w:t>
      </w:r>
    </w:p>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pStyle w:val="Subheadingunderline"/>
      </w:pPr>
      <w:r>
        <w:lastRenderedPageBreak/>
        <w:t>Indicators of financial condition</w:t>
      </w:r>
    </w:p>
    <w:p w:rsidR="00DF17E9" w:rsidRDefault="00DF17E9" w:rsidP="00044843">
      <w:r>
        <w:t xml:space="preserve">Table 3.4 shows some key financial indicators for the NFPS and are important benchmarks of the NFPS sustainability. </w:t>
      </w:r>
    </w:p>
    <w:p w:rsidR="00DF17E9" w:rsidRDefault="00DF17E9" w:rsidP="00044843">
      <w:r>
        <w:t>The operating cash flow surplus to revenue ratio has increased in 2015-16 compared to 2014-15, predominantly due to an increase in cash receipts from an increase in taxes received.</w:t>
      </w:r>
    </w:p>
    <w:p w:rsidR="009300BD" w:rsidRDefault="009300BD" w:rsidP="009300BD">
      <w:pPr>
        <w:spacing w:before="260"/>
      </w:pPr>
      <w:r>
        <w:br w:type="column"/>
      </w:r>
    </w:p>
    <w:p w:rsidR="00DF17E9" w:rsidRDefault="00DF17E9" w:rsidP="00044843">
      <w:r>
        <w:t>Gross debt to revenue has fallen since 2012-13 while interest expense to revenue has stabilised since 2012-13 and declined to 4.4 per cent in 2015</w:t>
      </w:r>
      <w:r>
        <w:noBreakHyphen/>
        <w:t>16 partly due to declining interest rates.</w:t>
      </w:r>
    </w:p>
    <w:p w:rsidR="00DF17E9" w:rsidRDefault="00DF17E9" w:rsidP="00044843"/>
    <w:p w:rsidR="009300BD" w:rsidRDefault="009300BD" w:rsidP="00044843">
      <w:pPr>
        <w:sectPr w:rsidR="009300BD" w:rsidSect="00044843">
          <w:type w:val="continuous"/>
          <w:pgSz w:w="11906" w:h="16838" w:code="9"/>
          <w:pgMar w:top="1134" w:right="1134" w:bottom="1134" w:left="1134" w:header="624" w:footer="567" w:gutter="0"/>
          <w:cols w:num="2" w:space="708"/>
          <w:docGrid w:linePitch="360"/>
        </w:sectPr>
      </w:pPr>
    </w:p>
    <w:p w:rsidR="00DF17E9" w:rsidRPr="004756CE" w:rsidRDefault="00DF17E9" w:rsidP="00044843">
      <w:pPr>
        <w:pStyle w:val="Subheading"/>
        <w:rPr>
          <w:bCs/>
          <w:lang w:val="en-US"/>
        </w:rPr>
      </w:pPr>
      <w:r>
        <w:lastRenderedPageBreak/>
        <w:t>Table 3.4: Indicators of financial condition for NFPS</w:t>
      </w:r>
      <w:r>
        <w:tab/>
      </w:r>
      <w:r>
        <w:rPr>
          <w:rStyle w:val="TableUnitsChar"/>
        </w:rPr>
        <w:t>(per cent</w:t>
      </w:r>
      <w:r w:rsidRPr="001C2E56">
        <w:rPr>
          <w:rStyle w:val="TableUnitsChar"/>
        </w:rPr>
        <w:t>)</w:t>
      </w:r>
    </w:p>
    <w:tbl>
      <w:tblPr>
        <w:tblStyle w:val="TableDTFGeneral"/>
        <w:tblW w:w="9637" w:type="dxa"/>
        <w:tblLayout w:type="fixed"/>
        <w:tblLook w:val="02A0" w:firstRow="1" w:lastRow="0" w:firstColumn="1" w:lastColumn="0" w:noHBand="1" w:noVBand="0"/>
      </w:tblPr>
      <w:tblGrid>
        <w:gridCol w:w="3288"/>
        <w:gridCol w:w="907"/>
        <w:gridCol w:w="907"/>
        <w:gridCol w:w="907"/>
        <w:gridCol w:w="907"/>
        <w:gridCol w:w="907"/>
        <w:gridCol w:w="907"/>
        <w:gridCol w:w="907"/>
      </w:tblGrid>
      <w:tr w:rsidR="00DF17E9" w:rsidRPr="004756CE"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8" w:type="dxa"/>
          </w:tcPr>
          <w:p w:rsidR="00DF17E9" w:rsidRPr="004756CE" w:rsidRDefault="00DF17E9" w:rsidP="00044843">
            <w:pPr>
              <w:ind w:left="0" w:firstLine="0"/>
              <w:rPr>
                <w:color w:val="FFFFFF"/>
              </w:rPr>
            </w:pPr>
            <w:r w:rsidRPr="004756CE">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color w:val="FFFFFF"/>
              </w:rPr>
              <w:t>2010</w:t>
            </w:r>
          </w:p>
        </w:tc>
        <w:tc>
          <w:tcPr>
            <w:tcW w:w="907" w:type="dxa"/>
          </w:tcPr>
          <w:p w:rsidR="00DF17E9" w:rsidRPr="004756CE"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2011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color w:val="FFFFFF"/>
              </w:rPr>
              <w:t>2012</w:t>
            </w:r>
          </w:p>
        </w:tc>
        <w:tc>
          <w:tcPr>
            <w:tcW w:w="907" w:type="dxa"/>
          </w:tcPr>
          <w:p w:rsidR="00DF17E9" w:rsidRPr="004756CE"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2013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color w:val="FFFFFF"/>
              </w:rPr>
              <w:t>2014</w:t>
            </w:r>
          </w:p>
        </w:tc>
        <w:tc>
          <w:tcPr>
            <w:tcW w:w="907" w:type="dxa"/>
          </w:tcPr>
          <w:p w:rsidR="00DF17E9" w:rsidRPr="004756CE"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4756CE">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pPr>
              <w:rPr>
                <w:color w:val="FFFFFF"/>
              </w:rPr>
            </w:pPr>
            <w:r w:rsidRPr="004756CE">
              <w:rPr>
                <w:color w:val="FFFFFF"/>
              </w:rPr>
              <w:t>2016</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3288" w:type="dxa"/>
          </w:tcPr>
          <w:p w:rsidR="00DF17E9" w:rsidRPr="004756CE" w:rsidRDefault="00DF17E9" w:rsidP="00044843">
            <w:pPr>
              <w:ind w:left="0" w:firstLine="0"/>
              <w:rPr>
                <w:color w:val="000000"/>
              </w:rPr>
            </w:pPr>
            <w:r w:rsidRPr="004756CE">
              <w:rPr>
                <w:color w:val="000000"/>
              </w:rPr>
              <w:t>Operating cash flow surplus to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9.8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8.6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7.6</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4.9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10.0</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9.1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11.7</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3288" w:type="dxa"/>
          </w:tcPr>
          <w:p w:rsidR="00DF17E9" w:rsidRPr="004756CE" w:rsidRDefault="00DF17E9" w:rsidP="00044843">
            <w:pPr>
              <w:ind w:left="0" w:firstLine="0"/>
              <w:rPr>
                <w:color w:val="000000"/>
              </w:rPr>
            </w:pPr>
            <w:r w:rsidRPr="004756CE">
              <w:rPr>
                <w:color w:val="000000"/>
              </w:rPr>
              <w:t xml:space="preserve">Gross debt to revenue </w:t>
            </w:r>
            <w:r w:rsidRPr="004756CE">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48.6</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57.2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66.5</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86.5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81.5</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81.0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76.8</w:t>
            </w:r>
          </w:p>
        </w:tc>
      </w:tr>
      <w:tr w:rsidR="00DF17E9" w:rsidRPr="004756CE" w:rsidTr="00044843">
        <w:tc>
          <w:tcPr>
            <w:cnfStyle w:val="001000000000" w:firstRow="0" w:lastRow="0" w:firstColumn="1" w:lastColumn="0" w:oddVBand="0" w:evenVBand="0" w:oddHBand="0" w:evenHBand="0" w:firstRowFirstColumn="0" w:firstRowLastColumn="0" w:lastRowFirstColumn="0" w:lastRowLastColumn="0"/>
            <w:tcW w:w="3288" w:type="dxa"/>
          </w:tcPr>
          <w:p w:rsidR="00DF17E9" w:rsidRPr="004756CE" w:rsidRDefault="00DF17E9" w:rsidP="00044843">
            <w:pPr>
              <w:ind w:left="0" w:firstLine="0"/>
              <w:rPr>
                <w:color w:val="000000"/>
              </w:rPr>
            </w:pPr>
            <w:r w:rsidRPr="004756CE">
              <w:rPr>
                <w:color w:val="000000"/>
              </w:rPr>
              <w:t>Interest expense to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2.9</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3.3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3.8</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4.8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5.0</w:t>
            </w:r>
          </w:p>
        </w:tc>
        <w:tc>
          <w:tcPr>
            <w:tcW w:w="907" w:type="dxa"/>
          </w:tcPr>
          <w:p w:rsidR="00DF17E9" w:rsidRPr="004756CE" w:rsidRDefault="00DF17E9" w:rsidP="00044843">
            <w:pPr>
              <w:cnfStyle w:val="000000000000" w:firstRow="0" w:lastRow="0" w:firstColumn="0" w:lastColumn="0" w:oddVBand="0" w:evenVBand="0" w:oddHBand="0" w:evenHBand="0" w:firstRowFirstColumn="0" w:firstRowLastColumn="0" w:lastRowFirstColumn="0" w:lastRowLastColumn="0"/>
            </w:pPr>
            <w:r w:rsidRPr="004756CE">
              <w:rPr>
                <w:color w:val="000000"/>
              </w:rPr>
              <w:t>4.9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4756CE" w:rsidRDefault="00DF17E9" w:rsidP="00044843">
            <w:r w:rsidRPr="004756CE">
              <w:rPr>
                <w:color w:val="000000"/>
              </w:rPr>
              <w:t>4.4</w:t>
            </w:r>
          </w:p>
        </w:tc>
      </w:tr>
    </w:tbl>
    <w:p w:rsidR="00DF17E9" w:rsidRDefault="00DF17E9" w:rsidP="00044843">
      <w:pPr>
        <w:pStyle w:val="Source"/>
      </w:pPr>
      <w:r>
        <w:t>Source: Department of Treasury and Finance</w:t>
      </w:r>
    </w:p>
    <w:p w:rsidR="00DF17E9" w:rsidRDefault="00DF17E9" w:rsidP="00044843">
      <w:pPr>
        <w:pStyle w:val="Note"/>
      </w:pPr>
      <w:r>
        <w:t>Note:</w:t>
      </w:r>
    </w:p>
    <w:p w:rsidR="00DF17E9" w:rsidRDefault="00DF17E9" w:rsidP="00044843">
      <w:pPr>
        <w:pStyle w:val="Note"/>
      </w:pPr>
      <w:r>
        <w:t>(a)</w:t>
      </w:r>
      <w:r>
        <w:tab/>
        <w:t>Gross debt comprises borrowings and deposits held and advances received.</w:t>
      </w:r>
    </w:p>
    <w:p w:rsidR="00DF17E9" w:rsidRDefault="00DF17E9" w:rsidP="00044843"/>
    <w:p w:rsidR="00DF17E9" w:rsidRDefault="00DF17E9">
      <w:r>
        <w:br w:type="page"/>
      </w:r>
    </w:p>
    <w:p w:rsidR="00DF17E9" w:rsidRPr="007B036A" w:rsidRDefault="00DF17E9" w:rsidP="00044843"/>
    <w:p w:rsidR="00DF17E9" w:rsidRDefault="00DF17E9" w:rsidP="001D40F4">
      <w:pPr>
        <w:sectPr w:rsidR="00DF17E9" w:rsidSect="00044843">
          <w:headerReference w:type="even" r:id="rId57"/>
          <w:headerReference w:type="default" r:id="rId58"/>
          <w:footerReference w:type="even" r:id="rId59"/>
          <w:footerReference w:type="default" r:id="rId60"/>
          <w:type w:val="continuous"/>
          <w:pgSz w:w="11906" w:h="16838" w:code="9"/>
          <w:pgMar w:top="1134" w:right="1134" w:bottom="1134" w:left="1134" w:header="624" w:footer="567" w:gutter="0"/>
          <w:cols w:space="708"/>
          <w:docGrid w:linePitch="360"/>
        </w:sectPr>
      </w:pPr>
    </w:p>
    <w:p w:rsidR="00DF17E9" w:rsidRPr="00AF7A07" w:rsidRDefault="00DF17E9" w:rsidP="00920BDE">
      <w:pPr>
        <w:pStyle w:val="Chapterheading"/>
        <w:tabs>
          <w:tab w:val="left" w:pos="6946"/>
        </w:tabs>
      </w:pPr>
      <w:bookmarkStart w:id="4" w:name="_Toc462865838"/>
      <w:r>
        <w:lastRenderedPageBreak/>
        <w:t>Chapter 4 – Annual Financial Report</w:t>
      </w:r>
      <w:bookmarkEnd w:id="4"/>
    </w:p>
    <w:p w:rsidR="00DF17E9" w:rsidRDefault="00DF17E9" w:rsidP="000D5949"/>
    <w:p w:rsidR="00DF17E9" w:rsidRDefault="00DF17E9">
      <w:r>
        <w:br w:type="page"/>
      </w:r>
    </w:p>
    <w:p w:rsidR="00DF17E9" w:rsidRDefault="00DF17E9" w:rsidP="00545C39"/>
    <w:p w:rsidR="00DF17E9" w:rsidRPr="000D5949" w:rsidRDefault="00DF17E9" w:rsidP="000D5949"/>
    <w:p w:rsidR="00DF17E9" w:rsidRPr="000D5949" w:rsidRDefault="00DF17E9" w:rsidP="006125C9">
      <w:pPr>
        <w:sectPr w:rsidR="00DF17E9" w:rsidRPr="000D5949" w:rsidSect="00743CE4">
          <w:headerReference w:type="even" r:id="rId61"/>
          <w:headerReference w:type="default" r:id="rId62"/>
          <w:footerReference w:type="even" r:id="rId63"/>
          <w:footerReference w:type="default" r:id="rId64"/>
          <w:headerReference w:type="first" r:id="rId65"/>
          <w:footerReference w:type="first" r:id="rId66"/>
          <w:type w:val="oddPage"/>
          <w:pgSz w:w="11906" w:h="16838" w:code="9"/>
          <w:pgMar w:top="1134" w:right="1134" w:bottom="1134" w:left="1134" w:header="624" w:footer="567" w:gutter="0"/>
          <w:cols w:space="708"/>
          <w:docGrid w:linePitch="360"/>
        </w:sectPr>
      </w:pPr>
    </w:p>
    <w:p w:rsidR="00DF17E9" w:rsidRDefault="00DF17E9" w:rsidP="00044843">
      <w:pPr>
        <w:pStyle w:val="Heading1unnumbered"/>
      </w:pPr>
      <w:r>
        <w:lastRenderedPageBreak/>
        <w:t>REPORT STRUCTURE</w:t>
      </w:r>
    </w:p>
    <w:p w:rsidR="00DF17E9" w:rsidRDefault="00DF17E9" w:rsidP="00044843">
      <w:r>
        <w:t>The Treasurer of Victoria presents the Annual Financial Report of the State of Victoria (“State”) for the financial year ended 30 June 2016, as follows:</w:t>
      </w:r>
    </w:p>
    <w:p w:rsidR="00DF17E9" w:rsidRDefault="00DF17E9" w:rsidP="00044843"/>
    <w:tbl>
      <w:tblPr>
        <w:tblStyle w:val="TableGrid2"/>
        <w:tblW w:w="9747" w:type="dxa"/>
        <w:tblLook w:val="04A0" w:firstRow="1" w:lastRow="0" w:firstColumn="1" w:lastColumn="0" w:noHBand="0" w:noVBand="1"/>
      </w:tblPr>
      <w:tblGrid>
        <w:gridCol w:w="1526"/>
        <w:gridCol w:w="6804"/>
        <w:gridCol w:w="1417"/>
      </w:tblGrid>
      <w:tr w:rsidR="00DF17E9" w:rsidRPr="001A6C82" w:rsidTr="00044843">
        <w:trPr>
          <w:trHeight w:val="368"/>
        </w:trPr>
        <w:tc>
          <w:tcPr>
            <w:tcW w:w="1526" w:type="dxa"/>
            <w:vMerge w:val="restart"/>
            <w:tcBorders>
              <w:top w:val="single" w:sz="6" w:space="0" w:color="auto"/>
              <w:left w:val="nil"/>
              <w:right w:val="nil"/>
            </w:tcBorders>
          </w:tcPr>
          <w:p w:rsidR="00DF17E9" w:rsidRPr="001E477F" w:rsidRDefault="00DF17E9" w:rsidP="00044843">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rsidR="00DF17E9" w:rsidRPr="001A6C82" w:rsidRDefault="00DF17E9" w:rsidP="00044843">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tcBorders>
              <w:top w:val="single" w:sz="6" w:space="0" w:color="auto"/>
              <w:left w:val="nil"/>
              <w:bottom w:val="nil"/>
              <w:right w:val="nil"/>
            </w:tcBorders>
          </w:tcPr>
          <w:p w:rsidR="00DF17E9" w:rsidRDefault="00DF17E9" w:rsidP="009300BD">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9300BD">
              <w:rPr>
                <w:rFonts w:ascii="Calibri" w:eastAsia="Calibri" w:hAnsi="Calibri" w:cs="Times New Roman"/>
                <w:sz w:val="20"/>
                <w:szCs w:val="20"/>
              </w:rPr>
              <w:fldChar w:fldCharType="begin"/>
            </w:r>
            <w:r w:rsidR="009300BD">
              <w:rPr>
                <w:rFonts w:ascii="Calibri" w:eastAsia="Calibri" w:hAnsi="Calibri" w:cs="Times New Roman"/>
                <w:sz w:val="20"/>
                <w:szCs w:val="20"/>
              </w:rPr>
              <w:instrText xml:space="preserve"> PAGEREF AG_Report \h </w:instrText>
            </w:r>
            <w:r w:rsidR="009300BD">
              <w:rPr>
                <w:rFonts w:ascii="Calibri" w:eastAsia="Calibri" w:hAnsi="Calibri" w:cs="Times New Roman"/>
                <w:sz w:val="20"/>
                <w:szCs w:val="20"/>
              </w:rPr>
            </w:r>
            <w:r w:rsidR="009300BD">
              <w:rPr>
                <w:rFonts w:ascii="Calibri" w:eastAsia="Calibri" w:hAnsi="Calibri" w:cs="Times New Roman"/>
                <w:sz w:val="20"/>
                <w:szCs w:val="20"/>
              </w:rPr>
              <w:fldChar w:fldCharType="separate"/>
            </w:r>
            <w:r w:rsidR="00E3704D">
              <w:rPr>
                <w:rFonts w:ascii="Calibri" w:eastAsia="Calibri" w:hAnsi="Calibri" w:cs="Times New Roman"/>
                <w:noProof/>
                <w:sz w:val="20"/>
                <w:szCs w:val="20"/>
              </w:rPr>
              <w:t>25</w:t>
            </w:r>
            <w:r w:rsidR="009300BD">
              <w:rPr>
                <w:rFonts w:ascii="Calibri" w:eastAsia="Calibri" w:hAnsi="Calibri" w:cs="Times New Roman"/>
                <w:sz w:val="20"/>
                <w:szCs w:val="20"/>
              </w:rPr>
              <w:fldChar w:fldCharType="end"/>
            </w:r>
          </w:p>
        </w:tc>
      </w:tr>
      <w:tr w:rsidR="00DF17E9" w:rsidRPr="001A6C82" w:rsidTr="00044843">
        <w:trPr>
          <w:trHeight w:val="367"/>
        </w:trPr>
        <w:tc>
          <w:tcPr>
            <w:tcW w:w="1526" w:type="dxa"/>
            <w:vMerge/>
            <w:tcBorders>
              <w:left w:val="nil"/>
              <w:bottom w:val="nil"/>
              <w:right w:val="nil"/>
            </w:tcBorders>
          </w:tcPr>
          <w:p w:rsidR="00DF17E9" w:rsidRPr="001E477F" w:rsidRDefault="00DF17E9" w:rsidP="00044843">
            <w:pPr>
              <w:rPr>
                <w:rFonts w:ascii="Calibri" w:eastAsia="Calibri" w:hAnsi="Calibri" w:cs="Times New Roman"/>
                <w:b/>
                <w:sz w:val="20"/>
                <w:szCs w:val="20"/>
              </w:rPr>
            </w:pPr>
          </w:p>
        </w:tc>
        <w:tc>
          <w:tcPr>
            <w:tcW w:w="6804" w:type="dxa"/>
            <w:tcBorders>
              <w:top w:val="nil"/>
              <w:left w:val="nil"/>
              <w:bottom w:val="single" w:sz="6" w:space="0" w:color="auto"/>
              <w:right w:val="nil"/>
            </w:tcBorders>
          </w:tcPr>
          <w:p w:rsidR="00DF17E9" w:rsidRDefault="00DF17E9" w:rsidP="00044843">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tcBorders>
              <w:top w:val="nil"/>
              <w:left w:val="nil"/>
              <w:bottom w:val="single" w:sz="6" w:space="0" w:color="auto"/>
              <w:right w:val="nil"/>
            </w:tcBorders>
          </w:tcPr>
          <w:p w:rsidR="00DF17E9" w:rsidRDefault="00DF17E9" w:rsidP="009300BD">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9300BD">
              <w:rPr>
                <w:rFonts w:ascii="Calibri" w:eastAsia="Calibri" w:hAnsi="Calibri" w:cs="Times New Roman"/>
                <w:sz w:val="20"/>
                <w:szCs w:val="20"/>
              </w:rPr>
              <w:fldChar w:fldCharType="begin"/>
            </w:r>
            <w:r w:rsidR="009300BD">
              <w:rPr>
                <w:rFonts w:ascii="Calibri" w:eastAsia="Calibri" w:hAnsi="Calibri" w:cs="Times New Roman"/>
                <w:sz w:val="20"/>
                <w:szCs w:val="20"/>
              </w:rPr>
              <w:instrText xml:space="preserve"> PAGEREF Certification \h </w:instrText>
            </w:r>
            <w:r w:rsidR="009300BD">
              <w:rPr>
                <w:rFonts w:ascii="Calibri" w:eastAsia="Calibri" w:hAnsi="Calibri" w:cs="Times New Roman"/>
                <w:sz w:val="20"/>
                <w:szCs w:val="20"/>
              </w:rPr>
            </w:r>
            <w:r w:rsidR="009300BD">
              <w:rPr>
                <w:rFonts w:ascii="Calibri" w:eastAsia="Calibri" w:hAnsi="Calibri" w:cs="Times New Roman"/>
                <w:sz w:val="20"/>
                <w:szCs w:val="20"/>
              </w:rPr>
              <w:fldChar w:fldCharType="separate"/>
            </w:r>
            <w:r w:rsidR="00E3704D">
              <w:rPr>
                <w:rFonts w:ascii="Calibri" w:eastAsia="Calibri" w:hAnsi="Calibri" w:cs="Times New Roman"/>
                <w:noProof/>
                <w:sz w:val="20"/>
                <w:szCs w:val="20"/>
              </w:rPr>
              <w:t>27</w:t>
            </w:r>
            <w:r w:rsidR="009300BD">
              <w:rPr>
                <w:rFonts w:ascii="Calibri" w:eastAsia="Calibri" w:hAnsi="Calibri" w:cs="Times New Roman"/>
                <w:sz w:val="20"/>
                <w:szCs w:val="20"/>
              </w:rPr>
              <w:fldChar w:fldCharType="end"/>
            </w:r>
          </w:p>
        </w:tc>
      </w:tr>
      <w:tr w:rsidR="00DF17E9" w:rsidRPr="001A6C82" w:rsidTr="00044843">
        <w:tc>
          <w:tcPr>
            <w:tcW w:w="1526" w:type="dxa"/>
            <w:vMerge w:val="restart"/>
            <w:tcBorders>
              <w:top w:val="single" w:sz="6" w:space="0" w:color="auto"/>
              <w:left w:val="nil"/>
              <w:bottom w:val="nil"/>
              <w:right w:val="nil"/>
            </w:tcBorders>
          </w:tcPr>
          <w:p w:rsidR="00DF17E9" w:rsidRPr="001A6C82" w:rsidRDefault="00DF17E9" w:rsidP="00044843">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rsidR="00DF17E9" w:rsidRPr="001A6C82" w:rsidRDefault="00DF17E9" w:rsidP="00044843">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rsidR="00DF17E9" w:rsidRPr="001A6C82" w:rsidRDefault="00DF17E9" w:rsidP="00044843">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tcBorders>
              <w:top w:val="single" w:sz="6" w:space="0" w:color="auto"/>
              <w:left w:val="nil"/>
              <w:bottom w:val="nil"/>
              <w:right w:val="nil"/>
            </w:tcBorders>
          </w:tcPr>
          <w:p w:rsidR="00DF17E9" w:rsidRPr="001A6C82" w:rsidRDefault="00DF17E9" w:rsidP="00044843">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Consolidated_OS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28</w:t>
            </w:r>
            <w:r>
              <w:rPr>
                <w:rFonts w:ascii="Calibri" w:eastAsia="Calibri" w:hAnsi="Calibri" w:cs="Times New Roman"/>
                <w:sz w:val="20"/>
                <w:szCs w:val="20"/>
              </w:rPr>
              <w:fldChar w:fldCharType="end"/>
            </w:r>
          </w:p>
        </w:tc>
      </w:tr>
      <w:tr w:rsidR="00DF17E9" w:rsidRPr="001A6C82" w:rsidTr="00044843">
        <w:tc>
          <w:tcPr>
            <w:tcW w:w="1526" w:type="dxa"/>
            <w:vMerge/>
            <w:tcBorders>
              <w:top w:val="nil"/>
              <w:left w:val="nil"/>
              <w:bottom w:val="nil"/>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nil"/>
              <w:right w:val="nil"/>
            </w:tcBorders>
          </w:tcPr>
          <w:p w:rsidR="00DF17E9" w:rsidRPr="001A6C82" w:rsidRDefault="00DF17E9" w:rsidP="00044843">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tcBorders>
              <w:top w:val="nil"/>
              <w:left w:val="nil"/>
              <w:bottom w:val="nil"/>
              <w:right w:val="nil"/>
            </w:tcBorders>
          </w:tcPr>
          <w:p w:rsidR="00DF17E9" w:rsidRPr="001A6C82" w:rsidRDefault="00DF17E9" w:rsidP="00044843">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Consolidated_BS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29</w:t>
            </w:r>
            <w:r>
              <w:rPr>
                <w:rFonts w:ascii="Calibri" w:eastAsia="Calibri" w:hAnsi="Calibri" w:cs="Times New Roman"/>
                <w:sz w:val="20"/>
                <w:szCs w:val="20"/>
              </w:rPr>
              <w:fldChar w:fldCharType="end"/>
            </w:r>
          </w:p>
        </w:tc>
      </w:tr>
      <w:tr w:rsidR="00DF17E9" w:rsidRPr="001A6C82" w:rsidTr="00044843">
        <w:tc>
          <w:tcPr>
            <w:tcW w:w="1526" w:type="dxa"/>
            <w:vMerge/>
            <w:tcBorders>
              <w:top w:val="nil"/>
              <w:left w:val="nil"/>
              <w:bottom w:val="nil"/>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nil"/>
              <w:right w:val="nil"/>
            </w:tcBorders>
          </w:tcPr>
          <w:p w:rsidR="00DF17E9" w:rsidRPr="001A6C82" w:rsidRDefault="00DF17E9" w:rsidP="00044843">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tcBorders>
              <w:top w:val="nil"/>
              <w:left w:val="nil"/>
              <w:bottom w:val="nil"/>
              <w:right w:val="nil"/>
            </w:tcBorders>
          </w:tcPr>
          <w:p w:rsidR="00DF17E9" w:rsidRPr="001A6C82" w:rsidRDefault="00DF17E9" w:rsidP="00044843">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Consolidated_CF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30</w:t>
            </w:r>
            <w:r>
              <w:rPr>
                <w:rFonts w:ascii="Calibri" w:eastAsia="Calibri" w:hAnsi="Calibri" w:cs="Times New Roman"/>
                <w:sz w:val="20"/>
                <w:szCs w:val="20"/>
              </w:rPr>
              <w:fldChar w:fldCharType="end"/>
            </w:r>
          </w:p>
        </w:tc>
      </w:tr>
      <w:tr w:rsidR="00DF17E9" w:rsidRPr="001A6C82" w:rsidTr="00044843">
        <w:trPr>
          <w:trHeight w:val="70"/>
        </w:trPr>
        <w:tc>
          <w:tcPr>
            <w:tcW w:w="1526" w:type="dxa"/>
            <w:vMerge/>
            <w:tcBorders>
              <w:top w:val="nil"/>
              <w:left w:val="nil"/>
              <w:bottom w:val="single" w:sz="6" w:space="0" w:color="auto"/>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single" w:sz="6" w:space="0" w:color="auto"/>
              <w:right w:val="nil"/>
            </w:tcBorders>
          </w:tcPr>
          <w:p w:rsidR="00DF17E9" w:rsidRPr="001A6C82" w:rsidRDefault="00DF17E9" w:rsidP="00044843">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tcBorders>
              <w:top w:val="nil"/>
              <w:left w:val="nil"/>
              <w:bottom w:val="single" w:sz="6" w:space="0" w:color="auto"/>
              <w:right w:val="nil"/>
            </w:tcBorders>
          </w:tcPr>
          <w:p w:rsidR="00DF17E9" w:rsidRPr="001A6C82" w:rsidRDefault="00DF17E9" w:rsidP="00044843">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Consolidated_SOCIE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32</w:t>
            </w:r>
            <w:r>
              <w:rPr>
                <w:rFonts w:ascii="Calibri" w:eastAsia="Calibri" w:hAnsi="Calibri" w:cs="Times New Roman"/>
                <w:sz w:val="20"/>
                <w:szCs w:val="20"/>
              </w:rPr>
              <w:fldChar w:fldCharType="end"/>
            </w:r>
          </w:p>
        </w:tc>
      </w:tr>
      <w:tr w:rsidR="00DF17E9" w:rsidRPr="001A6C82" w:rsidTr="00044843">
        <w:tc>
          <w:tcPr>
            <w:tcW w:w="1526" w:type="dxa"/>
            <w:vMerge w:val="restart"/>
            <w:tcBorders>
              <w:top w:val="single" w:sz="6" w:space="0" w:color="auto"/>
              <w:left w:val="nil"/>
              <w:bottom w:val="nil"/>
              <w:right w:val="nil"/>
            </w:tcBorders>
          </w:tcPr>
          <w:p w:rsidR="00DF17E9" w:rsidRPr="001A6C82" w:rsidRDefault="00DF17E9" w:rsidP="00044843">
            <w:pPr>
              <w:rPr>
                <w:rFonts w:ascii="Calibri" w:eastAsia="Calibri" w:hAnsi="Calibri" w:cs="Times New Roman"/>
                <w:b/>
                <w:sz w:val="20"/>
                <w:szCs w:val="20"/>
              </w:rPr>
            </w:pPr>
            <w:r w:rsidRPr="001A6C82">
              <w:rPr>
                <w:rFonts w:ascii="Calibri" w:eastAsia="Calibri" w:hAnsi="Calibri" w:cs="Times New Roman"/>
                <w:b/>
                <w:sz w:val="20"/>
                <w:szCs w:val="20"/>
              </w:rPr>
              <w:t>Notes to the</w:t>
            </w:r>
          </w:p>
          <w:p w:rsidR="00DF17E9" w:rsidRPr="001A6C82" w:rsidRDefault="00DF17E9" w:rsidP="00044843">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rsidR="00DF17E9" w:rsidRPr="001A6C82" w:rsidRDefault="00DF17E9" w:rsidP="00044843">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rsidR="00DF17E9" w:rsidRPr="00C14036"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tcBorders>
              <w:top w:val="single" w:sz="6" w:space="0" w:color="auto"/>
              <w:left w:val="nil"/>
              <w:bottom w:val="nil"/>
              <w:right w:val="nil"/>
            </w:tcBorders>
            <w:shd w:val="clear" w:color="auto" w:fill="D9D9D9" w:themeFill="background1" w:themeFillShade="D9"/>
          </w:tcPr>
          <w:p w:rsidR="00DF17E9" w:rsidRDefault="00DF17E9" w:rsidP="00044843">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Section_01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33</w:t>
            </w:r>
            <w:r>
              <w:rPr>
                <w:rFonts w:ascii="Calibri" w:eastAsia="Calibri" w:hAnsi="Calibri" w:cs="Times New Roman"/>
                <w:sz w:val="20"/>
                <w:szCs w:val="20"/>
              </w:rPr>
              <w:fldChar w:fldCharType="end"/>
            </w:r>
          </w:p>
        </w:tc>
      </w:tr>
      <w:tr w:rsidR="00DF17E9" w:rsidRPr="001A6C82" w:rsidTr="00044843">
        <w:trPr>
          <w:trHeight w:val="116"/>
        </w:trPr>
        <w:tc>
          <w:tcPr>
            <w:tcW w:w="1526" w:type="dxa"/>
            <w:vMerge/>
            <w:tcBorders>
              <w:top w:val="nil"/>
              <w:left w:val="nil"/>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nil"/>
              <w:right w:val="nil"/>
            </w:tcBorders>
          </w:tcPr>
          <w:p w:rsidR="00DF17E9" w:rsidRPr="00C14036" w:rsidRDefault="00DF17E9" w:rsidP="00044843">
            <w:pPr>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tcBorders>
              <w:top w:val="nil"/>
              <w:left w:val="nil"/>
              <w:bottom w:val="nil"/>
              <w:right w:val="nil"/>
            </w:tcBorders>
          </w:tcPr>
          <w:p w:rsidR="00DF17E9" w:rsidRPr="001A6C82" w:rsidRDefault="00DF17E9" w:rsidP="00044843"/>
        </w:tc>
      </w:tr>
      <w:tr w:rsidR="00DF17E9" w:rsidRPr="001A6C82" w:rsidTr="00044843">
        <w:trPr>
          <w:trHeight w:val="65"/>
        </w:trPr>
        <w:tc>
          <w:tcPr>
            <w:tcW w:w="1526" w:type="dxa"/>
            <w:vMerge/>
            <w:tcBorders>
              <w:left w:val="nil"/>
              <w:bottom w:val="nil"/>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nil"/>
              <w:right w:val="nil"/>
            </w:tcBorders>
          </w:tcPr>
          <w:p w:rsidR="00DF17E9" w:rsidRPr="00C14036" w:rsidRDefault="00DF17E9" w:rsidP="00044843">
            <w:pPr>
              <w:spacing w:after="12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tcBorders>
              <w:top w:val="nil"/>
              <w:left w:val="nil"/>
              <w:bottom w:val="nil"/>
              <w:right w:val="nil"/>
            </w:tcBorders>
          </w:tcPr>
          <w:p w:rsidR="00DF17E9" w:rsidRPr="001A6C82" w:rsidRDefault="00DF17E9" w:rsidP="00044843"/>
        </w:tc>
      </w:tr>
      <w:tr w:rsidR="00DF17E9" w:rsidRPr="001A6C82" w:rsidTr="00044843">
        <w:tc>
          <w:tcPr>
            <w:tcW w:w="1526" w:type="dxa"/>
            <w:vMerge w:val="restart"/>
            <w:tcBorders>
              <w:top w:val="nil"/>
              <w:left w:val="nil"/>
              <w:bottom w:val="nil"/>
              <w:right w:val="nil"/>
            </w:tcBorders>
          </w:tcPr>
          <w:p w:rsidR="00DF17E9" w:rsidRPr="001A6C82" w:rsidRDefault="00DF17E9" w:rsidP="00044843">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Section_02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36</w:t>
            </w:r>
            <w:r>
              <w:rPr>
                <w:rFonts w:ascii="Calibri" w:eastAsia="Calibri" w:hAnsi="Calibri" w:cs="Times New Roman"/>
                <w:sz w:val="20"/>
                <w:szCs w:val="20"/>
              </w:rPr>
              <w:fldChar w:fldCharType="end"/>
            </w:r>
          </w:p>
        </w:tc>
      </w:tr>
      <w:tr w:rsidR="00DF17E9" w:rsidRPr="001A6C82" w:rsidTr="00044843">
        <w:trPr>
          <w:trHeight w:val="80"/>
        </w:trPr>
        <w:tc>
          <w:tcPr>
            <w:tcW w:w="1526" w:type="dxa"/>
            <w:vMerge/>
            <w:tcBorders>
              <w:top w:val="nil"/>
              <w:left w:val="nil"/>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nil"/>
              <w:right w:val="nil"/>
            </w:tcBorders>
          </w:tcPr>
          <w:p w:rsidR="00DF17E9" w:rsidRPr="001A6C82" w:rsidRDefault="00DF17E9" w:rsidP="00044843">
            <w:pPr>
              <w:spacing w:after="120"/>
              <w:rPr>
                <w:rFonts w:ascii="Calibri" w:eastAsia="Calibri" w:hAnsi="Calibri" w:cs="Times New Roman"/>
                <w:i/>
                <w:sz w:val="19"/>
                <w:szCs w:val="19"/>
              </w:rPr>
            </w:pPr>
            <w:r w:rsidRPr="001A6C82">
              <w:rPr>
                <w:rFonts w:ascii="Calibri" w:eastAsia="Calibri" w:hAnsi="Calibri" w:cs="Times New Roman"/>
                <w:i/>
                <w:sz w:val="19"/>
                <w:szCs w:val="19"/>
              </w:rPr>
              <w:t>Revenue 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tcBorders>
              <w:top w:val="nil"/>
              <w:left w:val="nil"/>
              <w:bottom w:val="nil"/>
              <w:right w:val="nil"/>
            </w:tcBorders>
          </w:tcPr>
          <w:p w:rsidR="00DF17E9" w:rsidRPr="001A6C82" w:rsidRDefault="00DF17E9" w:rsidP="00044843"/>
        </w:tc>
      </w:tr>
      <w:tr w:rsidR="00DF17E9" w:rsidRPr="001A6C82" w:rsidTr="00044843">
        <w:trPr>
          <w:trHeight w:val="70"/>
        </w:trPr>
        <w:tc>
          <w:tcPr>
            <w:tcW w:w="1526" w:type="dxa"/>
            <w:vMerge/>
            <w:tcBorders>
              <w:left w:val="nil"/>
              <w:right w:val="nil"/>
            </w:tcBorders>
          </w:tcPr>
          <w:p w:rsidR="00DF17E9" w:rsidRPr="001A6C82" w:rsidRDefault="00DF17E9" w:rsidP="00044843">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Section_03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41</w:t>
            </w:r>
            <w:r>
              <w:rPr>
                <w:rFonts w:ascii="Calibri" w:eastAsia="Calibri" w:hAnsi="Calibri" w:cs="Times New Roman"/>
                <w:sz w:val="20"/>
                <w:szCs w:val="20"/>
              </w:rPr>
              <w:fldChar w:fldCharType="end"/>
            </w:r>
          </w:p>
        </w:tc>
      </w:tr>
      <w:tr w:rsidR="00DF17E9" w:rsidRPr="007A77A6" w:rsidTr="00044843">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tcPr>
          <w:p w:rsidR="00DF17E9" w:rsidRPr="001A6C82" w:rsidRDefault="00DF17E9" w:rsidP="00044843">
            <w:pPr>
              <w:spacing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and other assets</w:t>
            </w:r>
          </w:p>
        </w:tc>
        <w:tc>
          <w:tcPr>
            <w:tcW w:w="1417" w:type="dxa"/>
            <w:tcBorders>
              <w:top w:val="nil"/>
              <w:left w:val="nil"/>
              <w:bottom w:val="nil"/>
              <w:right w:val="nil"/>
            </w:tcBorders>
          </w:tcPr>
          <w:p w:rsidR="00DF17E9" w:rsidRPr="007A77A6" w:rsidRDefault="00DF17E9" w:rsidP="00044843">
            <w:pPr>
              <w:jc w:val="right"/>
              <w:rPr>
                <w:rFonts w:ascii="Calibri" w:eastAsia="Calibri" w:hAnsi="Calibri" w:cs="Times New Roman"/>
                <w:i/>
                <w:sz w:val="19"/>
                <w:szCs w:val="19"/>
              </w:rPr>
            </w:pPr>
          </w:p>
        </w:tc>
      </w:tr>
      <w:tr w:rsidR="00DF17E9" w:rsidRPr="001A6C82" w:rsidTr="00044843">
        <w:trPr>
          <w:trHeight w:val="181"/>
        </w:trPr>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Section_04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49</w:t>
            </w:r>
            <w:r>
              <w:rPr>
                <w:rFonts w:ascii="Calibri" w:eastAsia="Calibri" w:hAnsi="Calibri" w:cs="Times New Roman"/>
                <w:sz w:val="20"/>
                <w:szCs w:val="20"/>
              </w:rPr>
              <w:fldChar w:fldCharType="end"/>
            </w:r>
          </w:p>
        </w:tc>
      </w:tr>
      <w:tr w:rsidR="00DF17E9" w:rsidRPr="001A6C82" w:rsidTr="00044843">
        <w:trPr>
          <w:trHeight w:val="70"/>
        </w:trPr>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tcPr>
          <w:p w:rsidR="00DF17E9" w:rsidRPr="001A6C82" w:rsidRDefault="00DF17E9" w:rsidP="00044843">
            <w:pPr>
              <w:spacing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buildings, infrastructure, plant and equipment, other non-financial assets, and investments held in associates and joint arrangements</w:t>
            </w:r>
          </w:p>
        </w:tc>
        <w:tc>
          <w:tcPr>
            <w:tcW w:w="1417" w:type="dxa"/>
            <w:tcBorders>
              <w:top w:val="nil"/>
              <w:left w:val="nil"/>
              <w:bottom w:val="nil"/>
              <w:right w:val="nil"/>
            </w:tcBorders>
          </w:tcPr>
          <w:p w:rsidR="00DF17E9" w:rsidRPr="001A6C82" w:rsidRDefault="00DF17E9" w:rsidP="00044843"/>
        </w:tc>
      </w:tr>
      <w:tr w:rsidR="00DF17E9" w:rsidRPr="001A6C82" w:rsidTr="00044843">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Section_05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61</w:t>
            </w:r>
            <w:r>
              <w:rPr>
                <w:rFonts w:ascii="Calibri" w:eastAsia="Calibri" w:hAnsi="Calibri" w:cs="Times New Roman"/>
                <w:sz w:val="20"/>
                <w:szCs w:val="20"/>
              </w:rPr>
              <w:fldChar w:fldCharType="end"/>
            </w:r>
          </w:p>
        </w:tc>
      </w:tr>
      <w:tr w:rsidR="00DF17E9" w:rsidRPr="001A6C82" w:rsidTr="00044843">
        <w:trPr>
          <w:trHeight w:val="70"/>
        </w:trPr>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tcPr>
          <w:p w:rsidR="00DF17E9" w:rsidRPr="001A6C82" w:rsidRDefault="00DF17E9" w:rsidP="00044843">
            <w:pPr>
              <w:spacing w:after="120"/>
              <w:rPr>
                <w:rFonts w:ascii="Calibri" w:eastAsia="Calibri" w:hAnsi="Calibri" w:cs="Times New Roman"/>
                <w:sz w:val="19"/>
                <w:szCs w:val="19"/>
              </w:rPr>
            </w:pPr>
            <w:r w:rsidRPr="006C54DA">
              <w:rPr>
                <w:rFonts w:ascii="Calibri" w:eastAsia="Calibri" w:hAnsi="Calibri" w:cs="Times New Roman"/>
                <w:i/>
                <w:sz w:val="19"/>
                <w:szCs w:val="19"/>
              </w:rPr>
              <w:t xml:space="preserve">Borrowings and cash flow information, investments held and </w:t>
            </w:r>
            <w:r>
              <w:rPr>
                <w:rFonts w:ascii="Calibri" w:eastAsia="Calibri" w:hAnsi="Calibri" w:cs="Times New Roman"/>
                <w:i/>
                <w:sz w:val="19"/>
                <w:szCs w:val="19"/>
              </w:rPr>
              <w:t>p</w:t>
            </w:r>
            <w:r w:rsidRPr="006C54DA">
              <w:rPr>
                <w:rFonts w:ascii="Calibri" w:eastAsia="Calibri" w:hAnsi="Calibri" w:cs="Times New Roman"/>
                <w:i/>
                <w:sz w:val="19"/>
                <w:szCs w:val="19"/>
              </w:rPr>
              <w:t xml:space="preserve">ublic </w:t>
            </w:r>
            <w:r>
              <w:rPr>
                <w:rFonts w:ascii="Calibri" w:eastAsia="Calibri" w:hAnsi="Calibri" w:cs="Times New Roman"/>
                <w:i/>
                <w:sz w:val="19"/>
                <w:szCs w:val="19"/>
              </w:rPr>
              <w:t>p</w:t>
            </w:r>
            <w:r w:rsidRPr="006C54DA">
              <w:rPr>
                <w:rFonts w:ascii="Calibri" w:eastAsia="Calibri" w:hAnsi="Calibri" w:cs="Times New Roman"/>
                <w:i/>
                <w:sz w:val="19"/>
                <w:szCs w:val="19"/>
              </w:rPr>
              <w:t xml:space="preserve">rivate </w:t>
            </w:r>
            <w:r>
              <w:rPr>
                <w:rFonts w:ascii="Calibri" w:eastAsia="Calibri" w:hAnsi="Calibri" w:cs="Times New Roman"/>
                <w:i/>
                <w:sz w:val="19"/>
                <w:szCs w:val="19"/>
              </w:rPr>
              <w:t>p</w:t>
            </w:r>
            <w:r w:rsidRPr="006C54DA">
              <w:rPr>
                <w:rFonts w:ascii="Calibri" w:eastAsia="Calibri" w:hAnsi="Calibri" w:cs="Times New Roman"/>
                <w:i/>
                <w:sz w:val="19"/>
                <w:szCs w:val="19"/>
              </w:rPr>
              <w:t>artnership (service con</w:t>
            </w:r>
            <w:r>
              <w:rPr>
                <w:rFonts w:ascii="Calibri" w:eastAsia="Calibri" w:hAnsi="Calibri" w:cs="Times New Roman"/>
                <w:i/>
                <w:sz w:val="19"/>
                <w:szCs w:val="19"/>
              </w:rPr>
              <w:t xml:space="preserve">cession) arrangements and </w:t>
            </w:r>
            <w:r w:rsidRPr="006C54DA">
              <w:rPr>
                <w:rFonts w:ascii="Calibri" w:eastAsia="Calibri" w:hAnsi="Calibri" w:cs="Times New Roman"/>
                <w:i/>
                <w:sz w:val="19"/>
                <w:szCs w:val="19"/>
              </w:rPr>
              <w:t>commitments</w:t>
            </w:r>
            <w:r>
              <w:rPr>
                <w:rFonts w:ascii="Calibri" w:eastAsia="Calibri" w:hAnsi="Calibri" w:cs="Times New Roman"/>
                <w:i/>
                <w:sz w:val="19"/>
                <w:szCs w:val="19"/>
              </w:rPr>
              <w:t xml:space="preserve"> at 30 June</w:t>
            </w:r>
          </w:p>
        </w:tc>
        <w:tc>
          <w:tcPr>
            <w:tcW w:w="1417" w:type="dxa"/>
            <w:tcBorders>
              <w:top w:val="nil"/>
              <w:left w:val="nil"/>
              <w:bottom w:val="nil"/>
              <w:right w:val="nil"/>
            </w:tcBorders>
          </w:tcPr>
          <w:p w:rsidR="00DF17E9" w:rsidRPr="001A6C82" w:rsidRDefault="00DF17E9" w:rsidP="00044843"/>
        </w:tc>
      </w:tr>
      <w:tr w:rsidR="00DF17E9" w:rsidRPr="001A6C82" w:rsidTr="00044843">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Section_06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70</w:t>
            </w:r>
            <w:r>
              <w:rPr>
                <w:rFonts w:ascii="Calibri" w:eastAsia="Calibri" w:hAnsi="Calibri" w:cs="Times New Roman"/>
                <w:sz w:val="20"/>
                <w:szCs w:val="20"/>
              </w:rPr>
              <w:fldChar w:fldCharType="end"/>
            </w:r>
          </w:p>
        </w:tc>
      </w:tr>
      <w:tr w:rsidR="00DF17E9" w:rsidRPr="001A6C82" w:rsidTr="00044843">
        <w:trPr>
          <w:trHeight w:val="70"/>
        </w:trPr>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tcPr>
          <w:p w:rsidR="00DF17E9" w:rsidRPr="001A6C82" w:rsidRDefault="00DF17E9" w:rsidP="00044843">
            <w:pPr>
              <w:spacing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tcBorders>
              <w:top w:val="nil"/>
              <w:left w:val="nil"/>
              <w:bottom w:val="nil"/>
              <w:right w:val="nil"/>
            </w:tcBorders>
          </w:tcPr>
          <w:p w:rsidR="00DF17E9" w:rsidRPr="001A6C82" w:rsidRDefault="00DF17E9" w:rsidP="00044843"/>
        </w:tc>
      </w:tr>
      <w:tr w:rsidR="00DF17E9" w:rsidRPr="001A6C82" w:rsidTr="00044843">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Risks, contingencies and valuation judgements</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Section_07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81</w:t>
            </w:r>
            <w:r>
              <w:rPr>
                <w:rFonts w:ascii="Calibri" w:eastAsia="Calibri" w:hAnsi="Calibri" w:cs="Times New Roman"/>
                <w:sz w:val="20"/>
                <w:szCs w:val="20"/>
              </w:rPr>
              <w:fldChar w:fldCharType="end"/>
            </w:r>
          </w:p>
        </w:tc>
      </w:tr>
      <w:tr w:rsidR="00DF17E9" w:rsidRPr="001A6C82" w:rsidTr="00044843">
        <w:trPr>
          <w:trHeight w:val="70"/>
        </w:trPr>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tcPr>
          <w:p w:rsidR="00DF17E9" w:rsidRPr="001A6C82" w:rsidRDefault="00DF17E9" w:rsidP="00044843">
            <w:pPr>
              <w:spacing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tcBorders>
              <w:top w:val="nil"/>
              <w:left w:val="nil"/>
              <w:bottom w:val="nil"/>
              <w:right w:val="nil"/>
            </w:tcBorders>
          </w:tcPr>
          <w:p w:rsidR="00DF17E9" w:rsidRPr="001A6C82" w:rsidRDefault="00DF17E9" w:rsidP="00044843"/>
        </w:tc>
      </w:tr>
      <w:tr w:rsidR="00DF17E9" w:rsidRPr="001A6C82" w:rsidTr="00044843">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tcBorders>
              <w:top w:val="nil"/>
              <w:left w:val="nil"/>
              <w:bottom w:val="nil"/>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Section_08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112</w:t>
            </w:r>
            <w:r>
              <w:rPr>
                <w:rFonts w:ascii="Calibri" w:eastAsia="Calibri" w:hAnsi="Calibri" w:cs="Times New Roman"/>
                <w:sz w:val="20"/>
                <w:szCs w:val="20"/>
              </w:rPr>
              <w:fldChar w:fldCharType="end"/>
            </w:r>
          </w:p>
        </w:tc>
      </w:tr>
      <w:tr w:rsidR="00DF17E9" w:rsidRPr="001A6C82" w:rsidTr="00044843">
        <w:trPr>
          <w:trHeight w:val="70"/>
        </w:trPr>
        <w:tc>
          <w:tcPr>
            <w:tcW w:w="1526" w:type="dxa"/>
            <w:vMerge/>
            <w:tcBorders>
              <w:left w:val="nil"/>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nil"/>
              <w:right w:val="nil"/>
            </w:tcBorders>
          </w:tcPr>
          <w:p w:rsidR="00DF17E9" w:rsidRDefault="00DF17E9" w:rsidP="00044843">
            <w:pPr>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p>
          <w:p w:rsidR="00DF17E9" w:rsidRPr="001A6C82" w:rsidRDefault="00DF17E9" w:rsidP="00044843">
            <w:pPr>
              <w:spacing w:after="120"/>
              <w:rPr>
                <w:rFonts w:ascii="Calibri" w:eastAsia="Calibri" w:hAnsi="Calibri" w:cs="Times New Roman"/>
                <w:i/>
                <w:sz w:val="19"/>
                <w:szCs w:val="19"/>
              </w:rPr>
            </w:pP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tcBorders>
              <w:top w:val="nil"/>
              <w:left w:val="nil"/>
              <w:bottom w:val="nil"/>
              <w:right w:val="nil"/>
            </w:tcBorders>
          </w:tcPr>
          <w:p w:rsidR="00DF17E9" w:rsidRPr="001A6C82" w:rsidRDefault="00DF17E9" w:rsidP="00044843"/>
        </w:tc>
      </w:tr>
      <w:tr w:rsidR="00DF17E9" w:rsidRPr="001A6C82" w:rsidTr="00044843">
        <w:tc>
          <w:tcPr>
            <w:tcW w:w="1526" w:type="dxa"/>
            <w:vMerge/>
            <w:tcBorders>
              <w:left w:val="nil"/>
              <w:bottom w:val="single" w:sz="8" w:space="0" w:color="auto"/>
              <w:right w:val="nil"/>
            </w:tcBorders>
          </w:tcPr>
          <w:p w:rsidR="00DF17E9" w:rsidRPr="001A6C82" w:rsidRDefault="00DF17E9" w:rsidP="00044843">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rsidR="00DF17E9" w:rsidRPr="001A6C82" w:rsidRDefault="00DF17E9" w:rsidP="00044843">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tcBorders>
              <w:top w:val="nil"/>
              <w:left w:val="nil"/>
              <w:bottom w:val="single" w:sz="8" w:space="0" w:color="auto"/>
              <w:right w:val="nil"/>
            </w:tcBorders>
            <w:shd w:val="clear" w:color="auto" w:fill="D9D9D9" w:themeFill="background1" w:themeFillShade="D9"/>
          </w:tcPr>
          <w:p w:rsidR="00DF17E9" w:rsidRPr="001A6C82" w:rsidRDefault="00DF17E9" w:rsidP="00044843">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Section_09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E3704D">
              <w:rPr>
                <w:rFonts w:ascii="Calibri" w:eastAsia="Calibri" w:hAnsi="Calibri" w:cs="Times New Roman"/>
                <w:noProof/>
                <w:sz w:val="20"/>
                <w:szCs w:val="20"/>
              </w:rPr>
              <w:t>135</w:t>
            </w:r>
            <w:r>
              <w:rPr>
                <w:rFonts w:ascii="Calibri" w:eastAsia="Calibri" w:hAnsi="Calibri" w:cs="Times New Roman"/>
                <w:sz w:val="20"/>
                <w:szCs w:val="20"/>
              </w:rPr>
              <w:fldChar w:fldCharType="end"/>
            </w:r>
          </w:p>
        </w:tc>
      </w:tr>
    </w:tbl>
    <w:p w:rsidR="00DF17E9" w:rsidRDefault="00DF17E9" w:rsidP="00044843"/>
    <w:p w:rsidR="00DF17E9" w:rsidRDefault="00DF17E9" w:rsidP="00044843"/>
    <w:p w:rsidR="00DF17E9" w:rsidRDefault="00DF17E9" w:rsidP="00044843">
      <w:pPr>
        <w:rPr>
          <w:rFonts w:asciiTheme="majorHAnsi" w:eastAsiaTheme="majorEastAsia" w:hAnsiTheme="majorHAnsi" w:cstheme="majorBidi"/>
          <w:b/>
          <w:bCs/>
          <w:caps/>
          <w:color w:val="0063A6" w:themeColor="accent1"/>
          <w:spacing w:val="-2"/>
          <w:sz w:val="32"/>
          <w:szCs w:val="28"/>
        </w:rPr>
      </w:pPr>
      <w:r>
        <w:br w:type="page"/>
      </w:r>
    </w:p>
    <w:p w:rsidR="00DF17E9" w:rsidRDefault="00DF17E9" w:rsidP="00044843">
      <w:pPr>
        <w:pStyle w:val="Heading1unnumbered"/>
      </w:pPr>
      <w:r>
        <w:lastRenderedPageBreak/>
        <w:t>PUBLIC SECTOR TERMS EXPLAINED</w:t>
      </w:r>
    </w:p>
    <w:p w:rsidR="00DF17E9" w:rsidRDefault="00DF17E9" w:rsidP="00044843">
      <w:r w:rsidRPr="00765456">
        <w:t>The State of Victoria reporting entity includes government departments, public non</w:t>
      </w:r>
      <w:r>
        <w:t>-</w:t>
      </w:r>
      <w:r w:rsidRPr="00765456">
        <w:t xml:space="preserve">financial corporations (PNFCs), public financial corporations (PFCs) and other government controlled entities. The State and most of its subsidiary entities are not-for-profit entities. </w:t>
      </w:r>
    </w:p>
    <w:p w:rsidR="00DF17E9" w:rsidRDefault="00DF17E9" w:rsidP="00044843">
      <w:pPr>
        <w:jc w:val="center"/>
      </w:pPr>
      <w:r w:rsidRPr="00E97BE2">
        <w:rPr>
          <w:noProof/>
          <w:lang w:eastAsia="en-AU"/>
        </w:rPr>
        <w:drawing>
          <wp:inline distT="0" distB="0" distL="0" distR="0" wp14:anchorId="33308741" wp14:editId="67C19E54">
            <wp:extent cx="4981575" cy="187984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81575" cy="1879840"/>
                    </a:xfrm>
                    <a:prstGeom prst="rect">
                      <a:avLst/>
                    </a:prstGeom>
                    <a:noFill/>
                    <a:ln>
                      <a:noFill/>
                    </a:ln>
                  </pic:spPr>
                </pic:pic>
              </a:graphicData>
            </a:graphic>
          </wp:inline>
        </w:drawing>
      </w:r>
    </w:p>
    <w:p w:rsidR="00DF17E9" w:rsidRDefault="00DF17E9" w:rsidP="00044843">
      <w:r>
        <w:t>The</w:t>
      </w:r>
      <w:r w:rsidRPr="00765456">
        <w:t xml:space="preserve"> </w:t>
      </w:r>
      <w:r>
        <w:t xml:space="preserve">State controlled </w:t>
      </w:r>
      <w:r w:rsidRPr="00765456">
        <w:t>entities are classified into</w:t>
      </w:r>
      <w:r>
        <w:t xml:space="preserve"> various</w:t>
      </w:r>
      <w:r w:rsidRPr="00765456">
        <w:t xml:space="preserve"> sectors according to </w:t>
      </w:r>
      <w:r>
        <w:t>the System of National Accounts, as follows:</w:t>
      </w:r>
    </w:p>
    <w:tbl>
      <w:tblPr>
        <w:tblStyle w:val="TableDTFGeneral"/>
        <w:tblW w:w="9639" w:type="dxa"/>
        <w:tblLook w:val="04A0" w:firstRow="1" w:lastRow="0" w:firstColumn="1" w:lastColumn="0" w:noHBand="0" w:noVBand="1"/>
      </w:tblPr>
      <w:tblGrid>
        <w:gridCol w:w="1864"/>
        <w:gridCol w:w="7775"/>
      </w:tblGrid>
      <w:tr w:rsidR="00DF17E9" w:rsidRPr="00B42574" w:rsidTr="0004484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rsidR="00DF17E9" w:rsidRPr="00B42574" w:rsidRDefault="00DF17E9" w:rsidP="00044843">
            <w:pPr>
              <w:rPr>
                <w:sz w:val="19"/>
                <w:szCs w:val="19"/>
              </w:rPr>
            </w:pPr>
            <w:r w:rsidRPr="00B42574">
              <w:rPr>
                <w:sz w:val="19"/>
                <w:szCs w:val="19"/>
              </w:rPr>
              <w:t>Term</w:t>
            </w:r>
          </w:p>
        </w:tc>
        <w:tc>
          <w:tcPr>
            <w:tcW w:w="7775" w:type="dxa"/>
          </w:tcPr>
          <w:p w:rsidR="00DF17E9" w:rsidRPr="00B42574" w:rsidRDefault="00DF17E9" w:rsidP="00044843">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DF17E9" w:rsidRPr="00B42574" w:rsidTr="0004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DF17E9" w:rsidRPr="00B42574" w:rsidRDefault="00DF17E9" w:rsidP="00044843">
            <w:pPr>
              <w:ind w:left="0" w:firstLine="0"/>
              <w:rPr>
                <w:sz w:val="19"/>
                <w:szCs w:val="19"/>
              </w:rPr>
            </w:pPr>
            <w:r w:rsidRPr="00B42574">
              <w:rPr>
                <w:sz w:val="19"/>
                <w:szCs w:val="19"/>
              </w:rPr>
              <w:t>General government sector (GGS)</w:t>
            </w:r>
          </w:p>
        </w:tc>
        <w:tc>
          <w:tcPr>
            <w:tcW w:w="7775" w:type="dxa"/>
          </w:tcPr>
          <w:p w:rsidR="00DF17E9" w:rsidRPr="00B42574" w:rsidRDefault="00DF17E9" w:rsidP="00044843">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w:t>
            </w:r>
            <w:r>
              <w:rPr>
                <w:sz w:val="19"/>
                <w:szCs w:val="19"/>
              </w:rPr>
              <w:br/>
            </w:r>
            <w:r w:rsidRPr="00B42574">
              <w:rPr>
                <w:sz w:val="19"/>
                <w:szCs w:val="19"/>
              </w:rPr>
              <w:t xml:space="preserve">AASB 1049 </w:t>
            </w:r>
            <w:r w:rsidRPr="00B42574">
              <w:rPr>
                <w:i/>
                <w:sz w:val="19"/>
                <w:szCs w:val="19"/>
              </w:rPr>
              <w:t>Whole of Government and General Government Sector Financial Reporting</w:t>
            </w:r>
            <w:r w:rsidRPr="00B42574">
              <w:rPr>
                <w:sz w:val="19"/>
                <w:szCs w:val="19"/>
              </w:rPr>
              <w:t>.</w:t>
            </w:r>
          </w:p>
          <w:p w:rsidR="00DF17E9" w:rsidRPr="00B42574" w:rsidRDefault="00DF17E9" w:rsidP="00044843">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primary function of entities within the general government sector is to provide public services </w:t>
            </w:r>
            <w:r>
              <w:rPr>
                <w:sz w:val="19"/>
                <w:szCs w:val="19"/>
              </w:rPr>
              <w:t>(outputs), which are mainly non-</w:t>
            </w:r>
            <w:r w:rsidRPr="00B42574">
              <w:rPr>
                <w:sz w:val="19"/>
                <w:szCs w:val="19"/>
              </w:rPr>
              <w:t>market in nature for the collective consumption of the community, and involve the transfer or redistribution of revenue which is financed mainly through taxes and other compulsory levies.</w:t>
            </w:r>
          </w:p>
        </w:tc>
      </w:tr>
      <w:tr w:rsidR="00DF17E9" w:rsidRPr="00B42574" w:rsidTr="0004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DF17E9" w:rsidRPr="00B42574" w:rsidRDefault="00DF17E9" w:rsidP="00044843">
            <w:pPr>
              <w:ind w:left="0" w:firstLine="0"/>
              <w:rPr>
                <w:sz w:val="19"/>
                <w:szCs w:val="19"/>
              </w:rPr>
            </w:pPr>
            <w:r w:rsidRPr="00B42574">
              <w:rPr>
                <w:sz w:val="19"/>
                <w:szCs w:val="19"/>
              </w:rPr>
              <w:t>Public non-financial corporations (PNFC) sector</w:t>
            </w:r>
          </w:p>
        </w:tc>
        <w:tc>
          <w:tcPr>
            <w:tcW w:w="7775" w:type="dxa"/>
          </w:tcPr>
          <w:p w:rsidR="00DF17E9" w:rsidRPr="00B42574" w:rsidRDefault="00DF17E9" w:rsidP="00044843">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primary function of entities in the PNFC sector is to provide goods and services in a competitive market that is non-regulatory and non</w:t>
            </w:r>
            <w:r w:rsidRPr="00B42574">
              <w:rPr>
                <w:sz w:val="19"/>
                <w:szCs w:val="19"/>
              </w:rPr>
              <w:noBreakHyphen/>
              <w:t>financial in nature. Such entities are financed mainly through sales to the consumer of these goods and services.</w:t>
            </w:r>
          </w:p>
        </w:tc>
      </w:tr>
      <w:tr w:rsidR="00DF17E9" w:rsidRPr="00B42574" w:rsidTr="0004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DF17E9" w:rsidRPr="00B42574" w:rsidRDefault="00DF17E9" w:rsidP="00044843">
            <w:pPr>
              <w:ind w:left="0" w:firstLine="0"/>
              <w:rPr>
                <w:sz w:val="19"/>
                <w:szCs w:val="19"/>
              </w:rPr>
            </w:pPr>
            <w:r w:rsidRPr="00B42574">
              <w:rPr>
                <w:sz w:val="19"/>
                <w:szCs w:val="19"/>
              </w:rPr>
              <w:t>Public financial corporations (PFC) sector</w:t>
            </w:r>
          </w:p>
        </w:tc>
        <w:tc>
          <w:tcPr>
            <w:tcW w:w="7775" w:type="dxa"/>
          </w:tcPr>
          <w:p w:rsidR="00DF17E9" w:rsidRPr="00B42574" w:rsidRDefault="00DF17E9" w:rsidP="00044843">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 PFC sector comprises entities engaged primarily in providing financial intermediation services or auxiliary financial services and which have one or more of the following characteristics:</w:t>
            </w:r>
          </w:p>
          <w:p w:rsidR="00DF17E9" w:rsidRPr="00B42574" w:rsidRDefault="00DF17E9" w:rsidP="00044843">
            <w:pPr>
              <w:pStyle w:val="ListBullet"/>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rsidR="00DF17E9" w:rsidRPr="00B42574" w:rsidRDefault="00DF17E9" w:rsidP="00044843">
            <w:pPr>
              <w:pStyle w:val="ListBullet"/>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rsidR="00DF17E9" w:rsidRPr="00B42574" w:rsidRDefault="00DF17E9" w:rsidP="00044843">
            <w:pPr>
              <w:pStyle w:val="ListBullet"/>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accept call, term or savings deposits; or</w:t>
            </w:r>
          </w:p>
          <w:p w:rsidR="00DF17E9" w:rsidRPr="00B42574" w:rsidRDefault="00DF17E9" w:rsidP="00044843">
            <w:pPr>
              <w:pStyle w:val="ListBullet"/>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have the ability to incur liabilities and acquire financial assets in the market on their own account.</w:t>
            </w:r>
          </w:p>
        </w:tc>
      </w:tr>
      <w:tr w:rsidR="00DF17E9" w:rsidRPr="00B42574" w:rsidTr="0004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DF17E9" w:rsidRPr="00B42574" w:rsidRDefault="00DF17E9" w:rsidP="00044843">
            <w:pPr>
              <w:ind w:left="0" w:firstLine="0"/>
              <w:rPr>
                <w:sz w:val="19"/>
                <w:szCs w:val="19"/>
              </w:rPr>
            </w:pPr>
            <w:r w:rsidRPr="00B42574">
              <w:rPr>
                <w:sz w:val="19"/>
                <w:szCs w:val="19"/>
              </w:rPr>
              <w:t>Non-financial public sector (NFPS)</w:t>
            </w:r>
          </w:p>
        </w:tc>
        <w:tc>
          <w:tcPr>
            <w:tcW w:w="7775" w:type="dxa"/>
          </w:tcPr>
          <w:p w:rsidR="00DF17E9" w:rsidRPr="00B42574" w:rsidRDefault="00DF17E9" w:rsidP="00044843">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represents the consolidation of the GG and PNFC sectors.</w:t>
            </w:r>
          </w:p>
        </w:tc>
      </w:tr>
    </w:tbl>
    <w:p w:rsidR="00DF17E9" w:rsidRPr="00BB5A73" w:rsidRDefault="00DF17E9" w:rsidP="00044843">
      <w:pPr>
        <w:pStyle w:val="Note"/>
        <w:rPr>
          <w:rFonts w:asciiTheme="minorHAnsi" w:hAnsiTheme="minorHAnsi"/>
          <w:i w:val="0"/>
          <w:spacing w:val="0"/>
          <w:sz w:val="22"/>
        </w:rPr>
      </w:pPr>
    </w:p>
    <w:p w:rsidR="00DF17E9" w:rsidRPr="00BB5A73" w:rsidRDefault="00DF17E9" w:rsidP="00044843">
      <w:pPr>
        <w:rPr>
          <w:i/>
        </w:rPr>
      </w:pPr>
      <w:r>
        <w:t>Note 9.1 disaggregates</w:t>
      </w:r>
      <w:r w:rsidRPr="00BB5A73">
        <w:t xml:space="preserve"> information </w:t>
      </w:r>
      <w:r>
        <w:t>about these sectors</w:t>
      </w:r>
      <w:r w:rsidRPr="00BB5A73">
        <w:t>. Disclosing this information assists users of the financial statements to determine the effects of differing activities on the financial performance and position of the State. It also assists users to identify the resources used in a range of goods and services, and the extent to which the State has recovered the costs o</w:t>
      </w:r>
      <w:r>
        <w:t xml:space="preserve">f those resources from revenues </w:t>
      </w:r>
      <w:r w:rsidRPr="00BB5A73">
        <w:t>attributable to those activities.</w:t>
      </w:r>
    </w:p>
    <w:p w:rsidR="00DF17E9" w:rsidRDefault="00DF17E9" w:rsidP="00044843"/>
    <w:p w:rsidR="00DF17E9" w:rsidRDefault="00DF17E9"/>
    <w:p w:rsidR="00DF17E9" w:rsidRDefault="00DF17E9">
      <w:pPr>
        <w:rPr>
          <w:rFonts w:asciiTheme="majorHAnsi" w:eastAsiaTheme="majorEastAsia" w:hAnsiTheme="majorHAnsi" w:cstheme="majorBidi"/>
          <w:b/>
          <w:bCs/>
          <w:caps/>
          <w:color w:val="0063A6" w:themeColor="accent1"/>
          <w:spacing w:val="-2"/>
          <w:sz w:val="32"/>
          <w:szCs w:val="28"/>
        </w:rPr>
      </w:pPr>
      <w:r>
        <w:br w:type="page"/>
      </w:r>
    </w:p>
    <w:p w:rsidR="00DF17E9" w:rsidRDefault="00DF17E9" w:rsidP="0061682F">
      <w:pPr>
        <w:pStyle w:val="Heading1unnumbered"/>
      </w:pPr>
      <w:bookmarkStart w:id="5" w:name="AG_Report"/>
      <w:r>
        <w:lastRenderedPageBreak/>
        <w:t>Report of the Auditor-General</w:t>
      </w:r>
      <w:bookmarkEnd w:id="5"/>
    </w:p>
    <w:p w:rsidR="007C7EDB" w:rsidRDefault="007C7EDB" w:rsidP="006125C9">
      <w:r>
        <w:rPr>
          <w:noProof/>
          <w:lang w:eastAsia="en-AU"/>
        </w:rPr>
        <w:drawing>
          <wp:inline distT="0" distB="0" distL="0" distR="0">
            <wp:extent cx="5886450" cy="8751709"/>
            <wp:effectExtent l="0" t="0" r="0" b="0"/>
            <wp:docPr id="35" name="Picture 35" descr="R:\FinReports\AFR\archive\Auditor General Report -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FinReports\AFR\archive\Auditor General Report -  page 1.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889520" cy="8756273"/>
                    </a:xfrm>
                    <a:prstGeom prst="rect">
                      <a:avLst/>
                    </a:prstGeom>
                    <a:noFill/>
                    <a:ln>
                      <a:noFill/>
                    </a:ln>
                    <a:extLst>
                      <a:ext uri="{53640926-AAD7-44D8-BBD7-CCE9431645EC}">
                        <a14:shadowObscured xmlns:a14="http://schemas.microsoft.com/office/drawing/2010/main"/>
                      </a:ext>
                    </a:extLst>
                  </pic:spPr>
                </pic:pic>
              </a:graphicData>
            </a:graphic>
          </wp:inline>
        </w:drawing>
      </w:r>
    </w:p>
    <w:p w:rsidR="00DF17E9" w:rsidRDefault="00DF17E9" w:rsidP="0061682F">
      <w:pPr>
        <w:pStyle w:val="Heading1unnumbered"/>
        <w:rPr>
          <w:i/>
          <w:sz w:val="24"/>
        </w:rPr>
      </w:pPr>
      <w:r>
        <w:lastRenderedPageBreak/>
        <w:t xml:space="preserve">Report of the Auditor-General </w:t>
      </w:r>
      <w:r w:rsidRPr="0061682F">
        <w:rPr>
          <w:i/>
          <w:sz w:val="24"/>
        </w:rPr>
        <w:t>(CONTINUED)</w:t>
      </w:r>
    </w:p>
    <w:p w:rsidR="00DF17E9" w:rsidRDefault="00E22D7E" w:rsidP="006125C9">
      <w:r>
        <w:rPr>
          <w:noProof/>
          <w:lang w:eastAsia="en-AU"/>
        </w:rPr>
        <w:drawing>
          <wp:inline distT="0" distB="0" distL="0" distR="0" wp14:anchorId="54B5C640" wp14:editId="5C835EA3">
            <wp:extent cx="6012000" cy="8762763"/>
            <wp:effectExtent l="0" t="0" r="8255" b="635"/>
            <wp:docPr id="36" name="Picture 36" descr="R:\FinReports\AFR\archive\Auditor General Report -  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FinReports\AFR\archive\Auditor General Report -  page 2.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6012000" cy="8762763"/>
                    </a:xfrm>
                    <a:prstGeom prst="rect">
                      <a:avLst/>
                    </a:prstGeom>
                    <a:noFill/>
                    <a:ln>
                      <a:noFill/>
                    </a:ln>
                    <a:extLst>
                      <a:ext uri="{53640926-AAD7-44D8-BBD7-CCE9431645EC}">
                        <a14:shadowObscured xmlns:a14="http://schemas.microsoft.com/office/drawing/2010/main"/>
                      </a:ext>
                    </a:extLst>
                  </pic:spPr>
                </pic:pic>
              </a:graphicData>
            </a:graphic>
          </wp:inline>
        </w:drawing>
      </w:r>
    </w:p>
    <w:p w:rsidR="00DF17E9" w:rsidRDefault="00DF17E9" w:rsidP="0061682F">
      <w:pPr>
        <w:pStyle w:val="Heading1unnumbered"/>
        <w:pageBreakBefore/>
      </w:pPr>
      <w:bookmarkStart w:id="6" w:name="Certification"/>
      <w:r>
        <w:lastRenderedPageBreak/>
        <w:t xml:space="preserve">CERTIFICATION </w:t>
      </w:r>
      <w:bookmarkEnd w:id="6"/>
      <w:r>
        <w:t>BY THE treasurer and the DEPARTMENT OF TREASURY AND FINANCE</w:t>
      </w:r>
    </w:p>
    <w:p w:rsidR="00DF17E9" w:rsidRPr="00F23E76" w:rsidRDefault="00DF17E9" w:rsidP="0061682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financial information provided by the Victorian public sector reporting entities listed herein.</w:t>
      </w:r>
    </w:p>
    <w:p w:rsidR="00DF17E9" w:rsidRPr="00F23E76" w:rsidRDefault="00DF17E9" w:rsidP="0061682F">
      <w:r w:rsidRPr="00F23E76">
        <w:t xml:space="preserve">In our opinion, the </w:t>
      </w:r>
      <w:r w:rsidRPr="00F23E76">
        <w:rPr>
          <w:i/>
        </w:rPr>
        <w:t>Annual Financial Report</w:t>
      </w:r>
      <w:r>
        <w:t xml:space="preserve">, which comprises </w:t>
      </w:r>
      <w:r w:rsidRPr="00F23E76">
        <w:t>the consolidated comprehensive operating statement, consolidated balance sheet, consolidated cash flow statement, consolidated statement of changes in equity, and notes to the financial statements of the State and the Victorian general government sector as at 30</w:t>
      </w:r>
      <w:r>
        <w:t> June 2016</w:t>
      </w:r>
      <w:r w:rsidRPr="00F23E76">
        <w:t>:</w:t>
      </w:r>
    </w:p>
    <w:p w:rsidR="00DF17E9" w:rsidRPr="00F23E76" w:rsidRDefault="00DF17E9" w:rsidP="0061682F">
      <w:pPr>
        <w:ind w:left="567" w:hanging="567"/>
      </w:pPr>
      <w:r w:rsidRPr="00F23E76">
        <w:t>(a)</w:t>
      </w:r>
      <w:r w:rsidRPr="00F23E76">
        <w:tab/>
        <w:t>presents fairly the State</w:t>
      </w:r>
      <w:r>
        <w:t>’s</w:t>
      </w:r>
      <w:r w:rsidRPr="00F23E76">
        <w:t xml:space="preserve"> and the Victorian general government sector</w:t>
      </w:r>
      <w:r>
        <w:t>’</w:t>
      </w:r>
      <w:r w:rsidRPr="00F23E76">
        <w:t>s financ</w:t>
      </w:r>
      <w:r>
        <w:t xml:space="preserve">ial positions as at </w:t>
      </w:r>
      <w:r>
        <w:br/>
        <w:t>30 June 2016</w:t>
      </w:r>
      <w:r w:rsidRPr="00F23E76">
        <w:t xml:space="preserve"> and their financial performance and cash flows for the financial year ended on that date; and</w:t>
      </w:r>
    </w:p>
    <w:p w:rsidR="00DF17E9" w:rsidRPr="00F23E76" w:rsidRDefault="00DF17E9" w:rsidP="0061682F">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rsidR="00DF17E9" w:rsidRPr="00F23E76" w:rsidRDefault="00DF17E9" w:rsidP="0061682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rsidR="00DF17E9" w:rsidRDefault="00DF17E9" w:rsidP="0061682F"/>
    <w:p w:rsidR="00DF17E9" w:rsidRDefault="00DF17E9" w:rsidP="0061682F"/>
    <w:p w:rsidR="00DF17E9" w:rsidRDefault="00150CCA" w:rsidP="00150CCA">
      <w:pPr>
        <w:tabs>
          <w:tab w:val="left" w:pos="4962"/>
        </w:tabs>
      </w:pPr>
      <w:r>
        <w:tab/>
      </w:r>
    </w:p>
    <w:p w:rsidR="00DF17E9" w:rsidRDefault="00DF17E9" w:rsidP="0061682F">
      <w:pPr>
        <w:tabs>
          <w:tab w:val="left" w:pos="5040"/>
        </w:tabs>
        <w:spacing w:after="0"/>
        <w:rPr>
          <w:b/>
        </w:rPr>
      </w:pPr>
      <w:r w:rsidRPr="00F23E76">
        <w:t>Tim Pallas MP</w:t>
      </w:r>
      <w:r w:rsidRPr="00F23E76">
        <w:tab/>
        <w:t>David Martine</w:t>
      </w:r>
      <w:r w:rsidRPr="00F23E76">
        <w:br/>
      </w:r>
      <w:r w:rsidRPr="00F23E76">
        <w:rPr>
          <w:b/>
        </w:rPr>
        <w:t>Treasurer</w:t>
      </w:r>
      <w:r w:rsidRPr="00F23E76">
        <w:rPr>
          <w:b/>
        </w:rPr>
        <w:tab/>
        <w:t>Secretary</w:t>
      </w:r>
    </w:p>
    <w:p w:rsidR="00DF17E9" w:rsidRPr="00F23E76" w:rsidRDefault="00DF17E9" w:rsidP="0061682F"/>
    <w:p w:rsidR="00DF17E9" w:rsidRPr="00F23E76" w:rsidRDefault="00DF17E9" w:rsidP="0061682F">
      <w:pPr>
        <w:spacing w:after="0"/>
      </w:pPr>
      <w:r>
        <w:t>A</w:t>
      </w:r>
      <w:r w:rsidRPr="00F23E76">
        <w:t>uthorised for issue on:</w:t>
      </w:r>
    </w:p>
    <w:p w:rsidR="00DF17E9" w:rsidRPr="00F23E76" w:rsidRDefault="0071162C" w:rsidP="0061682F">
      <w:pPr>
        <w:spacing w:after="0"/>
      </w:pPr>
      <w:r w:rsidRPr="0071162C">
        <w:t>10</w:t>
      </w:r>
      <w:r w:rsidR="00DF17E9" w:rsidRPr="0071162C">
        <w:t xml:space="preserve"> October 2016</w:t>
      </w:r>
    </w:p>
    <w:p w:rsidR="00DF17E9" w:rsidRDefault="00DF17E9" w:rsidP="0061682F"/>
    <w:p w:rsidR="00DF17E9" w:rsidRDefault="00DF17E9" w:rsidP="0061682F"/>
    <w:p w:rsidR="00DF17E9" w:rsidRDefault="00DF17E9" w:rsidP="0061682F"/>
    <w:p w:rsidR="00DF17E9" w:rsidRDefault="00DF17E9" w:rsidP="008976C2"/>
    <w:p w:rsidR="00DF17E9" w:rsidRDefault="00DF17E9">
      <w:pPr>
        <w:sectPr w:rsidR="00DF17E9" w:rsidSect="00A9345E">
          <w:pgSz w:w="11906" w:h="16838" w:code="9"/>
          <w:pgMar w:top="1134" w:right="1134" w:bottom="1134" w:left="1134" w:header="624" w:footer="567" w:gutter="0"/>
          <w:cols w:space="708"/>
          <w:docGrid w:linePitch="360"/>
        </w:sectPr>
      </w:pPr>
    </w:p>
    <w:p w:rsidR="00DF17E9" w:rsidRDefault="00DF17E9" w:rsidP="00725696">
      <w:pPr>
        <w:pStyle w:val="Heading1unnumbered"/>
      </w:pPr>
      <w:bookmarkStart w:id="7" w:name="Consolidated_OS"/>
      <w:r>
        <w:lastRenderedPageBreak/>
        <w:t>Consolidated comprehensive operating statemen</w:t>
      </w:r>
      <w:bookmarkEnd w:id="7"/>
      <w:r>
        <w:t>T</w:t>
      </w:r>
    </w:p>
    <w:p w:rsidR="00DF17E9" w:rsidRPr="00B472D5" w:rsidRDefault="00DF17E9" w:rsidP="00044843">
      <w:pPr>
        <w:pStyle w:val="Subheading"/>
        <w:rPr>
          <w:bCs/>
          <w:lang w:val="en-US" w:eastAsia="en-AU"/>
        </w:rPr>
      </w:pPr>
      <w:r>
        <w:t>For the financial year ended 30 June</w:t>
      </w:r>
      <w:r>
        <w:tab/>
      </w:r>
      <w:r w:rsidRPr="00D71612">
        <w:rPr>
          <w:rStyle w:val="TableUnitsChar"/>
        </w:rPr>
        <w:t>($ million)</w:t>
      </w:r>
    </w:p>
    <w:tbl>
      <w:tblPr>
        <w:tblStyle w:val="TableDTFGeneral"/>
        <w:tblW w:w="9637" w:type="dxa"/>
        <w:tblLayout w:type="fixed"/>
        <w:tblLook w:val="06A0" w:firstRow="1" w:lastRow="0" w:firstColumn="1" w:lastColumn="0" w:noHBand="1" w:noVBand="1"/>
      </w:tblPr>
      <w:tblGrid>
        <w:gridCol w:w="5272"/>
        <w:gridCol w:w="737"/>
        <w:gridCol w:w="907"/>
        <w:gridCol w:w="907"/>
        <w:gridCol w:w="907"/>
        <w:gridCol w:w="907"/>
      </w:tblGrid>
      <w:tr w:rsidR="00A429B9" w:rsidRPr="00B472D5" w:rsidTr="00A42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Pr>
          <w:p w:rsidR="00A429B9" w:rsidRPr="00B472D5" w:rsidRDefault="00A429B9" w:rsidP="00044843">
            <w:pPr>
              <w:ind w:left="0" w:firstLine="0"/>
              <w:rPr>
                <w:color w:val="FFFFFF"/>
              </w:rPr>
            </w:pPr>
            <w:r w:rsidRPr="00B472D5">
              <w:rPr>
                <w:color w:val="FFFFFF"/>
              </w:rPr>
              <w:t xml:space="preserve"> </w:t>
            </w:r>
          </w:p>
        </w:tc>
        <w:tc>
          <w:tcPr>
            <w:tcW w:w="737" w:type="dxa"/>
          </w:tcPr>
          <w:p w:rsidR="00A429B9" w:rsidRPr="00B472D5" w:rsidRDefault="00A429B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 xml:space="preserve"> </w:t>
            </w:r>
          </w:p>
        </w:tc>
        <w:tc>
          <w:tcPr>
            <w:tcW w:w="1814" w:type="dxa"/>
            <w:gridSpan w:val="2"/>
          </w:tcPr>
          <w:p w:rsidR="00A429B9" w:rsidRPr="00B472D5" w:rsidRDefault="00A429B9" w:rsidP="00A429B9">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 xml:space="preserve">State of Victoria </w:t>
            </w:r>
          </w:p>
        </w:tc>
        <w:tc>
          <w:tcPr>
            <w:tcW w:w="1814" w:type="dxa"/>
            <w:gridSpan w:val="2"/>
          </w:tcPr>
          <w:p w:rsidR="00A429B9" w:rsidRPr="00B472D5" w:rsidRDefault="00A429B9" w:rsidP="00A429B9">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 xml:space="preserve">General </w:t>
            </w:r>
            <w:r>
              <w:rPr>
                <w:color w:val="FFFFFF"/>
              </w:rPr>
              <w:br/>
            </w:r>
            <w:r w:rsidRPr="00B472D5">
              <w:rPr>
                <w:color w:val="FFFFFF"/>
              </w:rPr>
              <w:t xml:space="preserve">government sector </w:t>
            </w:r>
          </w:p>
        </w:tc>
      </w:tr>
      <w:tr w:rsidR="00DF17E9" w:rsidRPr="00B472D5"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FFFFFF"/>
              </w:rPr>
            </w:pPr>
            <w:r w:rsidRPr="00B472D5">
              <w:rPr>
                <w:color w:val="FFFFFF"/>
              </w:rPr>
              <w:t xml:space="preserve"> </w:t>
            </w:r>
          </w:p>
        </w:tc>
        <w:tc>
          <w:tcPr>
            <w:tcW w:w="737" w:type="dxa"/>
          </w:tcPr>
          <w:p w:rsidR="00DF17E9" w:rsidRPr="00B472D5"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Notes</w:t>
            </w:r>
          </w:p>
        </w:tc>
        <w:tc>
          <w:tcPr>
            <w:tcW w:w="907" w:type="dxa"/>
            <w:tcBorders>
              <w:bottom w:val="nil"/>
            </w:tcBorders>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2016</w:t>
            </w:r>
          </w:p>
        </w:tc>
        <w:tc>
          <w:tcPr>
            <w:tcW w:w="907" w:type="dxa"/>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2015</w:t>
            </w:r>
          </w:p>
        </w:tc>
        <w:tc>
          <w:tcPr>
            <w:tcW w:w="907" w:type="dxa"/>
            <w:tcBorders>
              <w:bottom w:val="nil"/>
            </w:tcBorders>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2016</w:t>
            </w:r>
          </w:p>
        </w:tc>
        <w:tc>
          <w:tcPr>
            <w:tcW w:w="907" w:type="dxa"/>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b/>
                <w:color w:val="000000"/>
              </w:rPr>
              <w:t>Revenue from transactions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Taxation revenue</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19 446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17 936</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19 896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18 339</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 xml:space="preserve">Interest revenue </w:t>
            </w:r>
            <w:r w:rsidRPr="00B472D5">
              <w:rPr>
                <w:color w:val="000000"/>
                <w:vertAlign w:val="superscript"/>
              </w:rPr>
              <w:t>(a)</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651</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855</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786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827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Dividends and income tax equivalent and rate equivalent revenue</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2.3</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1 159</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768</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848</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1 113</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Sales of goods and services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14 324</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13 906</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6 671</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6 482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pPr>
              <w:ind w:left="0" w:firstLine="0"/>
              <w:rPr>
                <w:color w:val="000000"/>
              </w:rPr>
            </w:pPr>
            <w:r w:rsidRPr="00B472D5">
              <w:rPr>
                <w:color w:val="000000"/>
              </w:rPr>
              <w:t>Grant revenue</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2.5</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25 241</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24 377</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25 406</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24 503</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pPr>
              <w:ind w:left="0" w:firstLine="0"/>
              <w:rPr>
                <w:color w:val="000000"/>
              </w:rPr>
            </w:pPr>
            <w:r w:rsidRPr="00B472D5">
              <w:rPr>
                <w:color w:val="000000"/>
              </w:rPr>
              <w:t>Other revenue</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2.6</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3 835</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3 088</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3 108</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2 508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tcBorders>
          </w:tcPr>
          <w:p w:rsidR="00DF17E9" w:rsidRPr="00B472D5" w:rsidRDefault="00DF17E9" w:rsidP="00044843">
            <w:pPr>
              <w:ind w:left="0" w:firstLine="0"/>
              <w:rPr>
                <w:color w:val="000000"/>
              </w:rPr>
            </w:pPr>
            <w:r w:rsidRPr="00B472D5">
              <w:rPr>
                <w:b/>
                <w:color w:val="000000"/>
              </w:rPr>
              <w:t xml:space="preserve">Total revenue from transactions </w:t>
            </w:r>
            <w:r w:rsidRPr="00B472D5">
              <w:rPr>
                <w:b/>
                <w:color w:val="000000"/>
                <w:vertAlign w:val="superscript"/>
              </w:rPr>
              <w:t>(a)</w:t>
            </w:r>
          </w:p>
        </w:tc>
        <w:tc>
          <w:tcPr>
            <w:tcW w:w="737" w:type="dxa"/>
            <w:tcBorders>
              <w:top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64 657</w:t>
            </w:r>
          </w:p>
        </w:tc>
        <w:tc>
          <w:tcPr>
            <w:tcW w:w="907" w:type="dxa"/>
            <w:tcBorders>
              <w:top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60 929</w:t>
            </w:r>
          </w:p>
        </w:tc>
        <w:tc>
          <w:tcPr>
            <w:tcW w:w="907" w:type="dxa"/>
            <w:tcBorders>
              <w:top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56 716</w:t>
            </w:r>
          </w:p>
        </w:tc>
        <w:tc>
          <w:tcPr>
            <w:tcW w:w="907" w:type="dxa"/>
            <w:tcBorders>
              <w:top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53 772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b/>
                <w:color w:val="000000"/>
              </w:rPr>
              <w:t>Expenses from transactions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Employee expenses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21 066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19 834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20 002</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18 834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Net superannuation interest expense</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880</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1 041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878</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1 038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Other superannuation</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2 254</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2 103</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2 123</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1 978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Depreciation</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4.1.2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4 706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4 454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2 504</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2 425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Interest expense</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5.5</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2 730</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2 867</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2 076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2 102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pPr>
              <w:ind w:left="0" w:firstLine="0"/>
            </w:pPr>
            <w:r w:rsidRPr="00B472D5">
              <w:rPr>
                <w:color w:val="000000"/>
              </w:rPr>
              <w:t xml:space="preserve">Grant expense </w:t>
            </w:r>
            <w:r w:rsidRPr="00B472D5">
              <w:rPr>
                <w:vertAlign w:val="superscript"/>
              </w:rPr>
              <w:t>(b)</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3.3</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5 657</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5 822</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8 564</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8 529</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pPr>
              <w:ind w:left="0" w:firstLine="0"/>
              <w:rPr>
                <w:color w:val="000000"/>
              </w:rPr>
            </w:pPr>
            <w:r w:rsidRPr="00B472D5">
              <w:rPr>
                <w:color w:val="000000"/>
              </w:rPr>
              <w:t>Other operating expenses</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3.4</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25 720</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25 544</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17 905</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17 651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pPr>
              <w:ind w:left="0" w:firstLine="0"/>
              <w:rPr>
                <w:color w:val="000000"/>
              </w:rPr>
            </w:pPr>
            <w:r w:rsidRPr="00B472D5">
              <w:rPr>
                <w:b/>
                <w:color w:val="000000"/>
              </w:rPr>
              <w:t>Total expenses from transactions</w:t>
            </w:r>
          </w:p>
        </w:tc>
        <w:tc>
          <w:tcPr>
            <w:tcW w:w="737" w:type="dxa"/>
            <w:tcBorders>
              <w:top w:val="single" w:sz="6" w:space="0" w:color="auto"/>
              <w:bottom w:val="single" w:sz="6" w:space="0" w:color="auto"/>
            </w:tcBorders>
          </w:tcPr>
          <w:p w:rsidR="00DF17E9" w:rsidRPr="00A44201"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A44201">
              <w:rPr>
                <w:color w:val="000000"/>
              </w:rPr>
              <w:t>3.5, 3.6</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63 012</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61 665</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54 052</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52 558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12" w:space="0" w:color="auto"/>
            </w:tcBorders>
          </w:tcPr>
          <w:p w:rsidR="00DF17E9" w:rsidRPr="00B472D5" w:rsidRDefault="00DF17E9" w:rsidP="00044843">
            <w:pPr>
              <w:ind w:left="0" w:firstLine="0"/>
              <w:rPr>
                <w:color w:val="000000"/>
              </w:rPr>
            </w:pPr>
            <w:r w:rsidRPr="00B472D5">
              <w:rPr>
                <w:b/>
                <w:color w:val="000000"/>
              </w:rPr>
              <w:t xml:space="preserve">Net result from transactions – net operating balance </w:t>
            </w:r>
            <w:r w:rsidRPr="00B472D5">
              <w:rPr>
                <w:b/>
                <w:color w:val="000000"/>
                <w:vertAlign w:val="superscript"/>
              </w:rPr>
              <w:t>(a)</w:t>
            </w:r>
          </w:p>
        </w:tc>
        <w:tc>
          <w:tcPr>
            <w:tcW w:w="737" w:type="dxa"/>
            <w:tcBorders>
              <w:top w:val="single" w:sz="6" w:space="0" w:color="auto"/>
              <w:bottom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1 645</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(736)</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2 664</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1 214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12" w:space="0" w:color="auto"/>
            </w:tcBorders>
          </w:tcPr>
          <w:p w:rsidR="00DF17E9" w:rsidRPr="00B472D5" w:rsidRDefault="00DF17E9" w:rsidP="00044843">
            <w:pPr>
              <w:ind w:left="0" w:firstLine="0"/>
              <w:rPr>
                <w:color w:val="000000"/>
              </w:rPr>
            </w:pPr>
            <w:r w:rsidRPr="00B472D5">
              <w:rPr>
                <w:b/>
                <w:color w:val="000000"/>
              </w:rPr>
              <w:t>Other economic flows included in net result</w:t>
            </w:r>
          </w:p>
        </w:tc>
        <w:tc>
          <w:tcPr>
            <w:tcW w:w="737" w:type="dxa"/>
            <w:tcBorders>
              <w:top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Net gain/(loss) on disposal of non-financial assets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4.1.3</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(148)</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9</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(145)</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32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 xml:space="preserve">Net gain/(loss) on financial assets or liabilities at fair value </w:t>
            </w:r>
            <w:r w:rsidRPr="00B472D5">
              <w:rPr>
                <w:color w:val="000000"/>
                <w:vertAlign w:val="superscript"/>
              </w:rPr>
              <w:t>(a)</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(1 468)</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1 354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(10)</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53</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pPr>
              <w:ind w:left="0" w:firstLine="0"/>
              <w:rPr>
                <w:color w:val="000000"/>
              </w:rPr>
            </w:pPr>
            <w:r w:rsidRPr="00B472D5">
              <w:rPr>
                <w:color w:val="000000"/>
              </w:rPr>
              <w:t>Share of net profit/(loss) from associates/joint venture entities</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(73)</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(30)</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(4)</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(3)</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pPr>
              <w:ind w:left="0" w:firstLine="0"/>
              <w:rPr>
                <w:color w:val="000000"/>
              </w:rPr>
            </w:pPr>
            <w:r w:rsidRPr="00B472D5">
              <w:rPr>
                <w:color w:val="000000"/>
              </w:rPr>
              <w:t>Other gains/(losses) from other economic flows</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9.3</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(1 596)</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(547)</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(688)</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(548)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pPr>
              <w:ind w:left="0" w:firstLine="0"/>
              <w:rPr>
                <w:color w:val="000000"/>
              </w:rPr>
            </w:pPr>
            <w:r w:rsidRPr="00B472D5">
              <w:rPr>
                <w:b/>
                <w:color w:val="000000"/>
              </w:rPr>
              <w:t xml:space="preserve">Total other economic flows included in net result </w:t>
            </w:r>
            <w:r w:rsidRPr="00B472D5">
              <w:rPr>
                <w:b/>
                <w:color w:val="000000"/>
                <w:vertAlign w:val="superscript"/>
              </w:rPr>
              <w:t>(a)</w:t>
            </w:r>
          </w:p>
        </w:tc>
        <w:tc>
          <w:tcPr>
            <w:tcW w:w="737" w:type="dxa"/>
            <w:tcBorders>
              <w:top w:val="single" w:sz="6" w:space="0" w:color="auto"/>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(3 284)</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786</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(847)</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(465)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12" w:space="0" w:color="auto"/>
            </w:tcBorders>
          </w:tcPr>
          <w:p w:rsidR="00DF17E9" w:rsidRPr="00B472D5" w:rsidRDefault="00DF17E9" w:rsidP="00044843">
            <w:pPr>
              <w:ind w:left="0" w:firstLine="0"/>
              <w:rPr>
                <w:color w:val="000000"/>
              </w:rPr>
            </w:pPr>
            <w:r w:rsidRPr="00B472D5">
              <w:rPr>
                <w:b/>
                <w:color w:val="000000"/>
              </w:rPr>
              <w:t>Net result</w:t>
            </w:r>
          </w:p>
        </w:tc>
        <w:tc>
          <w:tcPr>
            <w:tcW w:w="737" w:type="dxa"/>
            <w:tcBorders>
              <w:top w:val="single" w:sz="6" w:space="0" w:color="auto"/>
              <w:bottom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(1 640)</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51</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1 817</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749</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12" w:space="0" w:color="auto"/>
            </w:tcBorders>
          </w:tcPr>
          <w:p w:rsidR="00DF17E9" w:rsidRPr="00B472D5" w:rsidRDefault="00DF17E9" w:rsidP="00044843">
            <w:pPr>
              <w:ind w:left="0" w:firstLine="0"/>
              <w:rPr>
                <w:color w:val="000000"/>
              </w:rPr>
            </w:pPr>
            <w:r w:rsidRPr="00B472D5">
              <w:rPr>
                <w:b/>
                <w:color w:val="000000"/>
              </w:rPr>
              <w:t>Other economic flows – other comprehensive income</w:t>
            </w:r>
          </w:p>
        </w:tc>
        <w:tc>
          <w:tcPr>
            <w:tcW w:w="737" w:type="dxa"/>
            <w:tcBorders>
              <w:top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b/>
                <w:color w:val="000000"/>
              </w:rPr>
              <w:t>Items that will not be reclassified to net result</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Changes in non-financial assets revaluation surplus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17 514</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7 404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6 236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2 524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Remeasurement of superannuation defined benefits plans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3.2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(3 246)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556</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(3 220)</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551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color w:val="000000"/>
              </w:rPr>
              <w:t xml:space="preserve">Other movements in equity </w:t>
            </w:r>
            <w:r w:rsidRPr="00B472D5">
              <w:rPr>
                <w:color w:val="000000"/>
                <w:vertAlign w:val="superscript"/>
              </w:rPr>
              <w:t>(b)(c)</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(193)</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(194)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23</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(173)</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b/>
                <w:color w:val="000000"/>
              </w:rPr>
              <w:t>Items that may be reclassified subsequently to net result</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pPr>
              <w:ind w:left="0" w:firstLine="0"/>
              <w:rPr>
                <w:color w:val="000000"/>
              </w:rPr>
            </w:pPr>
            <w:r w:rsidRPr="00B472D5">
              <w:rPr>
                <w:color w:val="000000"/>
              </w:rPr>
              <w:t>Net gain/(loss) on financial assets at fair value</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(110)</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(10)</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(85)</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(45)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pPr>
              <w:ind w:left="0" w:firstLine="0"/>
              <w:rPr>
                <w:color w:val="000000"/>
              </w:rPr>
            </w:pPr>
            <w:r w:rsidRPr="00B472D5">
              <w:rPr>
                <w:color w:val="000000"/>
              </w:rPr>
              <w:t xml:space="preserve">Net gain/(loss) on equity investments in other sector entities at proportional share of the carrying amount of net assets </w:t>
            </w:r>
            <w:r w:rsidRPr="00B472D5">
              <w:rPr>
                <w:color w:val="000000"/>
                <w:vertAlign w:val="superscript"/>
              </w:rPr>
              <w:t>(b)</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6.1</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10 533</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4 231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pPr>
              <w:ind w:left="0" w:firstLine="0"/>
              <w:rPr>
                <w:color w:val="000000"/>
              </w:rPr>
            </w:pPr>
            <w:r w:rsidRPr="00B472D5">
              <w:rPr>
                <w:b/>
                <w:color w:val="000000"/>
              </w:rPr>
              <w:t xml:space="preserve">Total other economic flows – other comprehensive income </w:t>
            </w:r>
            <w:r w:rsidRPr="00B472D5">
              <w:rPr>
                <w:b/>
                <w:color w:val="000000"/>
                <w:vertAlign w:val="superscript"/>
              </w:rPr>
              <w:t>(b)(c)</w:t>
            </w:r>
          </w:p>
        </w:tc>
        <w:tc>
          <w:tcPr>
            <w:tcW w:w="737" w:type="dxa"/>
            <w:tcBorders>
              <w:top w:val="single" w:sz="6" w:space="0" w:color="auto"/>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13 965</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7 757</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13 486</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7 090</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pPr>
              <w:ind w:left="0" w:firstLine="0"/>
              <w:rPr>
                <w:color w:val="000000"/>
              </w:rPr>
            </w:pPr>
            <w:r w:rsidRPr="00B472D5">
              <w:rPr>
                <w:b/>
                <w:color w:val="000000"/>
              </w:rPr>
              <w:t xml:space="preserve">Comprehensive result – total change in net worth </w:t>
            </w:r>
            <w:r w:rsidRPr="00B472D5">
              <w:rPr>
                <w:b/>
                <w:color w:val="000000"/>
                <w:vertAlign w:val="superscript"/>
              </w:rPr>
              <w:t>(b)(c)</w:t>
            </w:r>
          </w:p>
        </w:tc>
        <w:tc>
          <w:tcPr>
            <w:tcW w:w="737" w:type="dxa"/>
            <w:tcBorders>
              <w:top w:val="single" w:sz="6" w:space="0" w:color="auto"/>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12 325</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7 807</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15 303</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7 839</w:t>
            </w:r>
          </w:p>
        </w:tc>
      </w:tr>
      <w:tr w:rsidR="00DF17E9" w:rsidRPr="00B472D5"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tcBorders>
          </w:tcPr>
          <w:p w:rsidR="00DF17E9" w:rsidRPr="00B472D5" w:rsidRDefault="00DF17E9" w:rsidP="00044843">
            <w:pPr>
              <w:ind w:left="0" w:firstLine="0"/>
              <w:rPr>
                <w:color w:val="000000"/>
              </w:rPr>
            </w:pPr>
            <w:r w:rsidRPr="00B472D5">
              <w:rPr>
                <w:color w:val="000000"/>
              </w:rPr>
              <w:t xml:space="preserve"> </w:t>
            </w:r>
          </w:p>
        </w:tc>
        <w:tc>
          <w:tcPr>
            <w:tcW w:w="737" w:type="dxa"/>
            <w:tcBorders>
              <w:top w:val="single" w:sz="6" w:space="0" w:color="auto"/>
            </w:tcBorders>
          </w:tcPr>
          <w:p w:rsidR="00DF17E9" w:rsidRPr="00B472D5"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tcBorders>
              <w:top w:val="single" w:sz="6" w:space="0" w:color="auto"/>
            </w:tcBorders>
            <w:shd w:val="clear" w:color="auto" w:fill="EBEBEB" w:themeFill="background2"/>
          </w:tcPr>
          <w:p w:rsidR="00DF17E9" w:rsidRPr="00B472D5"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tcBorders>
              <w:top w:val="single" w:sz="6" w:space="0" w:color="auto"/>
            </w:tcBorders>
          </w:tcPr>
          <w:p w:rsidR="00DF17E9" w:rsidRPr="00B472D5"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tcBorders>
              <w:top w:val="single" w:sz="6" w:space="0" w:color="auto"/>
            </w:tcBorders>
            <w:shd w:val="clear" w:color="auto" w:fill="EBEBEB" w:themeFill="background2"/>
          </w:tcPr>
          <w:p w:rsidR="00DF17E9" w:rsidRPr="00B472D5"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c>
          <w:tcPr>
            <w:tcW w:w="907" w:type="dxa"/>
            <w:tcBorders>
              <w:top w:val="single" w:sz="6" w:space="0" w:color="auto"/>
            </w:tcBorders>
          </w:tcPr>
          <w:p w:rsidR="00DF17E9" w:rsidRPr="00B472D5"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ind w:left="0" w:firstLine="0"/>
              <w:rPr>
                <w:color w:val="000000"/>
              </w:rPr>
            </w:pPr>
            <w:r w:rsidRPr="00B472D5">
              <w:rPr>
                <w:b/>
                <w:color w:val="000000"/>
              </w:rPr>
              <w:t>KEY FISCAL AGGREGATES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pPr>
              <w:ind w:left="0" w:firstLine="0"/>
              <w:rPr>
                <w:color w:val="000000"/>
              </w:rPr>
            </w:pPr>
            <w:r w:rsidRPr="00B472D5">
              <w:rPr>
                <w:b/>
                <w:color w:val="000000"/>
              </w:rPr>
              <w:t xml:space="preserve">Net operating balance </w:t>
            </w:r>
            <w:r w:rsidRPr="00B472D5">
              <w:rPr>
                <w:b/>
                <w:color w:val="000000"/>
                <w:vertAlign w:val="superscript"/>
              </w:rPr>
              <w:t>(a)</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1 645</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(736)</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2 664</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1 214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pPr>
              <w:ind w:left="0" w:firstLine="0"/>
              <w:rPr>
                <w:color w:val="000000"/>
              </w:rPr>
            </w:pPr>
            <w:r w:rsidRPr="00B472D5">
              <w:rPr>
                <w:color w:val="000000"/>
              </w:rPr>
              <w:t xml:space="preserve">Less: Net acquisition of non-financial assets from transactions </w:t>
            </w:r>
            <w:r w:rsidRPr="00B472D5">
              <w:rPr>
                <w:color w:val="000000"/>
                <w:vertAlign w:val="superscript"/>
              </w:rPr>
              <w:t>(c)</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9.1</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2 912</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color w:val="000000"/>
              </w:rPr>
              <w:t>1 791</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788</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color w:val="000000"/>
              </w:rPr>
              <w:t>277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12" w:space="0" w:color="auto"/>
            </w:tcBorders>
          </w:tcPr>
          <w:p w:rsidR="00DF17E9" w:rsidRPr="00B472D5" w:rsidRDefault="00DF17E9" w:rsidP="00044843">
            <w:pPr>
              <w:ind w:left="0" w:firstLine="0"/>
              <w:rPr>
                <w:color w:val="000000"/>
              </w:rPr>
            </w:pPr>
            <w:r w:rsidRPr="00B472D5">
              <w:rPr>
                <w:b/>
                <w:color w:val="000000"/>
              </w:rPr>
              <w:t xml:space="preserve">Net lending/(borrowing) </w:t>
            </w:r>
            <w:r w:rsidRPr="00B472D5">
              <w:rPr>
                <w:b/>
                <w:color w:val="000000"/>
                <w:vertAlign w:val="superscript"/>
              </w:rPr>
              <w:t>(a)(c)</w:t>
            </w:r>
          </w:p>
        </w:tc>
        <w:tc>
          <w:tcPr>
            <w:tcW w:w="737" w:type="dxa"/>
            <w:tcBorders>
              <w:top w:val="single" w:sz="6" w:space="0" w:color="auto"/>
              <w:bottom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 xml:space="preserve"> </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(1 267)</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(2 527)</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B472D5">
              <w:rPr>
                <w:b/>
                <w:color w:val="000000"/>
              </w:rPr>
              <w:t>1 876</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rPr>
                <w:b/>
                <w:color w:val="000000"/>
              </w:rPr>
              <w:t>937</w:t>
            </w:r>
          </w:p>
        </w:tc>
      </w:tr>
    </w:tbl>
    <w:p w:rsidR="00DF17E9" w:rsidRDefault="00DF17E9" w:rsidP="00044843">
      <w:pPr>
        <w:pStyle w:val="Source"/>
      </w:pPr>
      <w:r w:rsidRPr="004F2F5C">
        <w:t>The accompanying notes form part of these financial statements.</w:t>
      </w:r>
    </w:p>
    <w:p w:rsidR="00DF17E9" w:rsidRPr="002B2F27" w:rsidRDefault="00DF17E9" w:rsidP="00044843">
      <w:pPr>
        <w:pStyle w:val="Note"/>
      </w:pPr>
      <w:r w:rsidRPr="002B2F27">
        <w:t>Notes:</w:t>
      </w:r>
    </w:p>
    <w:p w:rsidR="00DF17E9" w:rsidRPr="002B2F27" w:rsidRDefault="00DF17E9" w:rsidP="00044843">
      <w:pPr>
        <w:pStyle w:val="Note"/>
      </w:pPr>
      <w:r w:rsidRPr="002B2F27">
        <w:t>(a)</w:t>
      </w:r>
      <w:r w:rsidRPr="002B2F27">
        <w:tab/>
      </w:r>
      <w:r w:rsidRPr="00D34E7A">
        <w:t>June 2015 comparative figures have been restated to more consistently reflect the classification of insurance entities' investment income between years.</w:t>
      </w:r>
    </w:p>
    <w:p w:rsidR="00DF17E9" w:rsidRPr="002B2F27" w:rsidRDefault="00DF17E9" w:rsidP="00044843">
      <w:pPr>
        <w:pStyle w:val="Note"/>
      </w:pPr>
      <w:r w:rsidRPr="002B2F27">
        <w:t>(b)</w:t>
      </w:r>
      <w:r w:rsidRPr="002B2F27">
        <w:tab/>
      </w:r>
      <w:r w:rsidRPr="00D34E7A">
        <w:t>June 2015 comparative figures have been restated to reflect an adjustment to Coliban Water’s deferred tax liability balances in the PNFC sector attributable to a change in valuation policy in 2015-16.</w:t>
      </w:r>
    </w:p>
    <w:p w:rsidR="00DF17E9" w:rsidRPr="002B2F27" w:rsidRDefault="00DF17E9" w:rsidP="00044843">
      <w:pPr>
        <w:pStyle w:val="Note"/>
      </w:pPr>
      <w:r w:rsidRPr="002B2F27">
        <w:t>(c)</w:t>
      </w:r>
      <w:r w:rsidRPr="002B2F27">
        <w:tab/>
      </w:r>
      <w:r w:rsidRPr="00D34E7A">
        <w:t>June 2015 comparative figures have been restated to finalise the allocation of equity balances between contributed capital and accumulated funds related to prior year machinery of government changes.</w:t>
      </w:r>
    </w:p>
    <w:p w:rsidR="00DF17E9" w:rsidRPr="007575FF" w:rsidRDefault="00DF17E9" w:rsidP="007575FF">
      <w:pPr>
        <w:pStyle w:val="Heading1unnumbered"/>
      </w:pPr>
      <w:r>
        <w:br w:type="page"/>
      </w:r>
      <w:bookmarkStart w:id="8" w:name="Consolidated_BS"/>
      <w:r>
        <w:lastRenderedPageBreak/>
        <w:t>Consolidated Balance Sheet</w:t>
      </w:r>
      <w:bookmarkEnd w:id="8"/>
    </w:p>
    <w:p w:rsidR="00DF17E9" w:rsidRPr="00B472D5" w:rsidRDefault="00DF17E9" w:rsidP="00044843">
      <w:pPr>
        <w:pStyle w:val="Subheading"/>
        <w:rPr>
          <w:b w:val="0"/>
          <w:bCs/>
          <w:lang w:val="en-US"/>
        </w:rPr>
      </w:pPr>
      <w:r>
        <w:t>As at 30 June</w:t>
      </w:r>
      <w:r>
        <w:tab/>
      </w:r>
      <w:r w:rsidRPr="00D71612">
        <w:rPr>
          <w:rStyle w:val="TableUnitsChar"/>
        </w:rPr>
        <w:t>($ million)</w:t>
      </w:r>
    </w:p>
    <w:tbl>
      <w:tblPr>
        <w:tblStyle w:val="TableDTFGeneral"/>
        <w:tblW w:w="9638" w:type="dxa"/>
        <w:tblLayout w:type="fixed"/>
        <w:tblLook w:val="06A0" w:firstRow="1" w:lastRow="0" w:firstColumn="1" w:lastColumn="0" w:noHBand="1" w:noVBand="1"/>
      </w:tblPr>
      <w:tblGrid>
        <w:gridCol w:w="5272"/>
        <w:gridCol w:w="737"/>
        <w:gridCol w:w="907"/>
        <w:gridCol w:w="907"/>
        <w:gridCol w:w="907"/>
        <w:gridCol w:w="908"/>
      </w:tblGrid>
      <w:tr w:rsidR="00A429B9" w:rsidRPr="00B472D5" w:rsidTr="00A42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Pr>
          <w:p w:rsidR="00A429B9" w:rsidRPr="00B472D5" w:rsidRDefault="00A429B9" w:rsidP="00044843">
            <w:pPr>
              <w:rPr>
                <w:color w:val="FFFFFF"/>
              </w:rPr>
            </w:pPr>
            <w:r w:rsidRPr="00B472D5">
              <w:rPr>
                <w:color w:val="FFFFFF"/>
              </w:rPr>
              <w:t xml:space="preserve"> </w:t>
            </w:r>
          </w:p>
        </w:tc>
        <w:tc>
          <w:tcPr>
            <w:tcW w:w="737" w:type="dxa"/>
          </w:tcPr>
          <w:p w:rsidR="00A429B9" w:rsidRPr="00B472D5" w:rsidRDefault="00A429B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 xml:space="preserve"> </w:t>
            </w:r>
          </w:p>
        </w:tc>
        <w:tc>
          <w:tcPr>
            <w:tcW w:w="1814" w:type="dxa"/>
            <w:gridSpan w:val="2"/>
          </w:tcPr>
          <w:p w:rsidR="00A429B9" w:rsidRPr="00B472D5" w:rsidRDefault="00A429B9" w:rsidP="00A429B9">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 xml:space="preserve">State of Victoria </w:t>
            </w:r>
          </w:p>
        </w:tc>
        <w:tc>
          <w:tcPr>
            <w:tcW w:w="1815" w:type="dxa"/>
            <w:gridSpan w:val="2"/>
          </w:tcPr>
          <w:p w:rsidR="00A429B9" w:rsidRPr="00B472D5" w:rsidRDefault="00A429B9" w:rsidP="00A429B9">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 xml:space="preserve">General </w:t>
            </w:r>
            <w:r>
              <w:rPr>
                <w:color w:val="FFFFFF"/>
              </w:rPr>
              <w:br/>
              <w:t>government sector</w:t>
            </w:r>
          </w:p>
        </w:tc>
      </w:tr>
      <w:tr w:rsidR="00DF17E9" w:rsidRPr="00B472D5"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rPr>
                <w:color w:val="FFFFFF"/>
              </w:rPr>
            </w:pPr>
            <w:r w:rsidRPr="00B472D5">
              <w:rPr>
                <w:color w:val="FFFFFF"/>
              </w:rPr>
              <w:t xml:space="preserve"> </w:t>
            </w:r>
          </w:p>
        </w:tc>
        <w:tc>
          <w:tcPr>
            <w:tcW w:w="737" w:type="dxa"/>
          </w:tcPr>
          <w:p w:rsidR="00DF17E9" w:rsidRPr="00B472D5"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Notes</w:t>
            </w:r>
          </w:p>
        </w:tc>
        <w:tc>
          <w:tcPr>
            <w:tcW w:w="907" w:type="dxa"/>
            <w:tcBorders>
              <w:bottom w:val="nil"/>
            </w:tcBorders>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2016</w:t>
            </w:r>
          </w:p>
        </w:tc>
        <w:tc>
          <w:tcPr>
            <w:tcW w:w="907" w:type="dxa"/>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2015</w:t>
            </w:r>
          </w:p>
        </w:tc>
        <w:tc>
          <w:tcPr>
            <w:tcW w:w="907" w:type="dxa"/>
            <w:tcBorders>
              <w:bottom w:val="nil"/>
            </w:tcBorders>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2016</w:t>
            </w:r>
          </w:p>
        </w:tc>
        <w:tc>
          <w:tcPr>
            <w:tcW w:w="908" w:type="dxa"/>
          </w:tcPr>
          <w:p w:rsidR="00DF17E9" w:rsidRPr="00B472D5"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B472D5">
              <w:rPr>
                <w:color w:val="FFFFFF"/>
              </w:rPr>
              <w:t>2015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rPr>
                <w:b/>
              </w:rPr>
            </w:pPr>
            <w:r w:rsidRPr="00B472D5">
              <w:rPr>
                <w:b/>
              </w:rPr>
              <w:t>Assets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rPr>
                <w:b/>
              </w:rPr>
            </w:pPr>
            <w:r w:rsidRPr="00B472D5">
              <w:rPr>
                <w:b/>
              </w:rPr>
              <w:t>Financial assets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Cash and deposits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5.3</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6 676</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6 521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4 772</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4 282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Advances paid</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5.4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153</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121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4 582</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4 572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 xml:space="preserve">Receivables </w:t>
            </w:r>
            <w:r w:rsidRPr="00B472D5">
              <w:rPr>
                <w:vertAlign w:val="superscript"/>
              </w:rPr>
              <w:t>(a)</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6.3</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7 793</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6 870</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5 566</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5 555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Investments, loans and placements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5.4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35 534</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34 317</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2 853</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3 406</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r w:rsidRPr="00B472D5">
              <w:t>Investments accounted for using the equity method</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4.4.2</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1 918</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2 021</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46</w:t>
            </w:r>
          </w:p>
        </w:tc>
        <w:tc>
          <w:tcPr>
            <w:tcW w:w="908"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r w:rsidRPr="00B472D5">
              <w:t xml:space="preserve">Investments in other sector entities </w:t>
            </w:r>
            <w:r w:rsidRPr="00B472D5">
              <w:rPr>
                <w:vertAlign w:val="superscript"/>
              </w:rPr>
              <w:t>(a)</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6.1</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94 710</w:t>
            </w:r>
          </w:p>
        </w:tc>
        <w:tc>
          <w:tcPr>
            <w:tcW w:w="908"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82 262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r w:rsidRPr="00B472D5">
              <w:rPr>
                <w:b/>
              </w:rPr>
              <w:t xml:space="preserve">Total financial assets </w:t>
            </w:r>
            <w:r w:rsidRPr="00B472D5">
              <w:rPr>
                <w:vertAlign w:val="superscript"/>
              </w:rPr>
              <w:t>(a)</w:t>
            </w:r>
          </w:p>
        </w:tc>
        <w:tc>
          <w:tcPr>
            <w:tcW w:w="737" w:type="dxa"/>
            <w:tcBorders>
              <w:top w:val="single" w:sz="6" w:space="0" w:color="auto"/>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52 074</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49 851</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112 531</w:t>
            </w:r>
          </w:p>
        </w:tc>
        <w:tc>
          <w:tcPr>
            <w:tcW w:w="908"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100 121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tcBorders>
          </w:tcPr>
          <w:p w:rsidR="00DF17E9" w:rsidRPr="00B472D5" w:rsidRDefault="00DF17E9" w:rsidP="00044843">
            <w:pPr>
              <w:rPr>
                <w:b/>
              </w:rPr>
            </w:pPr>
            <w:r w:rsidRPr="00B472D5">
              <w:rPr>
                <w:b/>
              </w:rPr>
              <w:t>Non-financial assets</w:t>
            </w:r>
          </w:p>
        </w:tc>
        <w:tc>
          <w:tcPr>
            <w:tcW w:w="737" w:type="dxa"/>
            <w:tcBorders>
              <w:top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tcBorders>
              <w:top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tcBorders>
              <w:top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tcBorders>
              <w:top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8" w:type="dxa"/>
            <w:tcBorders>
              <w:top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Inventories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6.2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709</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710</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188</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144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Non-financial assets held for sale</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4.3</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200</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205</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188</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175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r w:rsidRPr="00B472D5">
              <w:t xml:space="preserve">Land, buildings, infrastructure, plant and equipment </w:t>
            </w:r>
            <w:r w:rsidRPr="00B472D5">
              <w:rPr>
                <w:vertAlign w:val="superscript"/>
              </w:rPr>
              <w:t>(b)</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4.1.1</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226 557</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206 949</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114 254</w:t>
            </w:r>
          </w:p>
        </w:tc>
        <w:tc>
          <w:tcPr>
            <w:tcW w:w="908"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107 562</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r w:rsidRPr="00B472D5">
              <w:t>Other non-financial assets</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4.2</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2 363</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2 127</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1 081</w:t>
            </w:r>
          </w:p>
        </w:tc>
        <w:tc>
          <w:tcPr>
            <w:tcW w:w="908"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1 038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r w:rsidRPr="00B472D5">
              <w:rPr>
                <w:b/>
              </w:rPr>
              <w:t xml:space="preserve">Total non-financial assets </w:t>
            </w:r>
            <w:r w:rsidRPr="00B472D5">
              <w:rPr>
                <w:vertAlign w:val="superscript"/>
              </w:rPr>
              <w:t>(b)</w:t>
            </w:r>
          </w:p>
        </w:tc>
        <w:tc>
          <w:tcPr>
            <w:tcW w:w="737" w:type="dxa"/>
            <w:tcBorders>
              <w:top w:val="single" w:sz="6" w:space="0" w:color="auto"/>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229 829</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209 991</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115 711</w:t>
            </w:r>
          </w:p>
        </w:tc>
        <w:tc>
          <w:tcPr>
            <w:tcW w:w="908"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108 920</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tcBorders>
          </w:tcPr>
          <w:p w:rsidR="00DF17E9" w:rsidRPr="00B472D5" w:rsidRDefault="00DF17E9" w:rsidP="00044843">
            <w:r w:rsidRPr="00B472D5">
              <w:rPr>
                <w:b/>
              </w:rPr>
              <w:t xml:space="preserve">Total assets </w:t>
            </w:r>
            <w:r w:rsidRPr="00B472D5">
              <w:rPr>
                <w:vertAlign w:val="superscript"/>
              </w:rPr>
              <w:t>(a)(b)</w:t>
            </w:r>
          </w:p>
        </w:tc>
        <w:tc>
          <w:tcPr>
            <w:tcW w:w="737" w:type="dxa"/>
            <w:tcBorders>
              <w:top w:val="single" w:sz="6" w:space="0" w:color="auto"/>
            </w:tcBorders>
          </w:tcPr>
          <w:p w:rsidR="00DF17E9" w:rsidRPr="00A44201"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A44201">
              <w:t>3.6</w:t>
            </w:r>
          </w:p>
        </w:tc>
        <w:tc>
          <w:tcPr>
            <w:tcW w:w="907" w:type="dxa"/>
            <w:tcBorders>
              <w:top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281 903</w:t>
            </w:r>
          </w:p>
        </w:tc>
        <w:tc>
          <w:tcPr>
            <w:tcW w:w="907" w:type="dxa"/>
            <w:tcBorders>
              <w:top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259 841</w:t>
            </w:r>
          </w:p>
        </w:tc>
        <w:tc>
          <w:tcPr>
            <w:tcW w:w="907" w:type="dxa"/>
            <w:tcBorders>
              <w:top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228 242</w:t>
            </w:r>
          </w:p>
        </w:tc>
        <w:tc>
          <w:tcPr>
            <w:tcW w:w="908" w:type="dxa"/>
            <w:tcBorders>
              <w:top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209 041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rPr>
                <w:b/>
              </w:rPr>
            </w:pPr>
            <w:r w:rsidRPr="00B472D5">
              <w:rPr>
                <w:b/>
              </w:rPr>
              <w:t>Liabilities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 xml:space="preserve">Deposits held and advances received </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5.2</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2 628</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2 320</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706</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518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Payables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6.4</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7 937</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7 591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5 773</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5 704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Borrowings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5.1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53 959</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51 688</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33 811</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34 069</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Employee benefits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3.1</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6 647</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6 076</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6 137</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5 605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r w:rsidRPr="00B472D5">
              <w:t>Superannuation</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6.5</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29 354</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25 988</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29 291</w:t>
            </w:r>
          </w:p>
        </w:tc>
        <w:tc>
          <w:tcPr>
            <w:tcW w:w="908"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25 947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r w:rsidRPr="00B472D5">
              <w:t>Other provisions</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6.6</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29 085</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26 213</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829</w:t>
            </w:r>
          </w:p>
        </w:tc>
        <w:tc>
          <w:tcPr>
            <w:tcW w:w="908"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807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6" w:space="0" w:color="auto"/>
            </w:tcBorders>
          </w:tcPr>
          <w:p w:rsidR="00DF17E9" w:rsidRPr="00B472D5" w:rsidRDefault="00DF17E9" w:rsidP="00044843">
            <w:pPr>
              <w:rPr>
                <w:b/>
              </w:rPr>
            </w:pPr>
            <w:r w:rsidRPr="00B472D5">
              <w:rPr>
                <w:b/>
              </w:rPr>
              <w:t>Total liabilities</w:t>
            </w:r>
          </w:p>
        </w:tc>
        <w:tc>
          <w:tcPr>
            <w:tcW w:w="737" w:type="dxa"/>
            <w:tcBorders>
              <w:top w:val="single" w:sz="6" w:space="0" w:color="auto"/>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highlight w:val="yellow"/>
              </w:rPr>
              <w:t xml:space="preserve"> </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129 611</w:t>
            </w:r>
          </w:p>
        </w:tc>
        <w:tc>
          <w:tcPr>
            <w:tcW w:w="907"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119 876</w:t>
            </w:r>
          </w:p>
        </w:tc>
        <w:tc>
          <w:tcPr>
            <w:tcW w:w="907" w:type="dxa"/>
            <w:tcBorders>
              <w:top w:val="single" w:sz="6" w:space="0" w:color="auto"/>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76 547</w:t>
            </w:r>
          </w:p>
        </w:tc>
        <w:tc>
          <w:tcPr>
            <w:tcW w:w="908" w:type="dxa"/>
            <w:tcBorders>
              <w:top w:val="single" w:sz="6" w:space="0" w:color="auto"/>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72 650</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12" w:space="0" w:color="auto"/>
            </w:tcBorders>
          </w:tcPr>
          <w:p w:rsidR="00DF17E9" w:rsidRPr="00B472D5" w:rsidRDefault="00DF17E9" w:rsidP="00044843">
            <w:r w:rsidRPr="00B472D5">
              <w:rPr>
                <w:b/>
              </w:rPr>
              <w:t xml:space="preserve">Net assets </w:t>
            </w:r>
            <w:r w:rsidRPr="00B472D5">
              <w:rPr>
                <w:vertAlign w:val="superscript"/>
              </w:rPr>
              <w:t>(a)(b)</w:t>
            </w:r>
          </w:p>
        </w:tc>
        <w:tc>
          <w:tcPr>
            <w:tcW w:w="737" w:type="dxa"/>
            <w:tcBorders>
              <w:top w:val="single" w:sz="6" w:space="0" w:color="auto"/>
              <w:bottom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highlight w:val="yellow"/>
              </w:rPr>
              <w:t xml:space="preserve"> </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152 291</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139 966</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151 695</w:t>
            </w:r>
          </w:p>
        </w:tc>
        <w:tc>
          <w:tcPr>
            <w:tcW w:w="908"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136 391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12" w:space="0" w:color="auto"/>
            </w:tcBorders>
          </w:tcPr>
          <w:p w:rsidR="00DF17E9" w:rsidRPr="00B472D5" w:rsidRDefault="00DF17E9" w:rsidP="00044843">
            <w:r w:rsidRPr="00B472D5">
              <w:t>Accumulated surplus/(deficit)</w:t>
            </w:r>
            <w:r w:rsidRPr="00B472D5">
              <w:rPr>
                <w:vertAlign w:val="superscript"/>
              </w:rPr>
              <w:t xml:space="preserve"> (a)(b)</w:t>
            </w:r>
          </w:p>
        </w:tc>
        <w:tc>
          <w:tcPr>
            <w:tcW w:w="737" w:type="dxa"/>
            <w:tcBorders>
              <w:top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highlight w:val="yellow"/>
              </w:rPr>
            </w:pPr>
            <w:r w:rsidRPr="00B472D5">
              <w:rPr>
                <w:highlight w:val="yellow"/>
              </w:rPr>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56 234</w:t>
            </w:r>
          </w:p>
        </w:tc>
        <w:tc>
          <w:tcPr>
            <w:tcW w:w="907"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61 285</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44 454</w:t>
            </w:r>
          </w:p>
        </w:tc>
        <w:tc>
          <w:tcPr>
            <w:tcW w:w="908"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45 764</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r w:rsidRPr="00B472D5">
              <w:t xml:space="preserve">Reserves </w:t>
            </w:r>
            <w:r w:rsidRPr="00B472D5">
              <w:rPr>
                <w:vertAlign w:val="superscript"/>
              </w:rPr>
              <w:t>(a)</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highlight w:val="yellow"/>
              </w:rPr>
            </w:pPr>
            <w:r w:rsidRPr="00B472D5">
              <w:rPr>
                <w:highlight w:val="yellow"/>
              </w:rPr>
              <w:t xml:space="preserve"> </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96 008</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78 630</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107 191</w:t>
            </w:r>
          </w:p>
        </w:tc>
        <w:tc>
          <w:tcPr>
            <w:tcW w:w="908"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90 577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6" w:space="0" w:color="auto"/>
            </w:tcBorders>
          </w:tcPr>
          <w:p w:rsidR="00DF17E9" w:rsidRPr="00B472D5" w:rsidRDefault="00DF17E9" w:rsidP="00044843">
            <w:r w:rsidRPr="00B472D5">
              <w:t>Non-controlling interest</w:t>
            </w:r>
          </w:p>
        </w:tc>
        <w:tc>
          <w:tcPr>
            <w:tcW w:w="737" w:type="dxa"/>
            <w:tcBorders>
              <w:bottom w:val="single" w:sz="6"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rPr>
                <w:highlight w:val="yellow"/>
              </w:rPr>
            </w:pPr>
            <w:r w:rsidRPr="00B472D5">
              <w:rPr>
                <w:highlight w:val="yellow"/>
              </w:rPr>
              <w:t xml:space="preserve"> </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50</w:t>
            </w:r>
          </w:p>
        </w:tc>
        <w:tc>
          <w:tcPr>
            <w:tcW w:w="907"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50</w:t>
            </w:r>
          </w:p>
        </w:tc>
        <w:tc>
          <w:tcPr>
            <w:tcW w:w="907" w:type="dxa"/>
            <w:tcBorders>
              <w:bottom w:val="single" w:sz="6"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50</w:t>
            </w:r>
          </w:p>
        </w:tc>
        <w:tc>
          <w:tcPr>
            <w:tcW w:w="908" w:type="dxa"/>
            <w:tcBorders>
              <w:bottom w:val="single" w:sz="6"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50</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bottom w:val="single" w:sz="12" w:space="0" w:color="auto"/>
            </w:tcBorders>
          </w:tcPr>
          <w:p w:rsidR="00DF17E9" w:rsidRPr="00B472D5" w:rsidRDefault="00DF17E9" w:rsidP="00044843">
            <w:r w:rsidRPr="00B472D5">
              <w:rPr>
                <w:b/>
              </w:rPr>
              <w:t>Net worth</w:t>
            </w:r>
            <w:r w:rsidRPr="00B472D5">
              <w:rPr>
                <w:b/>
                <w:vertAlign w:val="superscript"/>
              </w:rPr>
              <w:t xml:space="preserve"> </w:t>
            </w:r>
            <w:r w:rsidRPr="00B472D5">
              <w:rPr>
                <w:vertAlign w:val="superscript"/>
              </w:rPr>
              <w:t>(a)(b)</w:t>
            </w:r>
          </w:p>
        </w:tc>
        <w:tc>
          <w:tcPr>
            <w:tcW w:w="737" w:type="dxa"/>
            <w:tcBorders>
              <w:top w:val="single" w:sz="6" w:space="0" w:color="auto"/>
              <w:bottom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highlight w:val="yellow"/>
              </w:rPr>
              <w:t xml:space="preserve"> </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152 291</w:t>
            </w:r>
          </w:p>
        </w:tc>
        <w:tc>
          <w:tcPr>
            <w:tcW w:w="907"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139 966</w:t>
            </w:r>
          </w:p>
        </w:tc>
        <w:tc>
          <w:tcPr>
            <w:tcW w:w="907" w:type="dxa"/>
            <w:tcBorders>
              <w:top w:val="single" w:sz="6" w:space="0" w:color="auto"/>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151 695</w:t>
            </w:r>
          </w:p>
        </w:tc>
        <w:tc>
          <w:tcPr>
            <w:tcW w:w="908" w:type="dxa"/>
            <w:tcBorders>
              <w:top w:val="single" w:sz="6" w:space="0" w:color="auto"/>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136 391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top w:val="single" w:sz="12" w:space="0" w:color="auto"/>
            </w:tcBorders>
          </w:tcPr>
          <w:p w:rsidR="00DF17E9" w:rsidRPr="00B472D5" w:rsidRDefault="00DF17E9" w:rsidP="00044843">
            <w:r w:rsidRPr="00B472D5">
              <w:t xml:space="preserve"> </w:t>
            </w:r>
          </w:p>
        </w:tc>
        <w:tc>
          <w:tcPr>
            <w:tcW w:w="737" w:type="dxa"/>
            <w:tcBorders>
              <w:top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7"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7" w:type="dxa"/>
            <w:tcBorders>
              <w:top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8" w:type="dxa"/>
            <w:tcBorders>
              <w:top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pPr>
              <w:rPr>
                <w:b/>
              </w:rPr>
            </w:pPr>
            <w:r w:rsidRPr="00B472D5">
              <w:rPr>
                <w:b/>
              </w:rPr>
              <w:t>FISCAL AGGREGATES</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rPr>
                <w:b/>
              </w:rPr>
            </w:pPr>
            <w:r w:rsidRPr="00B472D5">
              <w:rPr>
                <w:b/>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Pr>
          <w:p w:rsidR="00DF17E9" w:rsidRPr="00B472D5" w:rsidRDefault="00DF17E9" w:rsidP="00044843">
            <w:r w:rsidRPr="00B472D5">
              <w:t xml:space="preserve">Net financial worth </w:t>
            </w:r>
            <w:r w:rsidRPr="00B472D5">
              <w:rPr>
                <w:vertAlign w:val="superscript"/>
              </w:rPr>
              <w:t>(a)(b)</w:t>
            </w:r>
          </w:p>
        </w:tc>
        <w:tc>
          <w:tcPr>
            <w:tcW w:w="737" w:type="dxa"/>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(77 538)</w:t>
            </w:r>
          </w:p>
        </w:tc>
        <w:tc>
          <w:tcPr>
            <w:tcW w:w="907"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(70 025)</w:t>
            </w:r>
          </w:p>
        </w:tc>
        <w:tc>
          <w:tcPr>
            <w:tcW w:w="907" w:type="dxa"/>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35 984</w:t>
            </w:r>
          </w:p>
        </w:tc>
        <w:tc>
          <w:tcPr>
            <w:tcW w:w="908" w:type="dxa"/>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27 471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nil"/>
            </w:tcBorders>
          </w:tcPr>
          <w:p w:rsidR="00DF17E9" w:rsidRPr="00B472D5" w:rsidRDefault="00DF17E9" w:rsidP="00044843">
            <w:r w:rsidRPr="00B472D5">
              <w:t xml:space="preserve">Net financial liabilities </w:t>
            </w:r>
            <w:r w:rsidRPr="00B472D5">
              <w:rPr>
                <w:vertAlign w:val="superscript"/>
              </w:rPr>
              <w:t>(a)(b)</w:t>
            </w:r>
          </w:p>
        </w:tc>
        <w:tc>
          <w:tcPr>
            <w:tcW w:w="737" w:type="dxa"/>
            <w:tcBorders>
              <w:bottom w:val="nil"/>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77 538</w:t>
            </w:r>
          </w:p>
        </w:tc>
        <w:tc>
          <w:tcPr>
            <w:tcW w:w="907"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70 025</w:t>
            </w:r>
          </w:p>
        </w:tc>
        <w:tc>
          <w:tcPr>
            <w:tcW w:w="907" w:type="dxa"/>
            <w:tcBorders>
              <w:bottom w:val="nil"/>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58 727</w:t>
            </w:r>
          </w:p>
        </w:tc>
        <w:tc>
          <w:tcPr>
            <w:tcW w:w="908" w:type="dxa"/>
            <w:tcBorders>
              <w:bottom w:val="nil"/>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54 791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5272" w:type="dxa"/>
            <w:tcBorders>
              <w:bottom w:val="single" w:sz="12" w:space="0" w:color="auto"/>
            </w:tcBorders>
          </w:tcPr>
          <w:p w:rsidR="00DF17E9" w:rsidRPr="00B472D5" w:rsidRDefault="00DF17E9" w:rsidP="00044843">
            <w:r w:rsidRPr="00B472D5">
              <w:t>Net debt</w:t>
            </w:r>
          </w:p>
        </w:tc>
        <w:tc>
          <w:tcPr>
            <w:tcW w:w="737" w:type="dxa"/>
            <w:tcBorders>
              <w:bottom w:val="single" w:sz="12" w:space="0" w:color="auto"/>
            </w:tcBorders>
          </w:tcPr>
          <w:p w:rsidR="00DF17E9" w:rsidRPr="00B472D5"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B472D5">
              <w:t xml:space="preserve"> </w:t>
            </w:r>
          </w:p>
        </w:tc>
        <w:tc>
          <w:tcPr>
            <w:tcW w:w="907" w:type="dxa"/>
            <w:tcBorders>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14 224</w:t>
            </w:r>
          </w:p>
        </w:tc>
        <w:tc>
          <w:tcPr>
            <w:tcW w:w="907" w:type="dxa"/>
            <w:tcBorders>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13 048</w:t>
            </w:r>
          </w:p>
        </w:tc>
        <w:tc>
          <w:tcPr>
            <w:tcW w:w="907" w:type="dxa"/>
            <w:tcBorders>
              <w:bottom w:val="single" w:sz="12" w:space="0" w:color="auto"/>
            </w:tcBorders>
            <w:shd w:val="clear" w:color="auto" w:fill="EBEBEB" w:themeFill="background2"/>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22 309</w:t>
            </w:r>
          </w:p>
        </w:tc>
        <w:tc>
          <w:tcPr>
            <w:tcW w:w="908" w:type="dxa"/>
            <w:tcBorders>
              <w:bottom w:val="single" w:sz="12" w:space="0" w:color="auto"/>
            </w:tcBorders>
          </w:tcPr>
          <w:p w:rsidR="00DF17E9" w:rsidRPr="00B472D5" w:rsidRDefault="00DF17E9" w:rsidP="00044843">
            <w:pPr>
              <w:cnfStyle w:val="000000000000" w:firstRow="0" w:lastRow="0" w:firstColumn="0" w:lastColumn="0" w:oddVBand="0" w:evenVBand="0" w:oddHBand="0" w:evenHBand="0" w:firstRowFirstColumn="0" w:firstRowLastColumn="0" w:lastRowFirstColumn="0" w:lastRowLastColumn="0"/>
            </w:pPr>
            <w:r w:rsidRPr="00B472D5">
              <w:t>22 327</w:t>
            </w:r>
          </w:p>
        </w:tc>
      </w:tr>
    </w:tbl>
    <w:p w:rsidR="00DF17E9" w:rsidRDefault="00DF17E9" w:rsidP="00044843">
      <w:pPr>
        <w:pStyle w:val="Source"/>
      </w:pPr>
      <w:r w:rsidRPr="007575FF">
        <w:t>The accompanying notes form part of these financial statements.</w:t>
      </w:r>
    </w:p>
    <w:p w:rsidR="00DF17E9" w:rsidRDefault="00DF17E9" w:rsidP="00044843">
      <w:pPr>
        <w:pStyle w:val="Note"/>
      </w:pPr>
      <w:r>
        <w:t>Notes:</w:t>
      </w:r>
    </w:p>
    <w:p w:rsidR="00DF17E9" w:rsidRDefault="00DF17E9" w:rsidP="00044843">
      <w:pPr>
        <w:pStyle w:val="Note"/>
      </w:pPr>
      <w:r>
        <w:t>(a)</w:t>
      </w:r>
      <w:r>
        <w:tab/>
      </w:r>
      <w:r w:rsidRPr="00C8120D">
        <w:t>June 2015 comparative figures have been restated to reflect an adjustment to Coliban Water’s deferred tax liability balances in the PNFC sector attributable to a change in valuation policy in 2015-16.</w:t>
      </w:r>
    </w:p>
    <w:p w:rsidR="00DF17E9" w:rsidRPr="000624B8" w:rsidRDefault="00DF17E9" w:rsidP="00044843">
      <w:pPr>
        <w:pStyle w:val="Note"/>
      </w:pPr>
      <w:r>
        <w:t>(b)</w:t>
      </w:r>
      <w:r>
        <w:tab/>
      </w:r>
      <w:r w:rsidRPr="00C8120D">
        <w:t>June 2015 comparative figures have been restated to finalise the allocation of equity balances between contributed capital and accumulated funds related to prior year machinery of government changes.</w:t>
      </w:r>
    </w:p>
    <w:p w:rsidR="00DF17E9" w:rsidRDefault="00DF17E9">
      <w:pPr>
        <w:rPr>
          <w:rFonts w:asciiTheme="majorHAnsi" w:hAnsiTheme="majorHAnsi"/>
          <w:i/>
          <w:spacing w:val="-2"/>
          <w:sz w:val="14"/>
        </w:rPr>
      </w:pPr>
      <w:r>
        <w:br w:type="page"/>
      </w:r>
    </w:p>
    <w:p w:rsidR="00DF17E9" w:rsidRPr="007575FF" w:rsidRDefault="00DF17E9" w:rsidP="00C4027B">
      <w:pPr>
        <w:pStyle w:val="Heading1unnumbered"/>
      </w:pPr>
      <w:bookmarkStart w:id="9" w:name="Consolidated_CF"/>
      <w:r>
        <w:lastRenderedPageBreak/>
        <w:t>Consolidated cash flow statement</w:t>
      </w:r>
      <w:bookmarkEnd w:id="9"/>
    </w:p>
    <w:p w:rsidR="00DF17E9" w:rsidRPr="00B472D5" w:rsidRDefault="00DF17E9" w:rsidP="00044843">
      <w:pPr>
        <w:pStyle w:val="Subheading"/>
        <w:rPr>
          <w:bCs/>
          <w:i/>
          <w:sz w:val="16"/>
          <w:lang w:val="en-US"/>
        </w:rPr>
      </w:pPr>
      <w:r>
        <w:t>For the financial year ended 30 June</w:t>
      </w:r>
      <w:r>
        <w:tab/>
      </w:r>
      <w:r w:rsidRPr="00D71612">
        <w:rPr>
          <w:rStyle w:val="TableUnitsChar"/>
        </w:rPr>
        <w:t>($ million)</w:t>
      </w:r>
    </w:p>
    <w:tbl>
      <w:tblPr>
        <w:tblW w:w="9638" w:type="dxa"/>
        <w:tblInd w:w="45" w:type="dxa"/>
        <w:tblLayout w:type="fixed"/>
        <w:tblCellMar>
          <w:left w:w="45" w:type="dxa"/>
          <w:right w:w="45" w:type="dxa"/>
        </w:tblCellMar>
        <w:tblLook w:val="0000" w:firstRow="0" w:lastRow="0" w:firstColumn="0" w:lastColumn="0" w:noHBand="0" w:noVBand="0"/>
      </w:tblPr>
      <w:tblGrid>
        <w:gridCol w:w="5245"/>
        <w:gridCol w:w="765"/>
        <w:gridCol w:w="907"/>
        <w:gridCol w:w="907"/>
        <w:gridCol w:w="907"/>
        <w:gridCol w:w="907"/>
      </w:tblGrid>
      <w:tr w:rsidR="00A429B9" w:rsidRPr="00B472D5" w:rsidTr="00AE50D6">
        <w:trPr>
          <w:tblHeader/>
        </w:trPr>
        <w:tc>
          <w:tcPr>
            <w:tcW w:w="5245" w:type="dxa"/>
            <w:tcBorders>
              <w:top w:val="nil"/>
              <w:left w:val="nil"/>
              <w:bottom w:val="nil"/>
              <w:right w:val="nil"/>
            </w:tcBorders>
            <w:shd w:val="solid" w:color="000000" w:fill="auto"/>
            <w:vAlign w:val="bottom"/>
          </w:tcPr>
          <w:p w:rsidR="00A429B9" w:rsidRPr="00B472D5" w:rsidRDefault="00A429B9" w:rsidP="00044843">
            <w:pPr>
              <w:pStyle w:val="Source"/>
              <w:spacing w:after="20"/>
              <w:rPr>
                <w:rFonts w:ascii="Calibri" w:eastAsiaTheme="minorEastAsia" w:hAnsi="Calibri" w:cs="Calibri"/>
                <w:iCs/>
                <w:color w:val="FFFFFF"/>
                <w:sz w:val="17"/>
                <w:szCs w:val="20"/>
                <w:lang w:eastAsia="en-AU"/>
              </w:rPr>
            </w:pPr>
            <w:r w:rsidRPr="00B472D5">
              <w:rPr>
                <w:rFonts w:ascii="Calibri" w:eastAsiaTheme="minorEastAsia" w:hAnsi="Calibri" w:cs="Calibri"/>
                <w:iCs/>
                <w:color w:val="FFFFFF"/>
                <w:sz w:val="17"/>
                <w:szCs w:val="20"/>
                <w:lang w:eastAsia="en-AU"/>
              </w:rPr>
              <w:t xml:space="preserve"> </w:t>
            </w:r>
          </w:p>
        </w:tc>
        <w:tc>
          <w:tcPr>
            <w:tcW w:w="765" w:type="dxa"/>
            <w:tcBorders>
              <w:top w:val="nil"/>
              <w:left w:val="nil"/>
              <w:bottom w:val="nil"/>
              <w:right w:val="nil"/>
            </w:tcBorders>
            <w:shd w:val="solid" w:color="000000" w:fill="auto"/>
            <w:vAlign w:val="bottom"/>
          </w:tcPr>
          <w:p w:rsidR="00A429B9" w:rsidRPr="00B472D5" w:rsidRDefault="00A429B9" w:rsidP="00044843">
            <w:pPr>
              <w:autoSpaceDE w:val="0"/>
              <w:autoSpaceDN w:val="0"/>
              <w:adjustRightInd w:val="0"/>
              <w:spacing w:after="20" w:line="240" w:lineRule="auto"/>
              <w:jc w:val="center"/>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 xml:space="preserve"> </w:t>
            </w:r>
          </w:p>
        </w:tc>
        <w:tc>
          <w:tcPr>
            <w:tcW w:w="1814" w:type="dxa"/>
            <w:gridSpan w:val="2"/>
            <w:tcBorders>
              <w:top w:val="nil"/>
              <w:left w:val="nil"/>
              <w:bottom w:val="nil"/>
              <w:right w:val="nil"/>
            </w:tcBorders>
            <w:shd w:val="solid" w:color="000000" w:fill="auto"/>
            <w:vAlign w:val="bottom"/>
          </w:tcPr>
          <w:p w:rsidR="00A429B9" w:rsidRPr="00B472D5" w:rsidRDefault="00A429B9" w:rsidP="00044843">
            <w:pPr>
              <w:autoSpaceDE w:val="0"/>
              <w:autoSpaceDN w:val="0"/>
              <w:adjustRightInd w:val="0"/>
              <w:spacing w:after="20" w:line="240" w:lineRule="auto"/>
              <w:jc w:val="center"/>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 xml:space="preserve"> </w:t>
            </w:r>
          </w:p>
          <w:p w:rsidR="00A429B9" w:rsidRPr="00B472D5" w:rsidRDefault="00A429B9" w:rsidP="00044843">
            <w:pPr>
              <w:autoSpaceDE w:val="0"/>
              <w:autoSpaceDN w:val="0"/>
              <w:adjustRightInd w:val="0"/>
              <w:spacing w:after="20" w:line="240" w:lineRule="auto"/>
              <w:jc w:val="center"/>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State of Victoria</w:t>
            </w:r>
          </w:p>
        </w:tc>
        <w:tc>
          <w:tcPr>
            <w:tcW w:w="1814" w:type="dxa"/>
            <w:gridSpan w:val="2"/>
            <w:tcBorders>
              <w:top w:val="nil"/>
              <w:left w:val="nil"/>
              <w:bottom w:val="nil"/>
              <w:right w:val="nil"/>
            </w:tcBorders>
            <w:shd w:val="solid" w:color="000000" w:fill="auto"/>
            <w:vAlign w:val="bottom"/>
          </w:tcPr>
          <w:p w:rsidR="00A429B9" w:rsidRPr="00B472D5" w:rsidRDefault="00A429B9" w:rsidP="00044843">
            <w:pPr>
              <w:autoSpaceDE w:val="0"/>
              <w:autoSpaceDN w:val="0"/>
              <w:adjustRightInd w:val="0"/>
              <w:spacing w:after="20" w:line="240" w:lineRule="auto"/>
              <w:jc w:val="center"/>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 xml:space="preserve"> General </w:t>
            </w:r>
          </w:p>
          <w:p w:rsidR="00A429B9" w:rsidRPr="00B472D5" w:rsidRDefault="00A429B9" w:rsidP="00044843">
            <w:pPr>
              <w:autoSpaceDE w:val="0"/>
              <w:autoSpaceDN w:val="0"/>
              <w:adjustRightInd w:val="0"/>
              <w:spacing w:after="20" w:line="240" w:lineRule="auto"/>
              <w:jc w:val="center"/>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government sector</w:t>
            </w:r>
          </w:p>
        </w:tc>
      </w:tr>
      <w:tr w:rsidR="00DF17E9" w:rsidRPr="00B472D5" w:rsidTr="00AE50D6">
        <w:trPr>
          <w:tblHeader/>
        </w:trPr>
        <w:tc>
          <w:tcPr>
            <w:tcW w:w="5245" w:type="dxa"/>
            <w:tcBorders>
              <w:top w:val="nil"/>
              <w:left w:val="nil"/>
              <w:right w:val="nil"/>
            </w:tcBorders>
            <w:shd w:val="solid" w:color="000000" w:fill="auto"/>
            <w:vAlign w:val="bottom"/>
          </w:tcPr>
          <w:p w:rsidR="00DF17E9" w:rsidRPr="00B472D5" w:rsidRDefault="00DF17E9" w:rsidP="00044843">
            <w:pPr>
              <w:autoSpaceDE w:val="0"/>
              <w:autoSpaceDN w:val="0"/>
              <w:adjustRightInd w:val="0"/>
              <w:spacing w:after="20" w:line="240" w:lineRule="auto"/>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 xml:space="preserve"> </w:t>
            </w:r>
          </w:p>
        </w:tc>
        <w:tc>
          <w:tcPr>
            <w:tcW w:w="765" w:type="dxa"/>
            <w:tcBorders>
              <w:top w:val="nil"/>
              <w:left w:val="nil"/>
              <w:right w:val="nil"/>
            </w:tcBorders>
            <w:shd w:val="solid" w:color="000000" w:fill="auto"/>
            <w:vAlign w:val="bottom"/>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Notes</w:t>
            </w:r>
          </w:p>
        </w:tc>
        <w:tc>
          <w:tcPr>
            <w:tcW w:w="907" w:type="dxa"/>
            <w:tcBorders>
              <w:top w:val="nil"/>
              <w:left w:val="nil"/>
              <w:right w:val="nil"/>
            </w:tcBorders>
            <w:shd w:val="solid" w:color="000000" w:fill="auto"/>
            <w:vAlign w:val="bottom"/>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2016</w:t>
            </w:r>
          </w:p>
        </w:tc>
        <w:tc>
          <w:tcPr>
            <w:tcW w:w="907" w:type="dxa"/>
            <w:tcBorders>
              <w:top w:val="nil"/>
              <w:left w:val="nil"/>
              <w:right w:val="nil"/>
            </w:tcBorders>
            <w:shd w:val="solid" w:color="000000" w:fill="auto"/>
            <w:vAlign w:val="bottom"/>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2015</w:t>
            </w:r>
          </w:p>
        </w:tc>
        <w:tc>
          <w:tcPr>
            <w:tcW w:w="907" w:type="dxa"/>
            <w:tcBorders>
              <w:top w:val="nil"/>
              <w:left w:val="nil"/>
              <w:right w:val="nil"/>
            </w:tcBorders>
            <w:shd w:val="solid" w:color="000000" w:fill="auto"/>
            <w:vAlign w:val="bottom"/>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2016</w:t>
            </w:r>
          </w:p>
        </w:tc>
        <w:tc>
          <w:tcPr>
            <w:tcW w:w="907" w:type="dxa"/>
            <w:tcBorders>
              <w:top w:val="nil"/>
              <w:left w:val="nil"/>
              <w:right w:val="nil"/>
            </w:tcBorders>
            <w:shd w:val="solid" w:color="000000" w:fill="auto"/>
            <w:vAlign w:val="bottom"/>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i/>
                <w:iCs/>
                <w:color w:val="FFFFFF"/>
                <w:sz w:val="17"/>
                <w:szCs w:val="20"/>
                <w:lang w:eastAsia="en-AU"/>
              </w:rPr>
            </w:pPr>
            <w:r w:rsidRPr="00B472D5">
              <w:rPr>
                <w:rFonts w:ascii="Calibri" w:eastAsiaTheme="minorEastAsia" w:hAnsi="Calibri" w:cs="Calibri"/>
                <w:i/>
                <w:iCs/>
                <w:color w:val="FFFFFF"/>
                <w:sz w:val="17"/>
                <w:szCs w:val="20"/>
                <w:lang w:eastAsia="en-AU"/>
              </w:rPr>
              <w:t>2015</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Cash flows from operating activities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Receipts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Taxes received</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19 325</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18 013</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19 775</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18 416</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Grants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25 203</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24 363</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25 375</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24 499</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Sales of goods and services </w:t>
            </w:r>
            <w:r w:rsidRPr="00B472D5">
              <w:rPr>
                <w:rFonts w:ascii="Calibri" w:eastAsiaTheme="minorEastAsia" w:hAnsi="Calibri" w:cs="Calibri"/>
                <w:color w:val="000000"/>
                <w:sz w:val="17"/>
                <w:szCs w:val="20"/>
                <w:vertAlign w:val="superscript"/>
                <w:lang w:eastAsia="en-AU"/>
              </w:rPr>
              <w:t>(a)</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15 892</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15 325</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7 253</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7 002</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Interest received </w:t>
            </w:r>
            <w:r w:rsidRPr="00B472D5">
              <w:rPr>
                <w:rFonts w:ascii="Calibri" w:eastAsiaTheme="minorEastAsia" w:hAnsi="Calibri" w:cs="Calibri"/>
                <w:color w:val="000000"/>
                <w:sz w:val="17"/>
                <w:szCs w:val="20"/>
                <w:vertAlign w:val="superscript"/>
                <w:lang w:eastAsia="en-AU"/>
              </w:rPr>
              <w:t>(b)</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557</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741</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786</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812</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Dividends and income tax equivalent and rate equivalent receipts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1 158</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768</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802</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1 015</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Other receipts </w:t>
            </w:r>
            <w:r w:rsidRPr="00B472D5">
              <w:rPr>
                <w:rFonts w:ascii="Calibri" w:eastAsiaTheme="minorEastAsia" w:hAnsi="Calibri" w:cs="Calibri"/>
                <w:color w:val="000000"/>
                <w:sz w:val="17"/>
                <w:szCs w:val="20"/>
                <w:vertAlign w:val="superscript"/>
                <w:lang w:eastAsia="en-AU"/>
              </w:rPr>
              <w:t>(c)</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2 627</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2 331</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2 436</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1 984</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Total receipts </w:t>
            </w:r>
            <w:r w:rsidRPr="00B472D5">
              <w:rPr>
                <w:rFonts w:ascii="Calibri" w:eastAsiaTheme="minorEastAsia" w:hAnsi="Calibri" w:cs="Calibri"/>
                <w:b/>
                <w:bCs/>
                <w:color w:val="000000"/>
                <w:sz w:val="17"/>
                <w:szCs w:val="20"/>
                <w:vertAlign w:val="superscript"/>
                <w:lang w:eastAsia="en-AU"/>
              </w:rPr>
              <w:t xml:space="preserve">(b)(c) </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64 763</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61 541</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56 428</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53 728</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Payments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Payments for employees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(20 645)</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(19 593)</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(19 621)</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(18 619)</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Superannuation</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(3 014)</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(2 900)</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(2 877)</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(2 771)</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Interest paid</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(2 711)</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(2 882)</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(2 040)</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(2 062)</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Grants and subsidies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(5 623)</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(5 747)</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(8 538)</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(8 564)</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Goods and services </w:t>
            </w:r>
            <w:r w:rsidRPr="00B472D5">
              <w:rPr>
                <w:rFonts w:ascii="Calibri" w:eastAsiaTheme="minorEastAsia" w:hAnsi="Calibri" w:cs="Calibri"/>
                <w:color w:val="000000"/>
                <w:sz w:val="17"/>
                <w:szCs w:val="20"/>
                <w:vertAlign w:val="superscript"/>
                <w:lang w:eastAsia="en-AU"/>
              </w:rPr>
              <w:t>(a)</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(24 365)</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(23 835)</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(17 257)</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(16 835)</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Other payments</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(468)</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(1 062)</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(736)</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(1 057)</w:t>
            </w:r>
          </w:p>
        </w:tc>
      </w:tr>
      <w:tr w:rsidR="00DF17E9" w:rsidRPr="00B472D5" w:rsidTr="00AE50D6">
        <w:tc>
          <w:tcPr>
            <w:tcW w:w="5245"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Total payments</w:t>
            </w:r>
          </w:p>
        </w:tc>
        <w:tc>
          <w:tcPr>
            <w:tcW w:w="765"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(56 826)</w:t>
            </w:r>
          </w:p>
        </w:tc>
        <w:tc>
          <w:tcPr>
            <w:tcW w:w="907"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(56 019)</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(51 069)</w:t>
            </w:r>
          </w:p>
        </w:tc>
        <w:tc>
          <w:tcPr>
            <w:tcW w:w="907"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(49 908)</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Net cash flows from operating activities</w:t>
            </w:r>
            <w:r w:rsidRPr="00B472D5">
              <w:rPr>
                <w:rFonts w:ascii="Calibri" w:eastAsiaTheme="minorEastAsia" w:hAnsi="Calibri" w:cs="Calibri"/>
                <w:b/>
                <w:bCs/>
                <w:color w:val="000000"/>
                <w:sz w:val="17"/>
                <w:szCs w:val="20"/>
                <w:vertAlign w:val="superscript"/>
                <w:lang w:eastAsia="en-AU"/>
              </w:rPr>
              <w:t xml:space="preserve"> (b)(c) </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5.3</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color w:val="000000"/>
                <w:sz w:val="17"/>
                <w:szCs w:val="20"/>
                <w:lang w:eastAsia="en-AU"/>
              </w:rPr>
            </w:pPr>
            <w:r w:rsidRPr="00B472D5">
              <w:rPr>
                <w:rFonts w:ascii="Calibri" w:eastAsiaTheme="minorEastAsia" w:hAnsi="Calibri" w:cs="Calibri"/>
                <w:b/>
                <w:color w:val="000000"/>
                <w:sz w:val="17"/>
                <w:szCs w:val="20"/>
                <w:lang w:eastAsia="en-AU"/>
              </w:rPr>
              <w:t>7 936</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color w:val="000000"/>
                <w:sz w:val="17"/>
                <w:szCs w:val="20"/>
                <w:lang w:eastAsia="en-AU"/>
              </w:rPr>
            </w:pPr>
            <w:r w:rsidRPr="00B472D5">
              <w:rPr>
                <w:rFonts w:ascii="Calibri" w:eastAsiaTheme="minorEastAsia" w:hAnsi="Calibri" w:cs="Calibri"/>
                <w:b/>
                <w:color w:val="000000"/>
                <w:sz w:val="17"/>
                <w:szCs w:val="20"/>
                <w:lang w:eastAsia="en-AU"/>
              </w:rPr>
              <w:t>5 522</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color w:val="000000"/>
                <w:sz w:val="17"/>
                <w:szCs w:val="20"/>
                <w:lang w:eastAsia="en-AU"/>
              </w:rPr>
            </w:pPr>
            <w:r w:rsidRPr="00B472D5">
              <w:rPr>
                <w:rFonts w:ascii="Calibri" w:eastAsiaTheme="minorEastAsia" w:hAnsi="Calibri" w:cs="Calibri"/>
                <w:b/>
                <w:color w:val="000000"/>
                <w:sz w:val="17"/>
                <w:szCs w:val="20"/>
                <w:lang w:eastAsia="en-AU"/>
              </w:rPr>
              <w:t>5 359</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color w:val="000000"/>
                <w:sz w:val="17"/>
                <w:szCs w:val="20"/>
                <w:lang w:eastAsia="en-AU"/>
              </w:rPr>
            </w:pPr>
            <w:r w:rsidRPr="00B472D5">
              <w:rPr>
                <w:rFonts w:ascii="Calibri" w:eastAsiaTheme="minorEastAsia" w:hAnsi="Calibri" w:cs="Calibri"/>
                <w:b/>
                <w:color w:val="000000"/>
                <w:sz w:val="17"/>
                <w:szCs w:val="20"/>
                <w:lang w:eastAsia="en-AU"/>
              </w:rPr>
              <w:t>3 819</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Cash flows from investing activities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Cash flows from investments in non-financial assets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Purchases of non-financial assets </w:t>
            </w:r>
            <w:r w:rsidRPr="00B472D5">
              <w:rPr>
                <w:rFonts w:ascii="Calibri" w:eastAsiaTheme="minorEastAsia" w:hAnsi="Calibri" w:cs="Calibri"/>
                <w:color w:val="000000"/>
                <w:sz w:val="17"/>
                <w:szCs w:val="20"/>
                <w:vertAlign w:val="superscript"/>
                <w:lang w:eastAsia="en-AU"/>
              </w:rPr>
              <w:t>(d)</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3.5, 3.6</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(6 836)</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(6 591)</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(4 420)</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(4 369)</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Sales of non-financial assets</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454</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595</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190</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398</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Net cash flows from investments in non-financial assets </w:t>
            </w:r>
            <w:r w:rsidRPr="00B472D5">
              <w:rPr>
                <w:rFonts w:ascii="Calibri" w:eastAsiaTheme="minorEastAsia" w:hAnsi="Calibri" w:cs="Calibri"/>
                <w:b/>
                <w:bCs/>
                <w:color w:val="000000"/>
                <w:sz w:val="17"/>
                <w:szCs w:val="20"/>
                <w:vertAlign w:val="superscript"/>
                <w:lang w:eastAsia="en-AU"/>
              </w:rPr>
              <w:t>(d)</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(6 382)</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(5 996)</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(4 230)</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(3 972)</w:t>
            </w:r>
          </w:p>
        </w:tc>
      </w:tr>
      <w:tr w:rsidR="00DF17E9" w:rsidRPr="00B472D5" w:rsidTr="00AE50D6">
        <w:tc>
          <w:tcPr>
            <w:tcW w:w="5245" w:type="dxa"/>
            <w:tcBorders>
              <w:top w:val="nil"/>
              <w:left w:val="nil"/>
              <w:right w:val="nil"/>
            </w:tcBorders>
            <w:shd w:val="clear" w:color="000000"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Cash flows from investments in financial assets for policy purposes </w:t>
            </w:r>
            <w:r w:rsidRPr="00B472D5">
              <w:rPr>
                <w:rFonts w:ascii="Calibri" w:eastAsiaTheme="minorEastAsia" w:hAnsi="Calibri" w:cs="Calibri"/>
                <w:b/>
                <w:bCs/>
                <w:color w:val="000000"/>
                <w:sz w:val="17"/>
                <w:szCs w:val="20"/>
                <w:vertAlign w:val="superscript"/>
                <w:lang w:eastAsia="en-AU"/>
              </w:rPr>
              <w:t>(c)(d)</w:t>
            </w:r>
          </w:p>
        </w:tc>
        <w:tc>
          <w:tcPr>
            <w:tcW w:w="765" w:type="dxa"/>
            <w:tcBorders>
              <w:top w:val="nil"/>
              <w:left w:val="nil"/>
              <w:right w:val="nil"/>
            </w:tcBorders>
            <w:shd w:val="clear" w:color="000000"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000000" w:fill="FFFFFF"/>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000000" w:fill="FFFFFF"/>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Cash inflows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189</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2 144</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564</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361</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Cash outflows </w:t>
            </w:r>
            <w:r w:rsidRPr="00B472D5">
              <w:rPr>
                <w:rFonts w:ascii="Calibri" w:eastAsiaTheme="minorEastAsia" w:hAnsi="Calibri" w:cs="Calibri"/>
                <w:color w:val="000000"/>
                <w:sz w:val="17"/>
                <w:szCs w:val="20"/>
                <w:vertAlign w:val="superscript"/>
                <w:lang w:eastAsia="en-AU"/>
              </w:rPr>
              <w:t>(c)(d)</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(179)</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(567)</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(471)</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(1 243)</w:t>
            </w:r>
          </w:p>
        </w:tc>
      </w:tr>
      <w:tr w:rsidR="00DF17E9" w:rsidRPr="00B472D5" w:rsidTr="00AE50D6">
        <w:tc>
          <w:tcPr>
            <w:tcW w:w="5245" w:type="dxa"/>
            <w:tcBorders>
              <w:top w:val="single" w:sz="6" w:space="0" w:color="auto"/>
              <w:left w:val="nil"/>
              <w:right w:val="nil"/>
            </w:tcBorders>
            <w:shd w:val="clear" w:color="000000"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Net cash flows from investments in financial assets for policy purposes</w:t>
            </w:r>
          </w:p>
        </w:tc>
        <w:tc>
          <w:tcPr>
            <w:tcW w:w="765" w:type="dxa"/>
            <w:tcBorders>
              <w:top w:val="single" w:sz="6" w:space="0" w:color="auto"/>
              <w:left w:val="nil"/>
              <w:right w:val="nil"/>
            </w:tcBorders>
            <w:shd w:val="clear" w:color="000000"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11</w:t>
            </w:r>
          </w:p>
        </w:tc>
        <w:tc>
          <w:tcPr>
            <w:tcW w:w="907" w:type="dxa"/>
            <w:tcBorders>
              <w:top w:val="single" w:sz="6" w:space="0" w:color="auto"/>
              <w:left w:val="nil"/>
              <w:right w:val="nil"/>
            </w:tcBorders>
            <w:shd w:val="clear" w:color="000000"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1 576</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93</w:t>
            </w:r>
          </w:p>
        </w:tc>
        <w:tc>
          <w:tcPr>
            <w:tcW w:w="907" w:type="dxa"/>
            <w:tcBorders>
              <w:top w:val="single" w:sz="6" w:space="0" w:color="auto"/>
              <w:left w:val="nil"/>
              <w:right w:val="nil"/>
            </w:tcBorders>
            <w:shd w:val="clear" w:color="000000"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(883)</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Cash flows from investments in financial assets for liquidity management purposes </w:t>
            </w:r>
            <w:r w:rsidRPr="00B472D5">
              <w:rPr>
                <w:rFonts w:ascii="Calibri" w:eastAsiaTheme="minorEastAsia" w:hAnsi="Calibri" w:cs="Calibri"/>
                <w:b/>
                <w:bCs/>
                <w:color w:val="000000"/>
                <w:sz w:val="17"/>
                <w:szCs w:val="20"/>
                <w:vertAlign w:val="superscript"/>
                <w:lang w:eastAsia="en-AU"/>
              </w:rPr>
              <w:t>(b)(e)(f)</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Cash inflows</w:t>
            </w:r>
            <w:r w:rsidRPr="00B472D5">
              <w:rPr>
                <w:rFonts w:ascii="Calibri" w:eastAsiaTheme="minorEastAsia" w:hAnsi="Calibri" w:cs="Calibri"/>
                <w:color w:val="000000"/>
                <w:sz w:val="17"/>
                <w:szCs w:val="20"/>
                <w:vertAlign w:val="superscript"/>
                <w:lang w:eastAsia="en-AU"/>
              </w:rPr>
              <w:t xml:space="preserve"> (b)</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11 625</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22 783</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2 384</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891</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Cash outflows </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(12 945)</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(25 102)</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(1 848)</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(1 261)</w:t>
            </w:r>
          </w:p>
        </w:tc>
      </w:tr>
      <w:tr w:rsidR="00DF17E9" w:rsidRPr="00B472D5" w:rsidTr="00AE50D6">
        <w:tc>
          <w:tcPr>
            <w:tcW w:w="5245" w:type="dxa"/>
            <w:tcBorders>
              <w:top w:val="single" w:sz="6" w:space="0" w:color="auto"/>
              <w:left w:val="nil"/>
              <w:bottom w:val="single" w:sz="6" w:space="0" w:color="auto"/>
              <w:right w:val="nil"/>
            </w:tcBorders>
            <w:shd w:val="clear" w:color="000000"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Net cash flows from investments in financial assets for liquidity management purposes</w:t>
            </w:r>
          </w:p>
        </w:tc>
        <w:tc>
          <w:tcPr>
            <w:tcW w:w="765" w:type="dxa"/>
            <w:tcBorders>
              <w:top w:val="single" w:sz="6" w:space="0" w:color="auto"/>
              <w:left w:val="nil"/>
              <w:bottom w:val="single" w:sz="6" w:space="0" w:color="auto"/>
              <w:right w:val="nil"/>
            </w:tcBorders>
            <w:shd w:val="clear" w:color="000000"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(1 320)</w:t>
            </w:r>
          </w:p>
        </w:tc>
        <w:tc>
          <w:tcPr>
            <w:tcW w:w="907" w:type="dxa"/>
            <w:tcBorders>
              <w:top w:val="single" w:sz="6" w:space="0" w:color="auto"/>
              <w:left w:val="nil"/>
              <w:bottom w:val="single" w:sz="6" w:space="0" w:color="auto"/>
              <w:right w:val="nil"/>
            </w:tcBorders>
            <w:shd w:val="clear" w:color="000000"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(2 319)</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535</w:t>
            </w:r>
          </w:p>
        </w:tc>
        <w:tc>
          <w:tcPr>
            <w:tcW w:w="907" w:type="dxa"/>
            <w:tcBorders>
              <w:top w:val="single" w:sz="6" w:space="0" w:color="auto"/>
              <w:left w:val="nil"/>
              <w:bottom w:val="single" w:sz="6" w:space="0" w:color="auto"/>
              <w:right w:val="nil"/>
            </w:tcBorders>
            <w:shd w:val="clear" w:color="000000"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(370)</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Net cash flows from investing activities </w:t>
            </w:r>
            <w:r w:rsidRPr="00B472D5">
              <w:rPr>
                <w:rFonts w:ascii="Calibri" w:eastAsiaTheme="minorEastAsia" w:hAnsi="Calibri" w:cs="Calibri"/>
                <w:b/>
                <w:bCs/>
                <w:color w:val="000000"/>
                <w:sz w:val="17"/>
                <w:szCs w:val="20"/>
                <w:vertAlign w:val="superscript"/>
                <w:lang w:eastAsia="en-AU"/>
              </w:rPr>
              <w:t>(b)(c)(d)</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(7 692)</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(6 739)</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(3 602)</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(5 224)</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Cash flows from financing activities</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Advances received</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172</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45</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Advances repaid</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(123)</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Advances received (net) </w:t>
            </w:r>
            <w:r w:rsidRPr="00B472D5">
              <w:rPr>
                <w:rFonts w:ascii="Calibri" w:eastAsiaTheme="minorEastAsia" w:hAnsi="Calibri" w:cs="Calibri"/>
                <w:color w:val="000000"/>
                <w:sz w:val="17"/>
                <w:szCs w:val="20"/>
                <w:vertAlign w:val="superscript"/>
                <w:lang w:eastAsia="en-AU"/>
              </w:rPr>
              <w:t>(e)</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48</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39</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Borrowings received</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39</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263</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291</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1 306</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Borrowings repaid</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(425)</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(1 066)</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(1 623)</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(293)</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Net borrowings </w:t>
            </w:r>
            <w:r w:rsidRPr="00B472D5">
              <w:rPr>
                <w:rFonts w:ascii="Calibri" w:eastAsiaTheme="minorEastAsia" w:hAnsi="Calibri" w:cs="Calibri"/>
                <w:color w:val="000000"/>
                <w:sz w:val="17"/>
                <w:szCs w:val="20"/>
                <w:vertAlign w:val="superscript"/>
                <w:lang w:eastAsia="en-AU"/>
              </w:rPr>
              <w:t>(e)</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(386)</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(803)</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(1 332)</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1 013</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Deposits received</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1 088</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668</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799</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431</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Deposits repaid</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(828)</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(458)</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(734)</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(340)</w:t>
            </w:r>
          </w:p>
        </w:tc>
      </w:tr>
      <w:tr w:rsidR="00DF17E9" w:rsidRPr="00B472D5" w:rsidTr="00AE50D6">
        <w:tc>
          <w:tcPr>
            <w:tcW w:w="5245"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Deposits received (net) </w:t>
            </w:r>
            <w:r w:rsidRPr="00B472D5">
              <w:rPr>
                <w:rFonts w:ascii="Calibri" w:eastAsiaTheme="minorEastAsia" w:hAnsi="Calibri" w:cs="Calibri"/>
                <w:color w:val="000000"/>
                <w:sz w:val="17"/>
                <w:szCs w:val="20"/>
                <w:vertAlign w:val="superscript"/>
                <w:lang w:eastAsia="en-AU"/>
              </w:rPr>
              <w:t>(e)</w:t>
            </w:r>
          </w:p>
        </w:tc>
        <w:tc>
          <w:tcPr>
            <w:tcW w:w="765"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259</w:t>
            </w:r>
          </w:p>
        </w:tc>
        <w:tc>
          <w:tcPr>
            <w:tcW w:w="907"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210</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65</w:t>
            </w:r>
          </w:p>
        </w:tc>
        <w:tc>
          <w:tcPr>
            <w:tcW w:w="907"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91</w:t>
            </w:r>
          </w:p>
        </w:tc>
      </w:tr>
      <w:tr w:rsidR="00DF17E9" w:rsidRPr="00B472D5" w:rsidTr="00AE50D6">
        <w:tc>
          <w:tcPr>
            <w:tcW w:w="5245"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Net cash flows from financing activities</w:t>
            </w:r>
          </w:p>
        </w:tc>
        <w:tc>
          <w:tcPr>
            <w:tcW w:w="765"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(79)</w:t>
            </w:r>
          </w:p>
        </w:tc>
        <w:tc>
          <w:tcPr>
            <w:tcW w:w="907"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(554)</w:t>
            </w:r>
          </w:p>
        </w:tc>
        <w:tc>
          <w:tcPr>
            <w:tcW w:w="907" w:type="dxa"/>
            <w:tcBorders>
              <w:top w:val="single" w:sz="6" w:space="0" w:color="auto"/>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(1 267)</w:t>
            </w:r>
          </w:p>
        </w:tc>
        <w:tc>
          <w:tcPr>
            <w:tcW w:w="907" w:type="dxa"/>
            <w:tcBorders>
              <w:top w:val="single" w:sz="6" w:space="0" w:color="auto"/>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1 105</w:t>
            </w:r>
          </w:p>
        </w:tc>
      </w:tr>
      <w:tr w:rsidR="00DF17E9" w:rsidRPr="00B472D5" w:rsidTr="00AE50D6">
        <w:tc>
          <w:tcPr>
            <w:tcW w:w="524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Net increase/(decrease) in cash and cash equivalents</w:t>
            </w:r>
          </w:p>
        </w:tc>
        <w:tc>
          <w:tcPr>
            <w:tcW w:w="765"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166</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(1 771)</w:t>
            </w:r>
          </w:p>
        </w:tc>
        <w:tc>
          <w:tcPr>
            <w:tcW w:w="907" w:type="dxa"/>
            <w:tcBorders>
              <w:top w:val="single" w:sz="6"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490</w:t>
            </w:r>
          </w:p>
        </w:tc>
        <w:tc>
          <w:tcPr>
            <w:tcW w:w="907" w:type="dxa"/>
            <w:tcBorders>
              <w:top w:val="single" w:sz="6" w:space="0" w:color="auto"/>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(300)</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Cash and cash equivalents at beginning of the financial year</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6 510</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8 281</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4 282</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4 582</w:t>
            </w:r>
          </w:p>
        </w:tc>
      </w:tr>
      <w:tr w:rsidR="00DF17E9" w:rsidRPr="00B472D5" w:rsidTr="00AE50D6">
        <w:tc>
          <w:tcPr>
            <w:tcW w:w="5245"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Cash and cash equivalents at end of the financial year </w:t>
            </w:r>
            <w:r w:rsidRPr="00B472D5">
              <w:rPr>
                <w:rFonts w:ascii="Calibri" w:eastAsiaTheme="minorEastAsia" w:hAnsi="Calibri" w:cs="Calibri"/>
                <w:b/>
                <w:bCs/>
                <w:color w:val="000000"/>
                <w:sz w:val="17"/>
                <w:szCs w:val="20"/>
                <w:vertAlign w:val="superscript"/>
                <w:lang w:eastAsia="en-AU"/>
              </w:rPr>
              <w:t>(g)</w:t>
            </w:r>
          </w:p>
        </w:tc>
        <w:tc>
          <w:tcPr>
            <w:tcW w:w="765"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color w:val="000000"/>
                <w:sz w:val="17"/>
                <w:szCs w:val="20"/>
                <w:lang w:eastAsia="en-AU"/>
              </w:rPr>
            </w:pPr>
            <w:r w:rsidRPr="00B472D5">
              <w:rPr>
                <w:rFonts w:ascii="Calibri" w:eastAsiaTheme="minorEastAsia" w:hAnsi="Calibri" w:cs="Calibri"/>
                <w:color w:val="000000"/>
                <w:sz w:val="17"/>
                <w:szCs w:val="20"/>
                <w:lang w:eastAsia="en-AU"/>
              </w:rPr>
              <w:t>5.3</w:t>
            </w:r>
          </w:p>
        </w:tc>
        <w:tc>
          <w:tcPr>
            <w:tcW w:w="907" w:type="dxa"/>
            <w:tcBorders>
              <w:top w:val="single" w:sz="6" w:space="0" w:color="auto"/>
              <w:left w:val="nil"/>
              <w:bottom w:val="single" w:sz="12"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6 676</w:t>
            </w:r>
          </w:p>
        </w:tc>
        <w:tc>
          <w:tcPr>
            <w:tcW w:w="907"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6 510</w:t>
            </w:r>
          </w:p>
        </w:tc>
        <w:tc>
          <w:tcPr>
            <w:tcW w:w="907" w:type="dxa"/>
            <w:tcBorders>
              <w:top w:val="single" w:sz="6" w:space="0" w:color="auto"/>
              <w:left w:val="nil"/>
              <w:bottom w:val="single" w:sz="12"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4 772</w:t>
            </w:r>
          </w:p>
        </w:tc>
        <w:tc>
          <w:tcPr>
            <w:tcW w:w="907"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4 282</w:t>
            </w:r>
          </w:p>
        </w:tc>
      </w:tr>
      <w:tr w:rsidR="00DF17E9" w:rsidRPr="00B472D5" w:rsidTr="00AE50D6">
        <w:tc>
          <w:tcPr>
            <w:tcW w:w="5245" w:type="dxa"/>
            <w:tcBorders>
              <w:top w:val="single" w:sz="12" w:space="0" w:color="auto"/>
              <w:left w:val="nil"/>
              <w:right w:val="nil"/>
            </w:tcBorders>
            <w:shd w:val="solid" w:color="FFFFFF"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FISCAL AGGREGATES</w:t>
            </w:r>
          </w:p>
        </w:tc>
        <w:tc>
          <w:tcPr>
            <w:tcW w:w="765" w:type="dxa"/>
            <w:tcBorders>
              <w:top w:val="single" w:sz="12" w:space="0" w:color="auto"/>
              <w:left w:val="nil"/>
              <w:right w:val="nil"/>
            </w:tcBorders>
            <w:shd w:val="solid" w:color="FFFFFF"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i/>
                <w:iCs/>
                <w:color w:val="000000"/>
                <w:sz w:val="17"/>
                <w:szCs w:val="20"/>
                <w:lang w:eastAsia="en-AU"/>
              </w:rPr>
            </w:pPr>
            <w:r w:rsidRPr="00B472D5">
              <w:rPr>
                <w:rFonts w:ascii="Calibri" w:eastAsiaTheme="minorEastAsia" w:hAnsi="Calibri" w:cs="Calibri"/>
                <w:i/>
                <w:iCs/>
                <w:color w:val="000000"/>
                <w:sz w:val="17"/>
                <w:szCs w:val="20"/>
                <w:lang w:eastAsia="en-AU"/>
              </w:rPr>
              <w:t xml:space="preserve"> </w:t>
            </w:r>
          </w:p>
        </w:tc>
        <w:tc>
          <w:tcPr>
            <w:tcW w:w="907" w:type="dxa"/>
            <w:tcBorders>
              <w:top w:val="single" w:sz="12"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 xml:space="preserve"> </w:t>
            </w:r>
          </w:p>
        </w:tc>
        <w:tc>
          <w:tcPr>
            <w:tcW w:w="907" w:type="dxa"/>
            <w:tcBorders>
              <w:top w:val="single" w:sz="12" w:space="0" w:color="auto"/>
              <w:left w:val="nil"/>
              <w:right w:val="nil"/>
            </w:tcBorders>
            <w:shd w:val="solid" w:color="FFFFFF"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 xml:space="preserve"> </w:t>
            </w:r>
          </w:p>
        </w:tc>
        <w:tc>
          <w:tcPr>
            <w:tcW w:w="907" w:type="dxa"/>
            <w:tcBorders>
              <w:top w:val="single" w:sz="12" w:space="0" w:color="auto"/>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 xml:space="preserve"> </w:t>
            </w:r>
          </w:p>
        </w:tc>
        <w:tc>
          <w:tcPr>
            <w:tcW w:w="907" w:type="dxa"/>
            <w:tcBorders>
              <w:top w:val="single" w:sz="12" w:space="0" w:color="auto"/>
              <w:left w:val="nil"/>
              <w:right w:val="nil"/>
            </w:tcBorders>
            <w:shd w:val="solid" w:color="FFFFFF"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 xml:space="preserve"> </w:t>
            </w:r>
          </w:p>
        </w:tc>
      </w:tr>
      <w:tr w:rsidR="00DF17E9" w:rsidRPr="00B472D5" w:rsidTr="00AE50D6">
        <w:tc>
          <w:tcPr>
            <w:tcW w:w="524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Net cash flows from operating activities </w:t>
            </w:r>
            <w:r w:rsidRPr="00B472D5">
              <w:rPr>
                <w:rFonts w:ascii="Calibri" w:eastAsiaTheme="minorEastAsia" w:hAnsi="Calibri" w:cs="Calibri"/>
                <w:color w:val="000000"/>
                <w:sz w:val="17"/>
                <w:szCs w:val="20"/>
                <w:vertAlign w:val="superscript"/>
                <w:lang w:eastAsia="en-AU"/>
              </w:rPr>
              <w:t xml:space="preserve">(b)(c) </w:t>
            </w:r>
          </w:p>
        </w:tc>
        <w:tc>
          <w:tcPr>
            <w:tcW w:w="765"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i/>
                <w:iCs/>
                <w:color w:val="000000"/>
                <w:sz w:val="17"/>
                <w:szCs w:val="20"/>
                <w:lang w:eastAsia="en-AU"/>
              </w:rPr>
            </w:pPr>
            <w:r w:rsidRPr="00B472D5">
              <w:rPr>
                <w:rFonts w:ascii="Calibri" w:eastAsiaTheme="minorEastAsia" w:hAnsi="Calibri" w:cs="Calibri"/>
                <w:i/>
                <w:iCs/>
                <w:color w:val="000000"/>
                <w:sz w:val="17"/>
                <w:szCs w:val="20"/>
                <w:lang w:eastAsia="en-AU"/>
              </w:rPr>
              <w:t xml:space="preserve"> </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7 936</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5 522</w:t>
            </w:r>
          </w:p>
        </w:tc>
        <w:tc>
          <w:tcPr>
            <w:tcW w:w="907" w:type="dxa"/>
            <w:tcBorders>
              <w:top w:val="nil"/>
              <w:left w:val="nil"/>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5 359</w:t>
            </w:r>
          </w:p>
        </w:tc>
        <w:tc>
          <w:tcPr>
            <w:tcW w:w="907" w:type="dxa"/>
            <w:tcBorders>
              <w:top w:val="nil"/>
              <w:left w:val="nil"/>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3 819</w:t>
            </w:r>
          </w:p>
        </w:tc>
      </w:tr>
      <w:tr w:rsidR="00DF17E9" w:rsidRPr="00B472D5" w:rsidTr="00AE50D6">
        <w:tc>
          <w:tcPr>
            <w:tcW w:w="524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color w:val="000000"/>
                <w:sz w:val="17"/>
                <w:szCs w:val="20"/>
                <w:vertAlign w:val="superscript"/>
                <w:lang w:eastAsia="en-AU"/>
              </w:rPr>
            </w:pPr>
            <w:r w:rsidRPr="00B472D5">
              <w:rPr>
                <w:rFonts w:ascii="Calibri" w:eastAsiaTheme="minorEastAsia" w:hAnsi="Calibri" w:cs="Calibri"/>
                <w:color w:val="000000"/>
                <w:sz w:val="17"/>
                <w:szCs w:val="20"/>
                <w:lang w:eastAsia="en-AU"/>
              </w:rPr>
              <w:t xml:space="preserve">Net cash flows from investments in non-financial assets </w:t>
            </w:r>
            <w:r w:rsidRPr="00B472D5">
              <w:rPr>
                <w:rFonts w:ascii="Calibri" w:eastAsiaTheme="minorEastAsia" w:hAnsi="Calibri" w:cs="Calibri"/>
                <w:color w:val="000000"/>
                <w:sz w:val="17"/>
                <w:szCs w:val="20"/>
                <w:vertAlign w:val="superscript"/>
                <w:lang w:eastAsia="en-AU"/>
              </w:rPr>
              <w:t>(d)</w:t>
            </w:r>
          </w:p>
        </w:tc>
        <w:tc>
          <w:tcPr>
            <w:tcW w:w="765"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i/>
                <w:iCs/>
                <w:color w:val="000000"/>
                <w:sz w:val="17"/>
                <w:szCs w:val="20"/>
                <w:lang w:eastAsia="en-AU"/>
              </w:rPr>
            </w:pPr>
            <w:r w:rsidRPr="00B472D5">
              <w:rPr>
                <w:rFonts w:ascii="Calibri" w:eastAsiaTheme="minorEastAsia" w:hAnsi="Calibri" w:cs="Calibri"/>
                <w:i/>
                <w:iCs/>
                <w:color w:val="000000"/>
                <w:sz w:val="17"/>
                <w:szCs w:val="20"/>
                <w:lang w:eastAsia="en-AU"/>
              </w:rPr>
              <w:t xml:space="preserve"> </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(6 382)</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(5 996)</w:t>
            </w:r>
          </w:p>
        </w:tc>
        <w:tc>
          <w:tcPr>
            <w:tcW w:w="907" w:type="dxa"/>
            <w:tcBorders>
              <w:top w:val="nil"/>
              <w:left w:val="nil"/>
              <w:bottom w:val="single" w:sz="6"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(4 230)</w:t>
            </w:r>
          </w:p>
        </w:tc>
        <w:tc>
          <w:tcPr>
            <w:tcW w:w="907" w:type="dxa"/>
            <w:tcBorders>
              <w:top w:val="nil"/>
              <w:left w:val="nil"/>
              <w:bottom w:val="single" w:sz="6"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Cs/>
                <w:color w:val="000000"/>
                <w:sz w:val="17"/>
                <w:szCs w:val="20"/>
                <w:lang w:eastAsia="en-AU"/>
              </w:rPr>
            </w:pPr>
            <w:r w:rsidRPr="00B472D5">
              <w:rPr>
                <w:rFonts w:ascii="Calibri" w:eastAsiaTheme="minorEastAsia" w:hAnsi="Calibri" w:cs="Calibri"/>
                <w:bCs/>
                <w:color w:val="000000"/>
                <w:sz w:val="17"/>
                <w:szCs w:val="20"/>
                <w:lang w:eastAsia="en-AU"/>
              </w:rPr>
              <w:t>(3 972)</w:t>
            </w:r>
          </w:p>
        </w:tc>
      </w:tr>
      <w:tr w:rsidR="00DF17E9" w:rsidRPr="00B472D5" w:rsidTr="00AE50D6">
        <w:tc>
          <w:tcPr>
            <w:tcW w:w="5245"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ind w:left="227" w:hanging="227"/>
              <w:rPr>
                <w:rFonts w:ascii="Calibri" w:eastAsiaTheme="minorEastAsia" w:hAnsi="Calibri" w:cs="Calibri"/>
                <w:b/>
                <w:bCs/>
                <w:color w:val="000000"/>
                <w:sz w:val="17"/>
                <w:szCs w:val="20"/>
                <w:vertAlign w:val="superscript"/>
                <w:lang w:eastAsia="en-AU"/>
              </w:rPr>
            </w:pPr>
            <w:r w:rsidRPr="00B472D5">
              <w:rPr>
                <w:rFonts w:ascii="Calibri" w:eastAsiaTheme="minorEastAsia" w:hAnsi="Calibri" w:cs="Calibri"/>
                <w:b/>
                <w:bCs/>
                <w:color w:val="000000"/>
                <w:sz w:val="17"/>
                <w:szCs w:val="20"/>
                <w:lang w:eastAsia="en-AU"/>
              </w:rPr>
              <w:t xml:space="preserve">Cash surplus/(deficit) </w:t>
            </w:r>
            <w:r w:rsidRPr="00B472D5">
              <w:rPr>
                <w:rFonts w:ascii="Calibri" w:eastAsiaTheme="minorEastAsia" w:hAnsi="Calibri" w:cs="Calibri"/>
                <w:b/>
                <w:bCs/>
                <w:color w:val="000000"/>
                <w:sz w:val="17"/>
                <w:szCs w:val="20"/>
                <w:vertAlign w:val="superscript"/>
                <w:lang w:eastAsia="en-AU"/>
              </w:rPr>
              <w:t>(b)(c)(d)</w:t>
            </w:r>
          </w:p>
        </w:tc>
        <w:tc>
          <w:tcPr>
            <w:tcW w:w="765"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jc w:val="center"/>
              <w:rPr>
                <w:rFonts w:ascii="Calibri" w:eastAsiaTheme="minorEastAsia" w:hAnsi="Calibri" w:cs="Calibri"/>
                <w:b/>
                <w:bCs/>
                <w:i/>
                <w:iCs/>
                <w:color w:val="000000"/>
                <w:sz w:val="17"/>
                <w:szCs w:val="20"/>
                <w:lang w:eastAsia="en-AU"/>
              </w:rPr>
            </w:pPr>
            <w:r w:rsidRPr="00B472D5">
              <w:rPr>
                <w:rFonts w:ascii="Calibri" w:eastAsiaTheme="minorEastAsia" w:hAnsi="Calibri" w:cs="Calibri"/>
                <w:b/>
                <w:bCs/>
                <w:i/>
                <w:iCs/>
                <w:color w:val="000000"/>
                <w:sz w:val="17"/>
                <w:szCs w:val="20"/>
                <w:lang w:eastAsia="en-AU"/>
              </w:rPr>
              <w:t xml:space="preserve"> </w:t>
            </w:r>
          </w:p>
        </w:tc>
        <w:tc>
          <w:tcPr>
            <w:tcW w:w="907" w:type="dxa"/>
            <w:tcBorders>
              <w:top w:val="single" w:sz="6" w:space="0" w:color="auto"/>
              <w:left w:val="nil"/>
              <w:bottom w:val="single" w:sz="12"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1 554</w:t>
            </w:r>
          </w:p>
        </w:tc>
        <w:tc>
          <w:tcPr>
            <w:tcW w:w="907"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(474)</w:t>
            </w:r>
          </w:p>
        </w:tc>
        <w:tc>
          <w:tcPr>
            <w:tcW w:w="907" w:type="dxa"/>
            <w:tcBorders>
              <w:top w:val="single" w:sz="6" w:space="0" w:color="auto"/>
              <w:left w:val="nil"/>
              <w:bottom w:val="single" w:sz="12" w:space="0" w:color="auto"/>
              <w:right w:val="nil"/>
            </w:tcBorders>
            <w:shd w:val="clear" w:color="auto" w:fill="EBEBEB"/>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1 129</w:t>
            </w:r>
          </w:p>
        </w:tc>
        <w:tc>
          <w:tcPr>
            <w:tcW w:w="907" w:type="dxa"/>
            <w:tcBorders>
              <w:top w:val="single" w:sz="6" w:space="0" w:color="auto"/>
              <w:left w:val="nil"/>
              <w:bottom w:val="single" w:sz="12" w:space="0" w:color="auto"/>
              <w:right w:val="nil"/>
            </w:tcBorders>
            <w:shd w:val="clear" w:color="auto" w:fill="FFFFFF"/>
          </w:tcPr>
          <w:p w:rsidR="00DF17E9" w:rsidRPr="00B472D5" w:rsidRDefault="00DF17E9" w:rsidP="00044843">
            <w:pPr>
              <w:autoSpaceDE w:val="0"/>
              <w:autoSpaceDN w:val="0"/>
              <w:adjustRightInd w:val="0"/>
              <w:spacing w:after="20" w:line="240" w:lineRule="auto"/>
              <w:jc w:val="right"/>
              <w:rPr>
                <w:rFonts w:ascii="Calibri" w:eastAsiaTheme="minorEastAsia" w:hAnsi="Calibri" w:cs="Calibri"/>
                <w:b/>
                <w:bCs/>
                <w:color w:val="000000"/>
                <w:sz w:val="17"/>
                <w:szCs w:val="20"/>
                <w:lang w:eastAsia="en-AU"/>
              </w:rPr>
            </w:pPr>
            <w:r w:rsidRPr="00B472D5">
              <w:rPr>
                <w:rFonts w:ascii="Calibri" w:eastAsiaTheme="minorEastAsia" w:hAnsi="Calibri" w:cs="Calibri"/>
                <w:b/>
                <w:bCs/>
                <w:color w:val="000000"/>
                <w:sz w:val="17"/>
                <w:szCs w:val="20"/>
                <w:lang w:eastAsia="en-AU"/>
              </w:rPr>
              <w:t>(152)</w:t>
            </w:r>
          </w:p>
        </w:tc>
      </w:tr>
    </w:tbl>
    <w:p w:rsidR="00DF17E9" w:rsidRPr="008D034E" w:rsidRDefault="00DF17E9" w:rsidP="00044843">
      <w:pPr>
        <w:pStyle w:val="Source"/>
      </w:pPr>
      <w:r w:rsidRPr="008D034E">
        <w:t>The accompanying notes form part of these financial statements.</w:t>
      </w:r>
    </w:p>
    <w:p w:rsidR="00DF17E9" w:rsidRDefault="00DF17E9">
      <w:pPr>
        <w:rPr>
          <w:rFonts w:asciiTheme="majorHAnsi" w:hAnsiTheme="majorHAnsi"/>
          <w:i/>
          <w:spacing w:val="-2"/>
          <w:sz w:val="16"/>
        </w:rPr>
      </w:pPr>
      <w:r>
        <w:br w:type="page"/>
      </w:r>
    </w:p>
    <w:p w:rsidR="00DF17E9" w:rsidRPr="008D034E" w:rsidRDefault="00DF17E9" w:rsidP="00044843">
      <w:pPr>
        <w:pStyle w:val="Note"/>
      </w:pPr>
      <w:r w:rsidRPr="008D034E">
        <w:lastRenderedPageBreak/>
        <w:t>Notes:</w:t>
      </w:r>
    </w:p>
    <w:p w:rsidR="00DF17E9" w:rsidRDefault="00DF17E9" w:rsidP="00044843">
      <w:pPr>
        <w:pStyle w:val="Note"/>
      </w:pPr>
      <w:r w:rsidRPr="008D034E">
        <w:t>(a)</w:t>
      </w:r>
      <w:r w:rsidRPr="008D034E">
        <w:tab/>
        <w:t xml:space="preserve">These items </w:t>
      </w:r>
      <w:r>
        <w:t>include</w:t>
      </w:r>
      <w:r w:rsidRPr="008D034E">
        <w:t xml:space="preserve"> goods and services tax.</w:t>
      </w:r>
    </w:p>
    <w:p w:rsidR="00DF17E9" w:rsidRPr="007F66A9" w:rsidRDefault="00DF17E9" w:rsidP="00044843">
      <w:pPr>
        <w:pStyle w:val="Note"/>
      </w:pPr>
      <w:r w:rsidRPr="007F66A9">
        <w:t>(b)</w:t>
      </w:r>
      <w:r w:rsidRPr="007F66A9">
        <w:tab/>
      </w:r>
      <w:r w:rsidRPr="00BE0F6E">
        <w:t>June 2015 comparative figures have been restated to more consistently reflect the classification of insurance entities' investment income between years.</w:t>
      </w:r>
    </w:p>
    <w:p w:rsidR="00DF17E9" w:rsidRPr="007F66A9" w:rsidRDefault="00DF17E9" w:rsidP="00044843">
      <w:pPr>
        <w:pStyle w:val="Note"/>
      </w:pPr>
      <w:r w:rsidRPr="007F66A9">
        <w:t>(c)</w:t>
      </w:r>
      <w:r w:rsidRPr="007F66A9">
        <w:tab/>
      </w:r>
      <w:r w:rsidRPr="00BE0F6E">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rsidRPr="007F66A9">
        <w:t>(d)</w:t>
      </w:r>
      <w:r w:rsidRPr="007F66A9">
        <w:tab/>
        <w:t xml:space="preserve">June 2015 comparative figures have been restated to correct contributed capital and accumulated fund balances from the </w:t>
      </w:r>
      <w:r>
        <w:t xml:space="preserve">prior year </w:t>
      </w:r>
      <w:r w:rsidRPr="007F66A9">
        <w:t>machinery of government changes.</w:t>
      </w:r>
    </w:p>
    <w:p w:rsidR="00DF17E9" w:rsidRPr="008D034E" w:rsidRDefault="00DF17E9" w:rsidP="00044843">
      <w:pPr>
        <w:pStyle w:val="Note"/>
      </w:pPr>
      <w:r>
        <w:t>(e</w:t>
      </w:r>
      <w:r w:rsidRPr="008D034E">
        <w:t>)</w:t>
      </w:r>
      <w:r w:rsidRPr="008D034E">
        <w:tab/>
        <w:t>In accordance with AASB 107, Treasury Corporation of Victoria (TCV) is not required to gross up their cash flow information for whole of government consolidation purposes. The net cash movements for TCV have been added to cash</w:t>
      </w:r>
      <w:r>
        <w:t xml:space="preserve"> </w:t>
      </w:r>
      <w:r w:rsidRPr="008D034E">
        <w:t>inflows or outflows for both financial years ended 30 June 2016 and 30 June 2015.</w:t>
      </w:r>
    </w:p>
    <w:p w:rsidR="00DF17E9" w:rsidRPr="008D034E" w:rsidRDefault="00DF17E9" w:rsidP="00044843">
      <w:pPr>
        <w:pStyle w:val="Note"/>
      </w:pPr>
      <w:r>
        <w:t>(f</w:t>
      </w:r>
      <w:r w:rsidRPr="008D034E">
        <w:t>)</w:t>
      </w:r>
      <w:r w:rsidRPr="008D034E">
        <w:tab/>
      </w:r>
      <w:r w:rsidRPr="00EA4E3F">
        <w:t>The June 2015 cash flows resulting from the schools investments in financial assets for liquidity management purposes are reported on a net basis, with the net cash movement ad</w:t>
      </w:r>
      <w:r>
        <w:t>ded to cash inflows or outflows. This is because the Department of Education and Training did not have information available from each school to determine these gross cash flows. In 2015-16, this item is represented on a gross basis as the information for the current year is available from schools.</w:t>
      </w:r>
    </w:p>
    <w:p w:rsidR="00DF17E9" w:rsidRDefault="00DF17E9" w:rsidP="00044843">
      <w:pPr>
        <w:pStyle w:val="Note"/>
      </w:pPr>
      <w:r>
        <w:t>(g</w:t>
      </w:r>
      <w:r w:rsidRPr="008D034E">
        <w:t>)</w:t>
      </w:r>
      <w:r w:rsidRPr="008D034E">
        <w:tab/>
        <w:t xml:space="preserve">Cash and cash equivalents at the end of the reporting period does not equal cash and deposits on the balance sheet. This is due to overdrafts being included in the cash flow </w:t>
      </w:r>
      <w:r>
        <w:t>statement balances. See Note 5.3</w:t>
      </w:r>
      <w:r w:rsidRPr="008D034E">
        <w:t>.</w:t>
      </w:r>
    </w:p>
    <w:p w:rsidR="00DF17E9" w:rsidRDefault="00DF17E9" w:rsidP="00044843">
      <w:pPr>
        <w:pStyle w:val="Note"/>
        <w:sectPr w:rsidR="00DF17E9" w:rsidSect="00A9345E">
          <w:headerReference w:type="even" r:id="rId70"/>
          <w:headerReference w:type="default" r:id="rId71"/>
          <w:pgSz w:w="11906" w:h="16838" w:code="9"/>
          <w:pgMar w:top="1134" w:right="1134" w:bottom="1134" w:left="1134" w:header="624" w:footer="567" w:gutter="0"/>
          <w:cols w:space="708"/>
          <w:docGrid w:linePitch="360"/>
        </w:sectPr>
      </w:pPr>
    </w:p>
    <w:p w:rsidR="00DF17E9" w:rsidRPr="00720B4C" w:rsidRDefault="00DF17E9" w:rsidP="00720B4C">
      <w:pPr>
        <w:pStyle w:val="Heading1unnumbered"/>
      </w:pPr>
      <w:bookmarkStart w:id="10" w:name="Consolidated_SOCIE"/>
      <w:r w:rsidRPr="00720B4C">
        <w:lastRenderedPageBreak/>
        <w:t>Consolidated Statement of Changes in Equity</w:t>
      </w:r>
      <w:bookmarkEnd w:id="10"/>
    </w:p>
    <w:p w:rsidR="00DF17E9" w:rsidRPr="00B472D5" w:rsidRDefault="00DF17E9" w:rsidP="00044843">
      <w:pPr>
        <w:pStyle w:val="Subheading"/>
        <w:spacing w:before="80"/>
        <w:rPr>
          <w:bCs/>
          <w:sz w:val="16"/>
          <w:lang w:val="en-US"/>
        </w:rPr>
      </w:pPr>
      <w:r w:rsidRPr="00720B4C">
        <w:t>For the financial year ended 30 June</w:t>
      </w:r>
      <w:r>
        <w:tab/>
      </w:r>
      <w:r>
        <w:tab/>
      </w:r>
      <w:r w:rsidRPr="00D71612">
        <w:rPr>
          <w:rStyle w:val="TableUnitsChar"/>
        </w:rPr>
        <w:t>($ million)</w:t>
      </w:r>
    </w:p>
    <w:tbl>
      <w:tblPr>
        <w:tblStyle w:val="TableDTFGeneral"/>
        <w:tblW w:w="14690" w:type="dxa"/>
        <w:tblLayout w:type="fixed"/>
        <w:tblLook w:val="02A0" w:firstRow="1" w:lastRow="0" w:firstColumn="1" w:lastColumn="0" w:noHBand="1" w:noVBand="0"/>
      </w:tblPr>
      <w:tblGrid>
        <w:gridCol w:w="8391"/>
        <w:gridCol w:w="1276"/>
        <w:gridCol w:w="1417"/>
        <w:gridCol w:w="1701"/>
        <w:gridCol w:w="992"/>
        <w:gridCol w:w="913"/>
      </w:tblGrid>
      <w:tr w:rsidR="00DF17E9" w:rsidRPr="00B472D5"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0" w:firstLine="0"/>
              <w:rPr>
                <w:color w:val="FFFFFF"/>
                <w:sz w:val="16"/>
              </w:rPr>
            </w:pPr>
            <w:r w:rsidRPr="00B472D5">
              <w:rPr>
                <w:color w:val="FFFFFF"/>
                <w:sz w:val="16"/>
              </w:rPr>
              <w:t>State of Victoria</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FFFFFF"/>
                <w:sz w:val="16"/>
              </w:rPr>
            </w:pPr>
            <w:r w:rsidRPr="00B472D5">
              <w:rPr>
                <w:color w:val="FFFFFF"/>
                <w:sz w:val="16"/>
              </w:rPr>
              <w:t xml:space="preserve">Accumulated surplus/(deficit) </w:t>
            </w:r>
          </w:p>
        </w:tc>
        <w:tc>
          <w:tcPr>
            <w:tcW w:w="1417"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Non-controlling interest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FFFFFF"/>
                <w:sz w:val="16"/>
              </w:rPr>
            </w:pPr>
            <w:r w:rsidRPr="00B472D5">
              <w:rPr>
                <w:color w:val="FFFFFF"/>
                <w:sz w:val="16"/>
              </w:rPr>
              <w:t xml:space="preserve">Non-financial assets revaluation surplus </w:t>
            </w:r>
            <w:r w:rsidRPr="00B472D5">
              <w:rPr>
                <w:color w:val="FFFFFF"/>
                <w:sz w:val="16"/>
                <w:vertAlign w:val="superscript"/>
              </w:rPr>
              <w:t>(a)</w:t>
            </w:r>
          </w:p>
        </w:tc>
        <w:tc>
          <w:tcPr>
            <w:tcW w:w="992"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Other reserves</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FFFFFF"/>
                <w:sz w:val="16"/>
              </w:rPr>
            </w:pPr>
            <w:r w:rsidRPr="00B472D5">
              <w:rPr>
                <w:color w:val="FFFFFF"/>
                <w:sz w:val="16"/>
              </w:rPr>
              <w:t>Total</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b/>
                <w:color w:val="000000"/>
                <w:sz w:val="16"/>
              </w:rPr>
              <w:t>2016</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b/>
                <w:color w:val="000000"/>
                <w:sz w:val="16"/>
              </w:rPr>
              <w:t xml:space="preserve"> </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jc w:val="left"/>
              <w:rPr>
                <w:color w:val="000000"/>
                <w:sz w:val="16"/>
              </w:rPr>
            </w:pPr>
            <w:r w:rsidRPr="00B472D5">
              <w:rPr>
                <w:b/>
                <w:color w:val="000000"/>
                <w:sz w:val="16"/>
              </w:rPr>
              <w:t xml:space="preserve"> </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b/>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 xml:space="preserve">Balance at 1 July 2015 </w:t>
            </w:r>
            <w:r w:rsidRPr="00B472D5">
              <w:rPr>
                <w:color w:val="000000"/>
                <w:sz w:val="16"/>
                <w:vertAlign w:val="superscript"/>
              </w:rPr>
              <w:t>(b)(c)</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color w:val="000000"/>
                <w:sz w:val="16"/>
              </w:rPr>
              <w:t>61 285</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50</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sidRPr="00B472D5">
              <w:rPr>
                <w:color w:val="000000"/>
                <w:sz w:val="16"/>
              </w:rPr>
              <w:t>77 429</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1 201</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color w:val="000000"/>
                <w:sz w:val="16"/>
              </w:rPr>
              <w:t>139 966</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Net result for the year</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color w:val="000000"/>
                <w:sz w:val="16"/>
              </w:rPr>
              <w:t>(1 640)</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sidRPr="00B472D5">
              <w:rPr>
                <w:color w:val="000000"/>
                <w:sz w:val="16"/>
              </w:rPr>
              <w:t>..</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color w:val="000000"/>
                <w:sz w:val="16"/>
              </w:rPr>
              <w:t>(1 640)</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color w:val="000000"/>
                <w:sz w:val="16"/>
              </w:rPr>
              <w:t>(3 390)</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sidRPr="00B472D5">
              <w:rPr>
                <w:color w:val="000000"/>
                <w:sz w:val="16"/>
              </w:rPr>
              <w:t>17 514</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(158)</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color w:val="000000"/>
                <w:sz w:val="16"/>
              </w:rPr>
              <w:t>13 965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Dividends paid</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bottom w:val="nil"/>
            </w:tcBorders>
          </w:tcPr>
          <w:p w:rsidR="00DF17E9" w:rsidRPr="00B472D5" w:rsidRDefault="00DF17E9" w:rsidP="00044843">
            <w:pPr>
              <w:spacing w:before="0" w:after="0"/>
              <w:ind w:left="113" w:hanging="113"/>
              <w:rPr>
                <w:color w:val="000000"/>
                <w:sz w:val="16"/>
              </w:rPr>
            </w:pPr>
            <w:r w:rsidRPr="00B472D5">
              <w:rPr>
                <w:color w:val="000000"/>
                <w:sz w:val="16"/>
              </w:rPr>
              <w:t>Transfer to/(from) accumulated surplus</w:t>
            </w:r>
          </w:p>
        </w:tc>
        <w:tc>
          <w:tcPr>
            <w:cnfStyle w:val="000010000000" w:firstRow="0" w:lastRow="0" w:firstColumn="0" w:lastColumn="0" w:oddVBand="1" w:evenVBand="0" w:oddHBand="0" w:evenHBand="0" w:firstRowFirstColumn="0" w:firstRowLastColumn="0" w:lastRowFirstColumn="0" w:lastRowLastColumn="0"/>
            <w:tcW w:w="1276" w:type="dxa"/>
            <w:tcBorders>
              <w:bottom w:val="nil"/>
            </w:tcBorders>
          </w:tcPr>
          <w:p w:rsidR="00DF17E9" w:rsidRPr="00B472D5" w:rsidRDefault="00DF17E9" w:rsidP="00044843">
            <w:pPr>
              <w:spacing w:before="0" w:after="0"/>
              <w:rPr>
                <w:color w:val="000000"/>
                <w:sz w:val="16"/>
              </w:rPr>
            </w:pPr>
            <w:r w:rsidRPr="00B472D5">
              <w:rPr>
                <w:color w:val="000000"/>
                <w:sz w:val="16"/>
              </w:rPr>
              <w:t>(22)</w:t>
            </w:r>
          </w:p>
        </w:tc>
        <w:tc>
          <w:tcPr>
            <w:tcW w:w="1417"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1701" w:type="dxa"/>
            <w:tcBorders>
              <w:bottom w:val="nil"/>
            </w:tcBorders>
          </w:tcPr>
          <w:p w:rsidR="00DF17E9" w:rsidRPr="00B472D5" w:rsidRDefault="00DF17E9" w:rsidP="00044843">
            <w:pPr>
              <w:spacing w:before="0" w:after="0"/>
              <w:rPr>
                <w:color w:val="000000"/>
                <w:sz w:val="16"/>
              </w:rPr>
            </w:pPr>
            <w:r w:rsidRPr="00B472D5">
              <w:rPr>
                <w:color w:val="000000"/>
                <w:sz w:val="16"/>
              </w:rPr>
              <w:t>22</w:t>
            </w:r>
          </w:p>
        </w:tc>
        <w:tc>
          <w:tcPr>
            <w:tcW w:w="992"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B472D5" w:rsidRDefault="00DF17E9" w:rsidP="00044843">
            <w:pPr>
              <w:spacing w:before="0" w:after="0"/>
              <w:rPr>
                <w:color w:val="000000"/>
                <w:sz w:val="16"/>
              </w:rPr>
            </w:pPr>
            <w:r w:rsidRPr="00B472D5">
              <w:rPr>
                <w:color w:val="000000"/>
                <w:sz w:val="16"/>
              </w:rPr>
              <w:t>..</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bottom w:val="single" w:sz="6" w:space="0" w:color="auto"/>
            </w:tcBorders>
          </w:tcPr>
          <w:p w:rsidR="00DF17E9" w:rsidRPr="00B472D5" w:rsidRDefault="00DF17E9" w:rsidP="00044843">
            <w:pPr>
              <w:spacing w:before="0" w:after="0"/>
              <w:ind w:left="113" w:hanging="113"/>
              <w:rPr>
                <w:color w:val="000000"/>
                <w:sz w:val="16"/>
              </w:rPr>
            </w:pPr>
            <w:r w:rsidRPr="00B472D5">
              <w:rPr>
                <w:color w:val="000000"/>
                <w:sz w:val="16"/>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6" w:space="0" w:color="auto"/>
            </w:tcBorders>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1417"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992"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top w:val="single" w:sz="6" w:space="0" w:color="auto"/>
              <w:bottom w:val="single" w:sz="12" w:space="0" w:color="auto"/>
            </w:tcBorders>
          </w:tcPr>
          <w:p w:rsidR="00DF17E9" w:rsidRPr="00B472D5" w:rsidRDefault="00DF17E9" w:rsidP="00044843">
            <w:pPr>
              <w:spacing w:before="0" w:after="0"/>
              <w:ind w:left="113" w:hanging="113"/>
              <w:rPr>
                <w:b/>
                <w:color w:val="000000"/>
                <w:sz w:val="16"/>
              </w:rPr>
            </w:pPr>
            <w:r w:rsidRPr="00B472D5">
              <w:rPr>
                <w:b/>
                <w:color w:val="000000"/>
                <w:sz w:val="16"/>
              </w:rPr>
              <w:t>Total equity as at 30 June 2016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6" w:space="0" w:color="auto"/>
              <w:bottom w:val="single" w:sz="12" w:space="0" w:color="auto"/>
            </w:tcBorders>
          </w:tcPr>
          <w:p w:rsidR="00DF17E9" w:rsidRPr="00B472D5" w:rsidRDefault="00DF17E9" w:rsidP="00044843">
            <w:pPr>
              <w:spacing w:before="0" w:after="0"/>
              <w:rPr>
                <w:b/>
                <w:color w:val="000000"/>
                <w:sz w:val="16"/>
              </w:rPr>
            </w:pPr>
            <w:r w:rsidRPr="00B472D5">
              <w:rPr>
                <w:b/>
                <w:color w:val="000000"/>
                <w:sz w:val="16"/>
              </w:rPr>
              <w:t>56 234</w:t>
            </w:r>
          </w:p>
        </w:tc>
        <w:tc>
          <w:tcPr>
            <w:tcW w:w="1417"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50</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tcPr>
          <w:p w:rsidR="00DF17E9" w:rsidRPr="00B472D5" w:rsidRDefault="00DF17E9" w:rsidP="00044843">
            <w:pPr>
              <w:spacing w:before="0" w:after="0"/>
              <w:rPr>
                <w:b/>
                <w:color w:val="000000"/>
                <w:sz w:val="16"/>
              </w:rPr>
            </w:pPr>
            <w:r w:rsidRPr="00B472D5">
              <w:rPr>
                <w:b/>
                <w:color w:val="000000"/>
                <w:sz w:val="16"/>
              </w:rPr>
              <w:t>94 965</w:t>
            </w:r>
          </w:p>
        </w:tc>
        <w:tc>
          <w:tcPr>
            <w:tcW w:w="992"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1 042</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bottom w:val="single" w:sz="12" w:space="0" w:color="auto"/>
            </w:tcBorders>
          </w:tcPr>
          <w:p w:rsidR="00DF17E9" w:rsidRPr="00B472D5" w:rsidRDefault="00DF17E9" w:rsidP="00044843">
            <w:pPr>
              <w:spacing w:before="0" w:after="0"/>
              <w:rPr>
                <w:b/>
                <w:color w:val="000000"/>
                <w:sz w:val="16"/>
              </w:rPr>
            </w:pPr>
            <w:r w:rsidRPr="00B472D5">
              <w:rPr>
                <w:b/>
                <w:color w:val="000000"/>
                <w:sz w:val="16"/>
              </w:rPr>
              <w:t>152 291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top w:val="single" w:sz="12" w:space="0" w:color="auto"/>
            </w:tcBorders>
          </w:tcPr>
          <w:p w:rsidR="00DF17E9" w:rsidRPr="00B472D5" w:rsidRDefault="00DF17E9" w:rsidP="00044843">
            <w:pPr>
              <w:spacing w:before="0" w:after="0"/>
              <w:ind w:left="113" w:hanging="113"/>
              <w:rPr>
                <w:color w:val="000000"/>
                <w:sz w:val="16"/>
              </w:rPr>
            </w:pPr>
            <w:r w:rsidRPr="00B472D5">
              <w:rPr>
                <w:b/>
                <w:color w:val="000000"/>
                <w:sz w:val="16"/>
              </w:rPr>
              <w:t>2015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auto"/>
            </w:tcBorders>
          </w:tcPr>
          <w:p w:rsidR="00DF17E9" w:rsidRPr="00B472D5" w:rsidRDefault="00DF17E9" w:rsidP="00044843">
            <w:pPr>
              <w:spacing w:before="0" w:after="0"/>
              <w:rPr>
                <w:color w:val="000000"/>
                <w:sz w:val="16"/>
              </w:rPr>
            </w:pPr>
            <w:r w:rsidRPr="00B472D5">
              <w:rPr>
                <w:b/>
                <w:color w:val="000000"/>
                <w:sz w:val="16"/>
              </w:rPr>
              <w:t xml:space="preserve"> </w:t>
            </w:r>
          </w:p>
        </w:tc>
        <w:tc>
          <w:tcPr>
            <w:tcW w:w="1417" w:type="dxa"/>
            <w:tcBorders>
              <w:top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top w:val="single" w:sz="12" w:space="0" w:color="auto"/>
            </w:tcBorders>
          </w:tcPr>
          <w:p w:rsidR="00DF17E9" w:rsidRPr="00B472D5" w:rsidRDefault="00DF17E9" w:rsidP="00044843">
            <w:pPr>
              <w:spacing w:before="0" w:after="0"/>
              <w:jc w:val="left"/>
              <w:rPr>
                <w:color w:val="000000"/>
                <w:sz w:val="16"/>
              </w:rPr>
            </w:pPr>
            <w:r w:rsidRPr="00B472D5">
              <w:rPr>
                <w:b/>
                <w:color w:val="000000"/>
                <w:sz w:val="16"/>
              </w:rPr>
              <w:t xml:space="preserve"> </w:t>
            </w:r>
          </w:p>
        </w:tc>
        <w:tc>
          <w:tcPr>
            <w:tcW w:w="992" w:type="dxa"/>
            <w:tcBorders>
              <w:top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13" w:type="dxa"/>
            <w:tcBorders>
              <w:top w:val="single" w:sz="12" w:space="0" w:color="auto"/>
            </w:tcBorders>
          </w:tcPr>
          <w:p w:rsidR="00DF17E9" w:rsidRPr="00B472D5" w:rsidRDefault="00DF17E9" w:rsidP="00044843">
            <w:pPr>
              <w:spacing w:before="0" w:after="0"/>
              <w:rPr>
                <w:color w:val="000000"/>
                <w:sz w:val="16"/>
              </w:rPr>
            </w:pPr>
            <w:r w:rsidRPr="00B472D5">
              <w:rPr>
                <w:b/>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vertAlign w:val="superscript"/>
              </w:rPr>
            </w:pPr>
            <w:r w:rsidRPr="00B472D5">
              <w:rPr>
                <w:color w:val="000000"/>
                <w:sz w:val="16"/>
              </w:rPr>
              <w:t xml:space="preserve">Balance at 1 July 2014 </w:t>
            </w:r>
            <w:r w:rsidRPr="00B472D5">
              <w:rPr>
                <w:color w:val="000000"/>
                <w:sz w:val="16"/>
                <w:vertAlign w:val="superscript"/>
              </w:rPr>
              <w:t>(b)</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color w:val="000000"/>
                <w:sz w:val="16"/>
              </w:rPr>
              <w:t>45 511</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50</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sidRPr="00B472D5">
              <w:rPr>
                <w:color w:val="000000"/>
                <w:sz w:val="16"/>
              </w:rPr>
              <w:t>85 437</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1 161</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color w:val="000000"/>
                <w:sz w:val="16"/>
              </w:rPr>
              <w:t>132 158</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Net result for the year</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color w:val="000000"/>
                <w:sz w:val="16"/>
              </w:rPr>
              <w:t>51</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sidRPr="00B472D5">
              <w:rPr>
                <w:color w:val="000000"/>
                <w:sz w:val="16"/>
              </w:rPr>
              <w:t>..</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color w:val="000000"/>
                <w:sz w:val="16"/>
              </w:rPr>
              <w:t>51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 xml:space="preserve">Other comprehensive income for the year </w:t>
            </w:r>
            <w:r w:rsidRPr="00B472D5">
              <w:rPr>
                <w:color w:val="000000"/>
                <w:sz w:val="16"/>
                <w:vertAlign w:val="superscript"/>
              </w:rPr>
              <w:t>(b)(c)</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sidRPr="00B472D5">
              <w:rPr>
                <w:color w:val="000000"/>
                <w:sz w:val="16"/>
              </w:rPr>
              <w:t>312</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sidRPr="00B472D5">
              <w:rPr>
                <w:color w:val="000000"/>
                <w:sz w:val="16"/>
              </w:rPr>
              <w:t>7 404</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40</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sidRPr="00B472D5">
              <w:rPr>
                <w:color w:val="000000"/>
                <w:sz w:val="16"/>
              </w:rPr>
              <w:t>7 757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Pr>
          <w:p w:rsidR="00DF17E9" w:rsidRPr="00B472D5" w:rsidRDefault="00DF17E9" w:rsidP="00044843">
            <w:pPr>
              <w:spacing w:before="0" w:after="0"/>
              <w:ind w:left="113" w:hanging="113"/>
              <w:rPr>
                <w:color w:val="000000"/>
                <w:sz w:val="16"/>
              </w:rPr>
            </w:pPr>
            <w:r w:rsidRPr="00B472D5">
              <w:rPr>
                <w:color w:val="000000"/>
                <w:sz w:val="16"/>
              </w:rPr>
              <w:t>Dividends paid</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1417"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bottom w:val="nil"/>
            </w:tcBorders>
          </w:tcPr>
          <w:p w:rsidR="00DF17E9" w:rsidRPr="00B472D5" w:rsidRDefault="00DF17E9" w:rsidP="00044843">
            <w:pPr>
              <w:spacing w:before="0" w:after="0"/>
              <w:ind w:left="113" w:hanging="113"/>
              <w:rPr>
                <w:color w:val="000000"/>
                <w:sz w:val="16"/>
              </w:rPr>
            </w:pPr>
            <w:r w:rsidRPr="00B472D5">
              <w:rPr>
                <w:color w:val="000000"/>
                <w:sz w:val="16"/>
              </w:rPr>
              <w:t xml:space="preserve">Transfer to/(from) accumulated surplus </w:t>
            </w:r>
            <w:r w:rsidRPr="00B472D5">
              <w:rPr>
                <w:color w:val="000000"/>
                <w:sz w:val="16"/>
                <w:vertAlign w:val="superscript"/>
              </w:rPr>
              <w:t>(c)</w:t>
            </w:r>
          </w:p>
        </w:tc>
        <w:tc>
          <w:tcPr>
            <w:cnfStyle w:val="000010000000" w:firstRow="0" w:lastRow="0" w:firstColumn="0" w:lastColumn="0" w:oddVBand="1" w:evenVBand="0" w:oddHBand="0" w:evenHBand="0" w:firstRowFirstColumn="0" w:firstRowLastColumn="0" w:lastRowFirstColumn="0" w:lastRowLastColumn="0"/>
            <w:tcW w:w="1276" w:type="dxa"/>
            <w:tcBorders>
              <w:bottom w:val="nil"/>
            </w:tcBorders>
          </w:tcPr>
          <w:p w:rsidR="00DF17E9" w:rsidRPr="00B472D5" w:rsidRDefault="00DF17E9" w:rsidP="00044843">
            <w:pPr>
              <w:spacing w:before="0" w:after="0"/>
              <w:rPr>
                <w:color w:val="000000"/>
                <w:sz w:val="16"/>
              </w:rPr>
            </w:pPr>
            <w:r w:rsidRPr="00B472D5">
              <w:rPr>
                <w:color w:val="000000"/>
                <w:sz w:val="16"/>
              </w:rPr>
              <w:t>15 412</w:t>
            </w:r>
          </w:p>
        </w:tc>
        <w:tc>
          <w:tcPr>
            <w:tcW w:w="1417"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1701" w:type="dxa"/>
            <w:tcBorders>
              <w:bottom w:val="nil"/>
            </w:tcBorders>
          </w:tcPr>
          <w:p w:rsidR="00DF17E9" w:rsidRPr="00B472D5" w:rsidRDefault="00DF17E9" w:rsidP="00044843">
            <w:pPr>
              <w:spacing w:before="0" w:after="0"/>
              <w:rPr>
                <w:color w:val="000000"/>
                <w:sz w:val="16"/>
              </w:rPr>
            </w:pPr>
            <w:r w:rsidRPr="00B472D5">
              <w:rPr>
                <w:color w:val="000000"/>
                <w:sz w:val="16"/>
              </w:rPr>
              <w:t>(15 412)</w:t>
            </w:r>
          </w:p>
        </w:tc>
        <w:tc>
          <w:tcPr>
            <w:tcW w:w="992"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B472D5" w:rsidRDefault="00DF17E9" w:rsidP="00044843">
            <w:pPr>
              <w:spacing w:before="0" w:after="0"/>
              <w:rPr>
                <w:color w:val="000000"/>
                <w:sz w:val="16"/>
              </w:rPr>
            </w:pPr>
            <w:r w:rsidRPr="00B472D5">
              <w:rPr>
                <w:color w:val="000000"/>
                <w:sz w:val="16"/>
              </w:rPr>
              <w:t>..</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bottom w:val="single" w:sz="6" w:space="0" w:color="auto"/>
            </w:tcBorders>
          </w:tcPr>
          <w:p w:rsidR="00DF17E9" w:rsidRPr="00B472D5" w:rsidRDefault="00DF17E9" w:rsidP="00044843">
            <w:pPr>
              <w:spacing w:before="0" w:after="0"/>
              <w:ind w:left="113" w:hanging="113"/>
              <w:rPr>
                <w:color w:val="000000"/>
                <w:sz w:val="16"/>
              </w:rPr>
            </w:pPr>
            <w:r w:rsidRPr="00B472D5">
              <w:rPr>
                <w:color w:val="000000"/>
                <w:sz w:val="16"/>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6" w:space="0" w:color="auto"/>
            </w:tcBorders>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1417"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c>
          <w:tcPr>
            <w:tcW w:w="992"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DF17E9" w:rsidRPr="00B472D5" w:rsidRDefault="00DF17E9" w:rsidP="00044843">
            <w:pPr>
              <w:spacing w:before="0" w:after="0"/>
              <w:rPr>
                <w:color w:val="000000"/>
                <w:sz w:val="16"/>
              </w:rPr>
            </w:pPr>
            <w:r>
              <w:rPr>
                <w:color w:val="000000"/>
                <w:sz w:val="16"/>
              </w:rPr>
              <w:t>..</w:t>
            </w:r>
            <w:r w:rsidRPr="00B472D5">
              <w:rPr>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8391" w:type="dxa"/>
            <w:tcBorders>
              <w:top w:val="single" w:sz="6" w:space="0" w:color="auto"/>
              <w:bottom w:val="single" w:sz="12" w:space="0" w:color="auto"/>
            </w:tcBorders>
          </w:tcPr>
          <w:p w:rsidR="00DF17E9" w:rsidRPr="00B472D5" w:rsidRDefault="00DF17E9" w:rsidP="00044843">
            <w:pPr>
              <w:spacing w:before="0" w:after="0"/>
              <w:ind w:left="113" w:hanging="113"/>
              <w:rPr>
                <w:color w:val="000000"/>
                <w:sz w:val="16"/>
              </w:rPr>
            </w:pPr>
            <w:r w:rsidRPr="00B472D5">
              <w:rPr>
                <w:b/>
                <w:color w:val="000000"/>
                <w:sz w:val="16"/>
              </w:rPr>
              <w:t xml:space="preserve">Total equity as at 30 June 2015 </w:t>
            </w:r>
            <w:r w:rsidRPr="00B472D5">
              <w:rPr>
                <w:b/>
                <w:color w:val="000000"/>
                <w:sz w:val="16"/>
                <w:vertAlign w:val="superscript"/>
              </w:rPr>
              <w:t>(b)(c)</w:t>
            </w:r>
          </w:p>
        </w:tc>
        <w:tc>
          <w:tcPr>
            <w:cnfStyle w:val="000010000000" w:firstRow="0" w:lastRow="0" w:firstColumn="0" w:lastColumn="0" w:oddVBand="1" w:evenVBand="0" w:oddHBand="0" w:evenHBand="0" w:firstRowFirstColumn="0" w:firstRowLastColumn="0" w:lastRowFirstColumn="0" w:lastRowLastColumn="0"/>
            <w:tcW w:w="1276" w:type="dxa"/>
            <w:tcBorders>
              <w:top w:val="single" w:sz="6" w:space="0" w:color="auto"/>
              <w:bottom w:val="single" w:sz="12" w:space="0" w:color="auto"/>
            </w:tcBorders>
          </w:tcPr>
          <w:p w:rsidR="00DF17E9" w:rsidRPr="00B472D5" w:rsidRDefault="00DF17E9" w:rsidP="00044843">
            <w:pPr>
              <w:spacing w:before="0" w:after="0"/>
              <w:rPr>
                <w:b/>
                <w:color w:val="000000"/>
                <w:sz w:val="16"/>
              </w:rPr>
            </w:pPr>
            <w:r w:rsidRPr="00B472D5">
              <w:rPr>
                <w:b/>
                <w:color w:val="000000"/>
                <w:sz w:val="16"/>
              </w:rPr>
              <w:t>61 285</w:t>
            </w:r>
          </w:p>
        </w:tc>
        <w:tc>
          <w:tcPr>
            <w:tcW w:w="1417"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50</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tcPr>
          <w:p w:rsidR="00DF17E9" w:rsidRPr="00B472D5" w:rsidRDefault="00DF17E9" w:rsidP="00044843">
            <w:pPr>
              <w:spacing w:before="0" w:after="0"/>
              <w:rPr>
                <w:b/>
                <w:color w:val="000000"/>
                <w:sz w:val="16"/>
              </w:rPr>
            </w:pPr>
            <w:r w:rsidRPr="00B472D5">
              <w:rPr>
                <w:b/>
                <w:color w:val="000000"/>
                <w:sz w:val="16"/>
              </w:rPr>
              <w:t>77 429</w:t>
            </w:r>
          </w:p>
        </w:tc>
        <w:tc>
          <w:tcPr>
            <w:tcW w:w="992"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1 201</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bottom w:val="single" w:sz="12" w:space="0" w:color="auto"/>
            </w:tcBorders>
          </w:tcPr>
          <w:p w:rsidR="00DF17E9" w:rsidRPr="00B472D5" w:rsidRDefault="00DF17E9" w:rsidP="00044843">
            <w:pPr>
              <w:spacing w:before="0" w:after="0"/>
              <w:rPr>
                <w:b/>
                <w:color w:val="000000"/>
                <w:sz w:val="16"/>
              </w:rPr>
            </w:pPr>
            <w:r w:rsidRPr="00B472D5">
              <w:rPr>
                <w:b/>
                <w:color w:val="000000"/>
                <w:sz w:val="16"/>
              </w:rPr>
              <w:t>139 966</w:t>
            </w:r>
          </w:p>
        </w:tc>
      </w:tr>
    </w:tbl>
    <w:p w:rsidR="00DF17E9" w:rsidRPr="00B472D5" w:rsidRDefault="00DF17E9" w:rsidP="00044843">
      <w:pPr>
        <w:pStyle w:val="Source"/>
        <w:spacing w:after="0"/>
        <w:rPr>
          <w:b/>
          <w:bCs/>
          <w:i w:val="0"/>
          <w:spacing w:val="4"/>
          <w:lang w:val="en-US"/>
        </w:rPr>
      </w:pPr>
    </w:p>
    <w:tbl>
      <w:tblPr>
        <w:tblStyle w:val="TableDTFGeneral"/>
        <w:tblW w:w="14689" w:type="dxa"/>
        <w:tblLayout w:type="fixed"/>
        <w:tblLook w:val="06A0" w:firstRow="1" w:lastRow="0" w:firstColumn="1" w:lastColumn="0" w:noHBand="1" w:noVBand="1"/>
      </w:tblPr>
      <w:tblGrid>
        <w:gridCol w:w="7117"/>
        <w:gridCol w:w="1276"/>
        <w:gridCol w:w="1275"/>
        <w:gridCol w:w="1418"/>
        <w:gridCol w:w="1701"/>
        <w:gridCol w:w="992"/>
        <w:gridCol w:w="910"/>
      </w:tblGrid>
      <w:tr w:rsidR="00DF17E9" w:rsidRPr="00B472D5"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FFFFFF"/>
                <w:sz w:val="16"/>
              </w:rPr>
            </w:pPr>
            <w:r w:rsidRPr="00B472D5">
              <w:rPr>
                <w:color w:val="FFFFFF"/>
                <w:sz w:val="16"/>
              </w:rPr>
              <w:t>General government sector</w:t>
            </w:r>
          </w:p>
        </w:tc>
        <w:tc>
          <w:tcPr>
            <w:tcW w:w="1276"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Accumulated surplus/(deficit)</w:t>
            </w:r>
          </w:p>
        </w:tc>
        <w:tc>
          <w:tcPr>
            <w:tcW w:w="1275"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 xml:space="preserve">Non-controlling </w:t>
            </w:r>
            <w:r w:rsidR="00AE50D6" w:rsidRPr="00B472D5">
              <w:rPr>
                <w:color w:val="FFFFFF"/>
                <w:sz w:val="16"/>
              </w:rPr>
              <w:t>interest</w:t>
            </w:r>
          </w:p>
        </w:tc>
        <w:tc>
          <w:tcPr>
            <w:tcW w:w="1418"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 xml:space="preserve">Non-financial assets revaluation surplus </w:t>
            </w:r>
            <w:r w:rsidRPr="00B472D5">
              <w:rPr>
                <w:color w:val="FFFFFF"/>
                <w:sz w:val="16"/>
                <w:vertAlign w:val="superscript"/>
              </w:rPr>
              <w:t>(a)</w:t>
            </w:r>
          </w:p>
        </w:tc>
        <w:tc>
          <w:tcPr>
            <w:tcW w:w="1701"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Investment in other sector entities revaluation surplus</w:t>
            </w:r>
          </w:p>
        </w:tc>
        <w:tc>
          <w:tcPr>
            <w:tcW w:w="992"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Other reserves</w:t>
            </w:r>
          </w:p>
        </w:tc>
        <w:tc>
          <w:tcPr>
            <w:tcW w:w="910" w:type="dxa"/>
          </w:tcPr>
          <w:p w:rsidR="00DF17E9" w:rsidRPr="00B472D5"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6"/>
              </w:rPr>
            </w:pPr>
            <w:r w:rsidRPr="00B472D5">
              <w:rPr>
                <w:color w:val="FFFFFF"/>
                <w:sz w:val="16"/>
              </w:rPr>
              <w:t>Total</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rPr>
            </w:pPr>
            <w:r w:rsidRPr="00B472D5">
              <w:rPr>
                <w:b/>
                <w:color w:val="000000"/>
                <w:sz w:val="16"/>
              </w:rPr>
              <w:t>2016</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1275" w:type="dxa"/>
            <w:shd w:val="clear" w:color="auto" w:fill="EBEBEB"/>
          </w:tcPr>
          <w:p w:rsidR="00DF17E9" w:rsidRPr="00B472D5"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1418" w:type="dxa"/>
          </w:tcPr>
          <w:p w:rsidR="00DF17E9" w:rsidRPr="00B472D5"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1701" w:type="dxa"/>
            <w:shd w:val="clear" w:color="auto" w:fill="EBEBEB"/>
          </w:tcPr>
          <w:p w:rsidR="00DF17E9" w:rsidRPr="00B472D5"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rPr>
            </w:pPr>
            <w:r w:rsidRPr="00B472D5">
              <w:rPr>
                <w:color w:val="000000"/>
                <w:sz w:val="16"/>
              </w:rPr>
              <w:t xml:space="preserve">Balance at 1 July 2015 </w:t>
            </w:r>
            <w:r w:rsidRPr="00B472D5">
              <w:rPr>
                <w:color w:val="000000"/>
                <w:sz w:val="16"/>
                <w:vertAlign w:val="superscript"/>
              </w:rPr>
              <w:t>(b)(c)</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45 764</w:t>
            </w:r>
          </w:p>
        </w:tc>
        <w:tc>
          <w:tcPr>
            <w:tcW w:w="1275"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50</w:t>
            </w:r>
          </w:p>
        </w:tc>
        <w:tc>
          <w:tcPr>
            <w:tcW w:w="1418"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43 355</w:t>
            </w:r>
          </w:p>
        </w:tc>
        <w:tc>
          <w:tcPr>
            <w:tcW w:w="1701"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46 494</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728</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136 391</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rPr>
            </w:pPr>
            <w:r w:rsidRPr="00B472D5">
              <w:rPr>
                <w:color w:val="000000"/>
                <w:sz w:val="16"/>
              </w:rPr>
              <w:t>Net result for the year</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1 817</w:t>
            </w:r>
          </w:p>
        </w:tc>
        <w:tc>
          <w:tcPr>
            <w:tcW w:w="1275"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418"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701"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1 817</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rPr>
            </w:pPr>
            <w:r w:rsidRPr="00B472D5">
              <w:rPr>
                <w:color w:val="000000"/>
                <w:sz w:val="16"/>
              </w:rPr>
              <w:t>Other comprehensive income for the year</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(3 106)</w:t>
            </w:r>
          </w:p>
        </w:tc>
        <w:tc>
          <w:tcPr>
            <w:tcW w:w="1275"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418"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6 236</w:t>
            </w:r>
          </w:p>
        </w:tc>
        <w:tc>
          <w:tcPr>
            <w:tcW w:w="1701"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10 533</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(177)</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13 486</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bottom w:val="nil"/>
            </w:tcBorders>
          </w:tcPr>
          <w:p w:rsidR="00DF17E9" w:rsidRPr="00B472D5" w:rsidRDefault="00DF17E9" w:rsidP="00044843">
            <w:pPr>
              <w:spacing w:before="0" w:after="0"/>
              <w:ind w:left="0" w:firstLine="0"/>
              <w:rPr>
                <w:color w:val="000000"/>
                <w:sz w:val="16"/>
              </w:rPr>
            </w:pPr>
            <w:r w:rsidRPr="00B472D5">
              <w:rPr>
                <w:color w:val="000000"/>
                <w:sz w:val="16"/>
              </w:rPr>
              <w:t xml:space="preserve">Transfer to/(from) accumulated surplus </w:t>
            </w:r>
          </w:p>
        </w:tc>
        <w:tc>
          <w:tcPr>
            <w:tcW w:w="1276"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(22)</w:t>
            </w:r>
          </w:p>
        </w:tc>
        <w:tc>
          <w:tcPr>
            <w:tcW w:w="1275" w:type="dxa"/>
            <w:tcBorders>
              <w:bottom w:val="nil"/>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418"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22</w:t>
            </w:r>
          </w:p>
        </w:tc>
        <w:tc>
          <w:tcPr>
            <w:tcW w:w="1701" w:type="dxa"/>
            <w:tcBorders>
              <w:bottom w:val="nil"/>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92"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10" w:type="dxa"/>
            <w:tcBorders>
              <w:bottom w:val="nil"/>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rsidR="00DF17E9" w:rsidRPr="00B472D5" w:rsidRDefault="00DF17E9" w:rsidP="00044843">
            <w:pPr>
              <w:spacing w:before="0" w:after="0"/>
              <w:ind w:left="0" w:firstLine="0"/>
              <w:rPr>
                <w:color w:val="000000"/>
                <w:sz w:val="16"/>
              </w:rPr>
            </w:pPr>
            <w:r w:rsidRPr="00B472D5">
              <w:rPr>
                <w:color w:val="000000"/>
                <w:sz w:val="16"/>
              </w:rPr>
              <w:t>Transactions with owners in their capacity as owners</w:t>
            </w:r>
          </w:p>
        </w:tc>
        <w:tc>
          <w:tcPr>
            <w:tcW w:w="1276"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1275" w:type="dxa"/>
            <w:tcBorders>
              <w:bottom w:val="single" w:sz="6"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1418"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1701" w:type="dxa"/>
            <w:tcBorders>
              <w:bottom w:val="single" w:sz="6"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992"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910" w:type="dxa"/>
            <w:tcBorders>
              <w:bottom w:val="single" w:sz="6"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12" w:space="0" w:color="auto"/>
            </w:tcBorders>
          </w:tcPr>
          <w:p w:rsidR="00DF17E9" w:rsidRPr="00B472D5" w:rsidRDefault="00DF17E9" w:rsidP="00044843">
            <w:pPr>
              <w:spacing w:before="0" w:after="0"/>
              <w:ind w:left="0" w:firstLine="0"/>
              <w:rPr>
                <w:color w:val="000000"/>
                <w:sz w:val="16"/>
              </w:rPr>
            </w:pPr>
            <w:r w:rsidRPr="00B472D5">
              <w:rPr>
                <w:b/>
                <w:color w:val="000000"/>
                <w:sz w:val="16"/>
              </w:rPr>
              <w:t>Total equity as at 30 June 2016</w:t>
            </w:r>
          </w:p>
        </w:tc>
        <w:tc>
          <w:tcPr>
            <w:tcW w:w="1276"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44 454</w:t>
            </w:r>
          </w:p>
        </w:tc>
        <w:tc>
          <w:tcPr>
            <w:tcW w:w="1275" w:type="dxa"/>
            <w:tcBorders>
              <w:top w:val="single" w:sz="6" w:space="0" w:color="auto"/>
              <w:bottom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50</w:t>
            </w:r>
          </w:p>
        </w:tc>
        <w:tc>
          <w:tcPr>
            <w:tcW w:w="1418"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49 613</w:t>
            </w:r>
          </w:p>
        </w:tc>
        <w:tc>
          <w:tcPr>
            <w:tcW w:w="1701" w:type="dxa"/>
            <w:tcBorders>
              <w:top w:val="single" w:sz="6" w:space="0" w:color="auto"/>
              <w:bottom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57 027</w:t>
            </w:r>
          </w:p>
        </w:tc>
        <w:tc>
          <w:tcPr>
            <w:tcW w:w="992"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551</w:t>
            </w:r>
          </w:p>
        </w:tc>
        <w:tc>
          <w:tcPr>
            <w:tcW w:w="910" w:type="dxa"/>
            <w:tcBorders>
              <w:top w:val="single" w:sz="6" w:space="0" w:color="auto"/>
              <w:bottom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151 695</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top w:val="single" w:sz="12" w:space="0" w:color="auto"/>
            </w:tcBorders>
          </w:tcPr>
          <w:p w:rsidR="00DF17E9" w:rsidRPr="00B472D5" w:rsidRDefault="00DF17E9" w:rsidP="00044843">
            <w:pPr>
              <w:spacing w:before="0" w:after="0"/>
              <w:ind w:left="0" w:firstLine="0"/>
              <w:rPr>
                <w:color w:val="000000"/>
                <w:sz w:val="16"/>
              </w:rPr>
            </w:pPr>
            <w:r w:rsidRPr="00B472D5">
              <w:rPr>
                <w:b/>
                <w:color w:val="000000"/>
                <w:sz w:val="16"/>
              </w:rPr>
              <w:t>2015</w:t>
            </w:r>
          </w:p>
        </w:tc>
        <w:tc>
          <w:tcPr>
            <w:tcW w:w="1276" w:type="dxa"/>
            <w:tcBorders>
              <w:top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1275" w:type="dxa"/>
            <w:tcBorders>
              <w:top w:val="single" w:sz="12" w:space="0" w:color="auto"/>
            </w:tcBorders>
            <w:shd w:val="clear" w:color="auto" w:fill="EBEBEB"/>
          </w:tcPr>
          <w:p w:rsidR="00DF17E9" w:rsidRPr="00B472D5"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1418" w:type="dxa"/>
            <w:tcBorders>
              <w:top w:val="single" w:sz="12" w:space="0" w:color="auto"/>
            </w:tcBorders>
          </w:tcPr>
          <w:p w:rsidR="00DF17E9" w:rsidRPr="00B472D5"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1701" w:type="dxa"/>
            <w:tcBorders>
              <w:top w:val="single" w:sz="12" w:space="0" w:color="auto"/>
            </w:tcBorders>
            <w:shd w:val="clear" w:color="auto" w:fill="EBEBEB"/>
          </w:tcPr>
          <w:p w:rsidR="00DF17E9" w:rsidRPr="00B472D5"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992" w:type="dxa"/>
            <w:tcBorders>
              <w:top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c>
          <w:tcPr>
            <w:tcW w:w="910" w:type="dxa"/>
            <w:tcBorders>
              <w:top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vertAlign w:val="superscript"/>
              </w:rPr>
            </w:pPr>
            <w:r w:rsidRPr="00B472D5">
              <w:rPr>
                <w:color w:val="000000"/>
                <w:sz w:val="16"/>
              </w:rPr>
              <w:t xml:space="preserve">Balance at 1 July 2014 </w:t>
            </w:r>
            <w:r w:rsidRPr="00B472D5">
              <w:rPr>
                <w:color w:val="000000"/>
                <w:sz w:val="16"/>
                <w:vertAlign w:val="superscript"/>
              </w:rPr>
              <w:t>(b)</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43 635</w:t>
            </w:r>
          </w:p>
        </w:tc>
        <w:tc>
          <w:tcPr>
            <w:tcW w:w="1275"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50</w:t>
            </w:r>
          </w:p>
        </w:tc>
        <w:tc>
          <w:tcPr>
            <w:tcW w:w="1418"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41 965</w:t>
            </w:r>
          </w:p>
        </w:tc>
        <w:tc>
          <w:tcPr>
            <w:tcW w:w="1701"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42 262</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640</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128 553</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rPr>
            </w:pPr>
            <w:r w:rsidRPr="00B472D5">
              <w:rPr>
                <w:color w:val="000000"/>
                <w:sz w:val="16"/>
              </w:rPr>
              <w:t>Net result for the year</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749</w:t>
            </w:r>
          </w:p>
        </w:tc>
        <w:tc>
          <w:tcPr>
            <w:tcW w:w="1275"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418"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701"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749</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B472D5" w:rsidRDefault="00DF17E9" w:rsidP="00044843">
            <w:pPr>
              <w:spacing w:before="0" w:after="0"/>
              <w:ind w:left="0" w:firstLine="0"/>
              <w:rPr>
                <w:color w:val="000000"/>
                <w:sz w:val="16"/>
              </w:rPr>
            </w:pPr>
            <w:r w:rsidRPr="00B472D5">
              <w:rPr>
                <w:color w:val="000000"/>
                <w:sz w:val="16"/>
              </w:rPr>
              <w:t xml:space="preserve">Other comprehensive income for the year </w:t>
            </w:r>
            <w:r w:rsidRPr="00B472D5">
              <w:rPr>
                <w:color w:val="000000"/>
                <w:sz w:val="16"/>
                <w:vertAlign w:val="superscript"/>
              </w:rPr>
              <w:t>(b)(c)</w:t>
            </w:r>
          </w:p>
        </w:tc>
        <w:tc>
          <w:tcPr>
            <w:tcW w:w="1276"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246</w:t>
            </w:r>
          </w:p>
        </w:tc>
        <w:tc>
          <w:tcPr>
            <w:tcW w:w="1275"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418"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2 524</w:t>
            </w:r>
          </w:p>
        </w:tc>
        <w:tc>
          <w:tcPr>
            <w:tcW w:w="1701"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4 231</w:t>
            </w:r>
          </w:p>
        </w:tc>
        <w:tc>
          <w:tcPr>
            <w:tcW w:w="992" w:type="dxa"/>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88</w:t>
            </w:r>
          </w:p>
        </w:tc>
        <w:tc>
          <w:tcPr>
            <w:tcW w:w="910" w:type="dxa"/>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7 090</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bottom w:val="nil"/>
            </w:tcBorders>
          </w:tcPr>
          <w:p w:rsidR="00DF17E9" w:rsidRPr="00B472D5" w:rsidRDefault="00DF17E9" w:rsidP="00044843">
            <w:pPr>
              <w:spacing w:before="0" w:after="0"/>
              <w:ind w:left="0" w:firstLine="0"/>
              <w:rPr>
                <w:color w:val="000000"/>
                <w:sz w:val="16"/>
              </w:rPr>
            </w:pPr>
            <w:r w:rsidRPr="00B472D5">
              <w:rPr>
                <w:color w:val="000000"/>
                <w:sz w:val="16"/>
              </w:rPr>
              <w:t xml:space="preserve">Transfer to/(from) accumulated surplus </w:t>
            </w:r>
          </w:p>
        </w:tc>
        <w:tc>
          <w:tcPr>
            <w:tcW w:w="1276"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1 135</w:t>
            </w:r>
          </w:p>
        </w:tc>
        <w:tc>
          <w:tcPr>
            <w:tcW w:w="1275" w:type="dxa"/>
            <w:tcBorders>
              <w:bottom w:val="nil"/>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1418"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(1 135)</w:t>
            </w:r>
          </w:p>
        </w:tc>
        <w:tc>
          <w:tcPr>
            <w:tcW w:w="1701" w:type="dxa"/>
            <w:tcBorders>
              <w:bottom w:val="nil"/>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92" w:type="dxa"/>
            <w:tcBorders>
              <w:bottom w:val="nil"/>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c>
          <w:tcPr>
            <w:tcW w:w="910" w:type="dxa"/>
            <w:tcBorders>
              <w:bottom w:val="nil"/>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color w:val="000000"/>
                <w:sz w:val="16"/>
              </w:rPr>
              <w:t>..</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rsidR="00DF17E9" w:rsidRPr="00B472D5" w:rsidRDefault="00DF17E9" w:rsidP="00044843">
            <w:pPr>
              <w:spacing w:before="0" w:after="0"/>
              <w:ind w:left="0" w:firstLine="0"/>
              <w:rPr>
                <w:color w:val="000000"/>
                <w:sz w:val="16"/>
              </w:rPr>
            </w:pPr>
            <w:r w:rsidRPr="00B472D5">
              <w:rPr>
                <w:color w:val="000000"/>
                <w:sz w:val="16"/>
              </w:rPr>
              <w:t>Transactions with owners in their capacity as owners</w:t>
            </w:r>
          </w:p>
        </w:tc>
        <w:tc>
          <w:tcPr>
            <w:tcW w:w="1276"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1275" w:type="dxa"/>
            <w:tcBorders>
              <w:bottom w:val="single" w:sz="6"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1418"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1701" w:type="dxa"/>
            <w:tcBorders>
              <w:bottom w:val="single" w:sz="6"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992" w:type="dxa"/>
            <w:tcBorders>
              <w:bottom w:val="single" w:sz="6"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c>
          <w:tcPr>
            <w:tcW w:w="910" w:type="dxa"/>
            <w:tcBorders>
              <w:bottom w:val="single" w:sz="6"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r w:rsidRPr="00B472D5">
              <w:rPr>
                <w:color w:val="000000"/>
                <w:sz w:val="16"/>
              </w:rPr>
              <w:t xml:space="preserve"> </w:t>
            </w:r>
          </w:p>
        </w:tc>
      </w:tr>
      <w:tr w:rsidR="00DF17E9" w:rsidRPr="00B472D5" w:rsidTr="00044843">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12" w:space="0" w:color="auto"/>
            </w:tcBorders>
          </w:tcPr>
          <w:p w:rsidR="00DF17E9" w:rsidRPr="00B472D5" w:rsidRDefault="00DF17E9" w:rsidP="00044843">
            <w:pPr>
              <w:spacing w:before="0" w:after="0"/>
              <w:ind w:left="0" w:firstLine="0"/>
              <w:rPr>
                <w:color w:val="000000"/>
                <w:sz w:val="16"/>
              </w:rPr>
            </w:pPr>
            <w:r w:rsidRPr="00B472D5">
              <w:rPr>
                <w:b/>
                <w:color w:val="000000"/>
                <w:sz w:val="16"/>
              </w:rPr>
              <w:t xml:space="preserve">Total equity as at 30 June 2015 </w:t>
            </w:r>
            <w:r w:rsidRPr="00B472D5">
              <w:rPr>
                <w:b/>
                <w:color w:val="000000"/>
                <w:sz w:val="16"/>
                <w:vertAlign w:val="superscript"/>
              </w:rPr>
              <w:t>(b)(c)</w:t>
            </w:r>
          </w:p>
        </w:tc>
        <w:tc>
          <w:tcPr>
            <w:tcW w:w="1276"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45 764</w:t>
            </w:r>
          </w:p>
        </w:tc>
        <w:tc>
          <w:tcPr>
            <w:tcW w:w="1275" w:type="dxa"/>
            <w:tcBorders>
              <w:top w:val="single" w:sz="6" w:space="0" w:color="auto"/>
              <w:bottom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50</w:t>
            </w:r>
          </w:p>
        </w:tc>
        <w:tc>
          <w:tcPr>
            <w:tcW w:w="1418"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43 355</w:t>
            </w:r>
          </w:p>
        </w:tc>
        <w:tc>
          <w:tcPr>
            <w:tcW w:w="1701" w:type="dxa"/>
            <w:tcBorders>
              <w:top w:val="single" w:sz="6" w:space="0" w:color="auto"/>
              <w:bottom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46 494</w:t>
            </w:r>
          </w:p>
        </w:tc>
        <w:tc>
          <w:tcPr>
            <w:tcW w:w="992" w:type="dxa"/>
            <w:tcBorders>
              <w:top w:val="single" w:sz="6" w:space="0" w:color="auto"/>
              <w:bottom w:val="single" w:sz="12" w:space="0" w:color="auto"/>
            </w:tcBorders>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B472D5">
              <w:rPr>
                <w:b/>
                <w:color w:val="000000"/>
                <w:sz w:val="16"/>
              </w:rPr>
              <w:t>728</w:t>
            </w:r>
          </w:p>
        </w:tc>
        <w:tc>
          <w:tcPr>
            <w:tcW w:w="910" w:type="dxa"/>
            <w:tcBorders>
              <w:top w:val="single" w:sz="6" w:space="0" w:color="auto"/>
              <w:bottom w:val="single" w:sz="12" w:space="0" w:color="auto"/>
            </w:tcBorders>
            <w:shd w:val="clear" w:color="auto" w:fill="EBEBEB"/>
          </w:tcPr>
          <w:p w:rsidR="00DF17E9" w:rsidRPr="00B472D5"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6"/>
              </w:rPr>
            </w:pPr>
            <w:r w:rsidRPr="00B472D5">
              <w:rPr>
                <w:b/>
                <w:color w:val="000000"/>
                <w:sz w:val="16"/>
              </w:rPr>
              <w:t>136 391</w:t>
            </w:r>
          </w:p>
        </w:tc>
      </w:tr>
    </w:tbl>
    <w:p w:rsidR="00DF17E9" w:rsidRDefault="00DF17E9" w:rsidP="00044843">
      <w:pPr>
        <w:pStyle w:val="Source"/>
        <w:spacing w:after="0"/>
      </w:pPr>
      <w:r w:rsidRPr="00103DE5">
        <w:t>The accompanying notes form part of these financial statements.</w:t>
      </w:r>
    </w:p>
    <w:p w:rsidR="00DF17E9" w:rsidRPr="00166D20" w:rsidRDefault="00DF17E9" w:rsidP="00044843">
      <w:pPr>
        <w:pStyle w:val="Note"/>
      </w:pPr>
      <w:r w:rsidRPr="00166D20">
        <w:t>Note</w:t>
      </w:r>
      <w:r>
        <w:t>s</w:t>
      </w:r>
      <w:r w:rsidRPr="00166D20">
        <w:t>:</w:t>
      </w:r>
    </w:p>
    <w:p w:rsidR="00DF17E9" w:rsidRDefault="00DF17E9" w:rsidP="00044843">
      <w:pPr>
        <w:pStyle w:val="Note"/>
      </w:pPr>
      <w:r>
        <w:t>(a)</w:t>
      </w:r>
      <w:r>
        <w:tab/>
      </w:r>
      <w:r w:rsidRPr="00166D20">
        <w:t>Non-financial assets revaluation surplus relates to revaluation of land, buildings, infrastructure, plant and equipment.</w:t>
      </w:r>
    </w:p>
    <w:p w:rsidR="00DF17E9" w:rsidRDefault="00DF17E9" w:rsidP="00044843">
      <w:pPr>
        <w:pStyle w:val="Note"/>
      </w:pPr>
      <w:r>
        <w:t>(b)</w:t>
      </w:r>
      <w:r>
        <w:tab/>
      </w:r>
      <w:r w:rsidRPr="00BE0F6E">
        <w:t xml:space="preserve">June 2015 comparative figures </w:t>
      </w:r>
      <w:r>
        <w:t xml:space="preserve">and 1 July 2015 opening balances </w:t>
      </w:r>
      <w:r w:rsidRPr="00BE0F6E">
        <w:t>have been restated to reflect an adjustment to Coliban Water’s deferred tax liability balances in the PNFC sector attributable to a change in valuation policy in 2015-16.</w:t>
      </w:r>
    </w:p>
    <w:p w:rsidR="00DF17E9" w:rsidRDefault="00DF17E9" w:rsidP="00044843">
      <w:pPr>
        <w:pStyle w:val="Note"/>
        <w:sectPr w:rsidR="00DF17E9" w:rsidSect="00720B4C">
          <w:headerReference w:type="even" r:id="rId72"/>
          <w:footerReference w:type="even" r:id="rId73"/>
          <w:pgSz w:w="16838" w:h="11906" w:orient="landscape" w:code="9"/>
          <w:pgMar w:top="1134" w:right="1134" w:bottom="1134" w:left="1134" w:header="624" w:footer="567" w:gutter="0"/>
          <w:cols w:space="708"/>
          <w:docGrid w:linePitch="360"/>
        </w:sectPr>
      </w:pPr>
      <w:r>
        <w:t>(c)</w:t>
      </w:r>
      <w:r>
        <w:tab/>
      </w:r>
      <w:r w:rsidRPr="00BE0F6E">
        <w:t xml:space="preserve">June 2015 comparative figures </w:t>
      </w:r>
      <w:r>
        <w:t xml:space="preserve">and 1 July 2015 opening balances </w:t>
      </w:r>
      <w:r w:rsidRPr="00C8120D">
        <w:t>have been restated to finalise the allocation of equity balances between contributed capital and accumulated funds related to prior year machinery of government changes.</w:t>
      </w:r>
      <w:r>
        <w:t xml:space="preserve"> </w:t>
      </w:r>
    </w:p>
    <w:p w:rsidR="00DF17E9" w:rsidRDefault="00DF17E9" w:rsidP="00D15A61">
      <w:pPr>
        <w:pStyle w:val="Heading1"/>
        <w:sectPr w:rsidR="00DF17E9" w:rsidSect="00601D91">
          <w:headerReference w:type="even" r:id="rId74"/>
          <w:headerReference w:type="default" r:id="rId75"/>
          <w:footerReference w:type="even" r:id="rId76"/>
          <w:footerReference w:type="default" r:id="rId77"/>
          <w:headerReference w:type="first" r:id="rId78"/>
          <w:footerReference w:type="first" r:id="rId79"/>
          <w:type w:val="continuous"/>
          <w:pgSz w:w="11906" w:h="16838" w:code="9"/>
          <w:pgMar w:top="1138" w:right="1138" w:bottom="1138" w:left="1138" w:header="619" w:footer="562" w:gutter="0"/>
          <w:cols w:space="708"/>
          <w:docGrid w:linePitch="360"/>
        </w:sectPr>
      </w:pPr>
      <w:bookmarkStart w:id="11" w:name="Section_01"/>
      <w:bookmarkStart w:id="12" w:name="_Toc462865839"/>
      <w:r>
        <w:lastRenderedPageBreak/>
        <w:t>About this report</w:t>
      </w:r>
      <w:bookmarkEnd w:id="11"/>
      <w:bookmarkEnd w:id="12"/>
    </w:p>
    <w:p w:rsidR="00DF17E9" w:rsidRPr="00960C0A" w:rsidRDefault="00DF17E9" w:rsidP="00D15A61">
      <w:pPr>
        <w:pStyle w:val="Heading1unnumbered"/>
        <w:pBdr>
          <w:bottom w:val="none" w:sz="0" w:space="0" w:color="auto"/>
        </w:pBdr>
        <w:rPr>
          <w:rFonts w:eastAsiaTheme="minorHAnsi" w:cstheme="minorBidi"/>
          <w:bCs w:val="0"/>
          <w:caps w:val="0"/>
          <w:color w:val="auto"/>
          <w:sz w:val="22"/>
          <w:szCs w:val="22"/>
        </w:rPr>
      </w:pPr>
      <w:r>
        <w:rPr>
          <w:rFonts w:eastAsiaTheme="minorHAnsi" w:cstheme="minorBidi"/>
          <w:bCs w:val="0"/>
          <w:caps w:val="0"/>
          <w:color w:val="auto"/>
          <w:sz w:val="22"/>
          <w:szCs w:val="22"/>
        </w:rPr>
        <w:lastRenderedPageBreak/>
        <w:t>Basis of preparation</w:t>
      </w:r>
    </w:p>
    <w:p w:rsidR="00DF17E9" w:rsidRDefault="00DF17E9" w:rsidP="00D15A61">
      <w:r w:rsidRPr="00FE394F">
        <w:t>This Annual Financial Report presents the audited general purpose consolidated financial statements of the State and the Victorian general government sector</w:t>
      </w:r>
      <w:r>
        <w:t xml:space="preserve"> for the year ended 30 June 201</w:t>
      </w:r>
      <w:r w:rsidRPr="00FE394F">
        <w:t>6. Th</w:t>
      </w:r>
      <w:r>
        <w:t>is</w:t>
      </w:r>
      <w:r w:rsidRPr="00FE394F">
        <w:t xml:space="preserve"> report </w:t>
      </w:r>
      <w:r>
        <w:t>informs users</w:t>
      </w:r>
      <w:r w:rsidRPr="00FE394F">
        <w:t xml:space="preserve"> about the Government’s stewardship of the resources entrusted to it.</w:t>
      </w:r>
    </w:p>
    <w:p w:rsidR="00DF17E9" w:rsidRPr="00EF3C02" w:rsidRDefault="00DF17E9" w:rsidP="00D15A61">
      <w:r w:rsidRPr="00EF3C02">
        <w:t>Accounting policies selected and applied ensure that the resulting financial information satisfies the concepts of relevance and reliability, thereby ensuring that the substance of the underlying transactions or other events is reported.</w:t>
      </w:r>
    </w:p>
    <w:p w:rsidR="00DF17E9" w:rsidRPr="00EF3C02" w:rsidRDefault="00DF17E9" w:rsidP="00D15A61">
      <w:r w:rsidRPr="00EF3C02">
        <w:t>The accrual basis of acco</w:t>
      </w:r>
      <w:r>
        <w:t>unting has been applied, where</w:t>
      </w:r>
      <w:r w:rsidRPr="00EF3C02">
        <w:t xml:space="preserve"> assets, liabilities, equity, income and expenses are recognised in the reporting period to which they relate, regardless of when cash is received or paid.</w:t>
      </w:r>
    </w:p>
    <w:p w:rsidR="00DF17E9" w:rsidRPr="006A75A2" w:rsidRDefault="00DF17E9" w:rsidP="00D15A61">
      <w:r w:rsidRPr="00EF3C02">
        <w:t xml:space="preserve">These financial statements are in Australian dollars and </w:t>
      </w:r>
      <w:r>
        <w:t xml:space="preserve">the </w:t>
      </w:r>
      <w:r w:rsidRPr="00EF3C02">
        <w:t xml:space="preserve">historical cost convention is used </w:t>
      </w:r>
      <w:r w:rsidRPr="006A75A2">
        <w:t xml:space="preserve">except for: </w:t>
      </w:r>
    </w:p>
    <w:p w:rsidR="00DF17E9" w:rsidRPr="00B13096" w:rsidRDefault="00DF17E9" w:rsidP="00044843">
      <w:pPr>
        <w:numPr>
          <w:ilvl w:val="0"/>
          <w:numId w:val="15"/>
        </w:numPr>
        <w:spacing w:after="100"/>
      </w:pPr>
      <w:r>
        <w:t xml:space="preserve">the </w:t>
      </w:r>
      <w:r w:rsidRPr="00B13096">
        <w:t>general government sector investments in other sector entities which are measured at net asset value;</w:t>
      </w:r>
    </w:p>
    <w:p w:rsidR="00DF17E9" w:rsidRPr="00B13096" w:rsidRDefault="00DF17E9" w:rsidP="00044843">
      <w:pPr>
        <w:numPr>
          <w:ilvl w:val="0"/>
          <w:numId w:val="15"/>
        </w:numPr>
        <w:spacing w:after="100"/>
      </w:pPr>
      <w:r w:rsidRPr="00B13096">
        <w:t>non</w:t>
      </w:r>
      <w:r w:rsidRPr="00B13096">
        <w:noBreakHyphen/>
        <w:t>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rsidR="00DF17E9" w:rsidRPr="00B13096" w:rsidRDefault="00DF17E9" w:rsidP="00044843">
      <w:pPr>
        <w:numPr>
          <w:ilvl w:val="0"/>
          <w:numId w:val="15"/>
        </w:numPr>
        <w:spacing w:after="100"/>
      </w:pPr>
      <w:r w:rsidRPr="00B13096">
        <w:t xml:space="preserve">productive trees in commercial native forests, which are measured at their fair value less </w:t>
      </w:r>
      <w:r>
        <w:t xml:space="preserve">estimated </w:t>
      </w:r>
      <w:r w:rsidRPr="00B13096">
        <w:t>costs to sell;</w:t>
      </w:r>
    </w:p>
    <w:p w:rsidR="00DF17E9" w:rsidRPr="00B13096" w:rsidRDefault="00DF17E9" w:rsidP="00044843">
      <w:pPr>
        <w:numPr>
          <w:ilvl w:val="0"/>
          <w:numId w:val="15"/>
        </w:numPr>
        <w:spacing w:after="100"/>
      </w:pPr>
      <w:r w:rsidRPr="00B13096">
        <w:t xml:space="preserve">derivative financial instruments, managed investment schemes, certain debt securities and investment properties after initial recognition, which are measured at fair value with changes reflected in the consolidated comprehensive operating statement (fair value through profit and loss); </w:t>
      </w:r>
    </w:p>
    <w:p w:rsidR="00DF17E9" w:rsidRPr="00B13096" w:rsidRDefault="00DF17E9" w:rsidP="00044843">
      <w:pPr>
        <w:numPr>
          <w:ilvl w:val="0"/>
          <w:numId w:val="15"/>
        </w:numPr>
        <w:spacing w:after="100"/>
      </w:pPr>
      <w:r w:rsidRPr="00B13096">
        <w:t>certain liabilities, most notably unfunded superannuation and insurance claim provisions, which are subject to an actuarial assessment; and</w:t>
      </w:r>
    </w:p>
    <w:p w:rsidR="00DF17E9" w:rsidRPr="00B13096" w:rsidRDefault="00DF17E9" w:rsidP="00044843">
      <w:pPr>
        <w:numPr>
          <w:ilvl w:val="0"/>
          <w:numId w:val="15"/>
        </w:numPr>
        <w:spacing w:after="100"/>
      </w:pPr>
      <w:r w:rsidRPr="00B13096">
        <w:lastRenderedPageBreak/>
        <w:t>available</w:t>
      </w:r>
      <w:r w:rsidRPr="00B13096">
        <w:noBreakHyphen/>
        <w:t>for</w:t>
      </w:r>
      <w:r w:rsidRPr="00B13096">
        <w:noBreakHyphen/>
        <w:t>sale investments which are measured at fair value</w:t>
      </w:r>
      <w:r>
        <w:t>,</w:t>
      </w:r>
      <w:r w:rsidRPr="00B13096">
        <w:t xml:space="preserve"> with movements reflected in ‘Other economic flows – other comprehensive income’.</w:t>
      </w:r>
    </w:p>
    <w:p w:rsidR="00DF17E9" w:rsidRDefault="00DF17E9" w:rsidP="00D15A61">
      <w:r w:rsidRPr="005D108E">
        <w:t>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w:t>
      </w:r>
      <w:r>
        <w:t>ents and estimates relate to:</w:t>
      </w:r>
    </w:p>
    <w:p w:rsidR="00DF17E9" w:rsidRPr="00860848" w:rsidRDefault="00DF17E9" w:rsidP="00044843">
      <w:pPr>
        <w:pStyle w:val="ListBullet"/>
      </w:pPr>
      <w:r w:rsidRPr="00860848">
        <w:t>the fair value of land, buildings, infrastructure, plant and equipment (Note 7.5);</w:t>
      </w:r>
    </w:p>
    <w:p w:rsidR="00DF17E9" w:rsidRPr="00860848" w:rsidRDefault="00DF17E9" w:rsidP="00044843">
      <w:pPr>
        <w:pStyle w:val="ListBullet"/>
      </w:pPr>
      <w:r w:rsidRPr="00860848">
        <w:t>superannuation expense and liability (Notes 3.2 and 6.5);</w:t>
      </w:r>
    </w:p>
    <w:p w:rsidR="00DF17E9" w:rsidRPr="00860848" w:rsidRDefault="00DF17E9" w:rsidP="00044843">
      <w:pPr>
        <w:pStyle w:val="ListBullet"/>
      </w:pPr>
      <w:r w:rsidRPr="00860848">
        <w:t xml:space="preserve">actuarial assumptions for employee benefit provisions based on likely tenure of existing staff, patterns of leave claims, future salary movements and future discount rates </w:t>
      </w:r>
      <w:r w:rsidRPr="00860848">
        <w:br/>
        <w:t>(Note 3.1);</w:t>
      </w:r>
    </w:p>
    <w:p w:rsidR="00DF17E9" w:rsidRPr="00860848" w:rsidRDefault="00DF17E9" w:rsidP="00044843">
      <w:pPr>
        <w:pStyle w:val="ListBullet"/>
      </w:pPr>
      <w:r w:rsidRPr="00860848">
        <w:t>provisions for outstanding insurance claims (Note 6.6.1); and</w:t>
      </w:r>
    </w:p>
    <w:p w:rsidR="00DF17E9" w:rsidRPr="00860848" w:rsidRDefault="00DF17E9" w:rsidP="00044843">
      <w:pPr>
        <w:pStyle w:val="ListBullet"/>
      </w:pPr>
      <w:r w:rsidRPr="00860848">
        <w:t>equities and managed investment schemes classified at Level 3 of the fair value hierarchy (Note 7.4).</w:t>
      </w:r>
    </w:p>
    <w:p w:rsidR="00DF17E9" w:rsidRDefault="00DF17E9" w:rsidP="00044843">
      <w:r w:rsidRPr="00860848">
        <w:t xml:space="preserve">All amounts in the financial statements have been rounded to the nearest $1 000 000 except in the Public Account disclosure in Note </w:t>
      </w:r>
      <w:r>
        <w:t>8.2</w:t>
      </w:r>
      <w:r w:rsidRPr="00860848">
        <w:t xml:space="preserve"> which is rounded to the nearest $1 000.</w:t>
      </w:r>
      <w:r w:rsidRPr="00EF3C02">
        <w:t xml:space="preserve"> </w:t>
      </w:r>
    </w:p>
    <w:p w:rsidR="00DF17E9" w:rsidRPr="006D01C1" w:rsidRDefault="00DF17E9" w:rsidP="00D15A61">
      <w:r>
        <w:t xml:space="preserve">Figures in the </w:t>
      </w:r>
      <w:r>
        <w:rPr>
          <w:i/>
        </w:rPr>
        <w:t xml:space="preserve">2015-16 Financial Report </w:t>
      </w:r>
      <w:r>
        <w:t>may not add due to rounding.</w:t>
      </w:r>
    </w:p>
    <w:p w:rsidR="00DF17E9" w:rsidRDefault="00DF17E9" w:rsidP="00D15A61">
      <w:pPr>
        <w:rPr>
          <w:rFonts w:asciiTheme="majorHAnsi" w:eastAsiaTheme="majorEastAsia" w:hAnsiTheme="majorHAnsi" w:cstheme="majorBidi"/>
          <w:b/>
          <w:bCs/>
          <w:spacing w:val="-2"/>
          <w:szCs w:val="26"/>
        </w:rPr>
      </w:pPr>
      <w:r>
        <w:br w:type="page"/>
      </w:r>
    </w:p>
    <w:p w:rsidR="00DF17E9" w:rsidRPr="00E72162" w:rsidRDefault="00DF17E9" w:rsidP="00D15A61">
      <w:pPr>
        <w:pStyle w:val="Heading3"/>
        <w:numPr>
          <w:ilvl w:val="0"/>
          <w:numId w:val="0"/>
        </w:numPr>
      </w:pPr>
      <w:r>
        <w:lastRenderedPageBreak/>
        <w:t>Basis for consolidation</w:t>
      </w:r>
    </w:p>
    <w:p w:rsidR="00DF17E9" w:rsidRPr="007D10B1" w:rsidRDefault="00DF17E9" w:rsidP="00D15A61">
      <w:r w:rsidRPr="007D10B1">
        <w:t xml:space="preserve">The </w:t>
      </w:r>
      <w:r w:rsidRPr="00E72162">
        <w:rPr>
          <w:b/>
        </w:rPr>
        <w:t>consolidated financial statements</w:t>
      </w:r>
      <w:r w:rsidRPr="007D10B1">
        <w:t xml:space="preserve"> of the State incorporate assets and liabilities of all reporting entities </w:t>
      </w:r>
      <w:r>
        <w:t>it controlled as at 30 June 2016</w:t>
      </w:r>
      <w:r w:rsidRPr="007D10B1">
        <w:t xml:space="preserve"> and the revenue and expenses of </w:t>
      </w:r>
      <w:r>
        <w:t xml:space="preserve">controlled </w:t>
      </w:r>
      <w:r w:rsidRPr="007D10B1">
        <w:t xml:space="preserve">entities for the part of the reporting </w:t>
      </w:r>
      <w:r>
        <w:t xml:space="preserve">period in which control </w:t>
      </w:r>
      <w:r w:rsidRPr="00BF6352">
        <w:t>existed (Note 9.7).</w:t>
      </w:r>
    </w:p>
    <w:p w:rsidR="00DF17E9" w:rsidRDefault="00DF17E9" w:rsidP="00D15A61">
      <w:r w:rsidRPr="007D10B1">
        <w:t xml:space="preserve">The consolidated financial statements of the Victorian general government sector incorporate assets and liabilities, revenue and expenses of entities classified as general government. Entities in the </w:t>
      </w:r>
      <w:r w:rsidRPr="00E72162">
        <w:rPr>
          <w:b/>
        </w:rPr>
        <w:t>PNFC and PFC sectors</w:t>
      </w:r>
      <w:r w:rsidRPr="007D10B1">
        <w:t xml:space="preserve"> are not consolidated into the financial statements of the general government sector, but are accounted for as equity investments measured at the Government’s proportional share of the carrying amount of net assets of the PNFC and PFC sector entities before consolidation eliminations. Where the carrying amount of the entity’s net assets before consolidation eliminations of an entity within the sectors is less than zero, the amount is not included at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139 </w:t>
      </w:r>
      <w:r w:rsidRPr="007D10B1">
        <w:rPr>
          <w:i/>
        </w:rPr>
        <w:t>Financial Instruments: Recognition and Measurement</w:t>
      </w:r>
      <w:r w:rsidRPr="007D10B1">
        <w:t xml:space="preserve">. </w:t>
      </w:r>
    </w:p>
    <w:p w:rsidR="00DF17E9" w:rsidRPr="007D10B1" w:rsidRDefault="00DF17E9" w:rsidP="00D15A61">
      <w:r w:rsidRPr="007D10B1">
        <w:t xml:space="preserve">Entities which are not controlled by the State, including local government authorities, universities and denominated hospitals, are not consolidated into the financial statements for the State. </w:t>
      </w:r>
    </w:p>
    <w:p w:rsidR="00DF17E9" w:rsidRPr="007D10B1" w:rsidRDefault="00DF17E9" w:rsidP="00D15A61">
      <w:r w:rsidRPr="007D10B1">
        <w:t>Where entities adopt dissimilar accounting policies and their effect is considered material, adjustments are made to ensure consistent policies are adopted in these financial statements.</w:t>
      </w:r>
    </w:p>
    <w:p w:rsidR="00DF17E9" w:rsidRPr="007D10B1" w:rsidRDefault="00DF17E9" w:rsidP="00D15A61">
      <w:r w:rsidRPr="007D10B1">
        <w:t>In preparing consolidated financial statements for reporting the State and the Victorian general government sector, all material transactions and balances between consolidated government controlled entities are eliminated.</w:t>
      </w:r>
    </w:p>
    <w:p w:rsidR="00DF17E9" w:rsidRPr="007D10B1" w:rsidRDefault="00DF17E9" w:rsidP="00D15A61">
      <w:r w:rsidRPr="007D10B1">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rsidR="00DF17E9" w:rsidRPr="00E87F2A" w:rsidRDefault="00DF17E9" w:rsidP="00D15A61">
      <w:r>
        <w:br w:type="column"/>
      </w:r>
      <w:r w:rsidRPr="007D10B1">
        <w:lastRenderedPageBreak/>
        <w:t xml:space="preserve">Consistent with the requirements of AASB 1004 </w:t>
      </w:r>
      <w:r w:rsidRPr="00D116EA">
        <w:rPr>
          <w:i/>
        </w:rPr>
        <w:t>Contributions</w:t>
      </w:r>
      <w:r w:rsidRPr="007D10B1">
        <w:t xml:space="preserve">, </w:t>
      </w:r>
      <w:r w:rsidRPr="00E72162">
        <w:rPr>
          <w:b/>
        </w:rPr>
        <w:t>contributions by owners</w:t>
      </w:r>
      <w:r w:rsidRPr="007D10B1">
        <w:t xml:space="preserve"> (that is, contributed capital and its repayment) are treated as equity transactions and, therefore, do not form part of the revenues and expenses of the </w:t>
      </w:r>
      <w:r>
        <w:t>relevant sectors of government.</w:t>
      </w:r>
    </w:p>
    <w:p w:rsidR="00DF17E9" w:rsidRPr="00960C0A" w:rsidRDefault="00DF17E9" w:rsidP="00D15A61">
      <w:pPr>
        <w:pStyle w:val="Heading3"/>
        <w:numPr>
          <w:ilvl w:val="0"/>
          <w:numId w:val="0"/>
        </w:numPr>
        <w:ind w:left="720" w:hanging="720"/>
        <w:rPr>
          <w:rFonts w:eastAsiaTheme="minorHAnsi"/>
          <w:caps/>
        </w:rPr>
      </w:pPr>
      <w:r>
        <w:rPr>
          <w:rFonts w:eastAsiaTheme="minorHAnsi"/>
        </w:rPr>
        <w:t xml:space="preserve">Compliance </w:t>
      </w:r>
    </w:p>
    <w:p w:rsidR="00DF17E9" w:rsidRPr="00EF3C02" w:rsidRDefault="00DF17E9" w:rsidP="00D15A61">
      <w:r w:rsidRPr="00EF3C02">
        <w:t xml:space="preserve">These general purpose financial statements have been prepared in the manner and form as determined by the Treasurer, in accordance with the </w:t>
      </w:r>
      <w:r w:rsidRPr="00EF3C02">
        <w:rPr>
          <w:i/>
        </w:rPr>
        <w:t>Financial Management Act 1994</w:t>
      </w:r>
      <w:r w:rsidRPr="00EF3C02">
        <w:t xml:space="preserve"> and applicable Australian Accounting Standards (AASs) which include Interpretations, issued by the Australian Accounting Standards Board (AASB). In particular, they are presented consistent with the requirements of AASB 1049 </w:t>
      </w:r>
      <w:r w:rsidRPr="00EF3C02">
        <w:rPr>
          <w:i/>
        </w:rPr>
        <w:t>Whole of Government and General Government Sector Financial Reporting</w:t>
      </w:r>
      <w:r w:rsidRPr="00EF3C02">
        <w:t xml:space="preserve"> (AASB 1049). </w:t>
      </w:r>
    </w:p>
    <w:p w:rsidR="00DF17E9" w:rsidRPr="00EF3C02" w:rsidRDefault="00DF17E9" w:rsidP="00D15A61">
      <w:r w:rsidRPr="00EF3C02">
        <w:t>Where appropriate, those AASs paragraphs applicable to not-for-profit entities have been applied.</w:t>
      </w:r>
    </w:p>
    <w:p w:rsidR="00DF17E9" w:rsidRDefault="00DF17E9" w:rsidP="00D15A61">
      <w:r w:rsidRPr="00EF3C02">
        <w:t xml:space="preserve">The Government Finance Statistics (GFS) information included in this report is based on the GFS manual (the Australian Bureau of Statistics (ABS) publication </w:t>
      </w:r>
      <w:r w:rsidRPr="00EF3C02">
        <w:rPr>
          <w:i/>
        </w:rPr>
        <w:t>Australian System of Government Finance Statistics: Concepts, Sources and Methods 2005</w:t>
      </w:r>
      <w:r w:rsidRPr="00EF3C02">
        <w:t xml:space="preserve"> as updated from time to </w:t>
      </w:r>
      <w:r w:rsidRPr="00BF6352">
        <w:t>time). Note 9.4 reconciles the</w:t>
      </w:r>
      <w:r w:rsidRPr="00EF3C02">
        <w:t xml:space="preserve"> differences between AAS and the requirements contained in the GFS Manual.</w:t>
      </w:r>
    </w:p>
    <w:p w:rsidR="00DF17E9" w:rsidRDefault="00DF17E9" w:rsidP="00D15A61">
      <w:pPr>
        <w:pStyle w:val="Heading3"/>
        <w:numPr>
          <w:ilvl w:val="0"/>
          <w:numId w:val="0"/>
        </w:numPr>
        <w:ind w:left="720" w:hanging="720"/>
        <w:rPr>
          <w:rFonts w:eastAsiaTheme="minorHAnsi"/>
        </w:rPr>
      </w:pPr>
      <w:r>
        <w:rPr>
          <w:rFonts w:eastAsiaTheme="minorHAnsi"/>
        </w:rPr>
        <w:t>Other material transactions</w:t>
      </w:r>
    </w:p>
    <w:p w:rsidR="00DF17E9" w:rsidRPr="00CA5DAB" w:rsidRDefault="00DF17E9" w:rsidP="00D15A61">
      <w:pPr>
        <w:pStyle w:val="Heading1unnumbered"/>
        <w:pBdr>
          <w:bottom w:val="none" w:sz="0" w:space="0" w:color="auto"/>
        </w:pBdr>
        <w:rPr>
          <w:rFonts w:eastAsiaTheme="minorHAnsi" w:cstheme="minorBidi"/>
          <w:b w:val="0"/>
          <w:bCs w:val="0"/>
          <w:i/>
          <w:caps w:val="0"/>
          <w:color w:val="auto"/>
          <w:sz w:val="22"/>
          <w:szCs w:val="22"/>
        </w:rPr>
      </w:pPr>
      <w:r w:rsidRPr="00CA5DAB">
        <w:rPr>
          <w:rFonts w:eastAsiaTheme="minorHAnsi" w:cstheme="minorBidi"/>
          <w:b w:val="0"/>
          <w:bCs w:val="0"/>
          <w:i/>
          <w:caps w:val="0"/>
          <w:color w:val="auto"/>
          <w:sz w:val="22"/>
          <w:szCs w:val="22"/>
        </w:rPr>
        <w:t>Accounting for the East West Link project funding</w:t>
      </w:r>
    </w:p>
    <w:p w:rsidR="00DF17E9" w:rsidRPr="000C366F" w:rsidRDefault="00DF17E9" w:rsidP="000C366F">
      <w:r w:rsidRPr="000C366F">
        <w:t xml:space="preserve">In 2013-14 the State received $1.5 billion from the Commonwealth Government as a contribution towards the former East West Link project. This was recorded as income in the year. Following the </w:t>
      </w:r>
      <w:r>
        <w:t xml:space="preserve">state </w:t>
      </w:r>
      <w:r w:rsidRPr="000C366F">
        <w:t>election in November 2014, the Victorian Government confirmed that the East West Link project would not proceed and that it would not return the $1.5 billion to the Commonwealth Government. The State subsequently sought independent legal and accounting advice on the appropriate accounting trea</w:t>
      </w:r>
      <w:r>
        <w:t>tment for this transaction. The</w:t>
      </w:r>
      <w:r w:rsidRPr="000C366F">
        <w:t xml:space="preserve"> advice concluded that the State </w:t>
      </w:r>
      <w:r>
        <w:t>was</w:t>
      </w:r>
      <w:r w:rsidRPr="000C366F">
        <w:t xml:space="preserve"> not required to recognise a liability under Australian Accounting Standards AASB 1004 </w:t>
      </w:r>
      <w:r w:rsidRPr="000C366F">
        <w:rPr>
          <w:i/>
        </w:rPr>
        <w:t>Contributions</w:t>
      </w:r>
      <w:r w:rsidRPr="000C366F">
        <w:t xml:space="preserve"> and AASB 137 </w:t>
      </w:r>
      <w:r w:rsidRPr="000C366F">
        <w:rPr>
          <w:i/>
        </w:rPr>
        <w:t>Provisions, Contingent Liabilities and Contingent Assets</w:t>
      </w:r>
      <w:r w:rsidRPr="000C366F">
        <w:t xml:space="preserve"> as there is no present obligation on the State to return the funding previously received for the project. </w:t>
      </w:r>
    </w:p>
    <w:p w:rsidR="00DF17E9" w:rsidRDefault="00DF17E9" w:rsidP="00F3381D">
      <w:r w:rsidRPr="000C366F">
        <w:lastRenderedPageBreak/>
        <w:t>In April 2016, the Victorian Government accepted an offer from the Commonwealth to retain the funding for new road and rail infrastructure projects, and confirmed that the State will work with the Commonwealth over coming months to finalise project selection, relative contributions, and to progress necessary planning and implementation arrangements. On 30 August 2016, the State forwarded a comprehensive proposal to the Commonwealth broadly consistent with the earlier communicated proposal</w:t>
      </w:r>
      <w:r>
        <w:t>, with discussions continuing towards finalisation of an agreement.</w:t>
      </w:r>
      <w:r w:rsidRPr="000C366F">
        <w:t xml:space="preserve"> On this basis, no liability or expense has been recognised by the State in relation to this transaction.</w:t>
      </w:r>
      <w:r>
        <w:t xml:space="preserve"> </w:t>
      </w:r>
    </w:p>
    <w:p w:rsidR="00DF17E9" w:rsidRPr="00CA5DAB" w:rsidRDefault="00DF17E9" w:rsidP="00601D91">
      <w:pPr>
        <w:pStyle w:val="Heading1unnumbered"/>
        <w:pBdr>
          <w:bottom w:val="none" w:sz="0" w:space="0" w:color="auto"/>
        </w:pBdr>
        <w:rPr>
          <w:rFonts w:eastAsiaTheme="minorHAnsi" w:cstheme="minorBidi"/>
          <w:b w:val="0"/>
          <w:bCs w:val="0"/>
          <w:i/>
          <w:caps w:val="0"/>
          <w:color w:val="auto"/>
          <w:sz w:val="22"/>
          <w:szCs w:val="22"/>
        </w:rPr>
      </w:pPr>
      <w:r w:rsidRPr="00CA5DAB">
        <w:rPr>
          <w:rFonts w:eastAsiaTheme="minorHAnsi" w:cstheme="minorBidi"/>
          <w:b w:val="0"/>
          <w:bCs w:val="0"/>
          <w:i/>
          <w:caps w:val="0"/>
          <w:color w:val="auto"/>
          <w:sz w:val="22"/>
          <w:szCs w:val="22"/>
        </w:rPr>
        <w:t xml:space="preserve">Port of Melbourne </w:t>
      </w:r>
      <w:r>
        <w:rPr>
          <w:rFonts w:eastAsiaTheme="minorHAnsi" w:cstheme="minorBidi"/>
          <w:b w:val="0"/>
          <w:bCs w:val="0"/>
          <w:i/>
          <w:caps w:val="0"/>
          <w:color w:val="auto"/>
          <w:sz w:val="22"/>
          <w:szCs w:val="22"/>
        </w:rPr>
        <w:t>lease transaction</w:t>
      </w:r>
    </w:p>
    <w:p w:rsidR="00DF17E9" w:rsidRDefault="00DF17E9" w:rsidP="00601D91">
      <w:r>
        <w:t xml:space="preserve">On 21 March 2016, </w:t>
      </w:r>
      <w:r w:rsidRPr="007D7730">
        <w:t>the Victorian Government commenced the formal transaction process for the 50-year lease of the Port of Melbourne and disposal of other assets of Port of Melbourne Corporation</w:t>
      </w:r>
      <w:r>
        <w:t xml:space="preserve"> (the Port Package).</w:t>
      </w:r>
    </w:p>
    <w:p w:rsidR="009300BD" w:rsidRDefault="00DF17E9" w:rsidP="00126AF2">
      <w:r w:rsidRPr="00126AF2">
        <w:t xml:space="preserve">The impact of this </w:t>
      </w:r>
      <w:r>
        <w:t>transaction</w:t>
      </w:r>
      <w:r w:rsidRPr="00126AF2">
        <w:t xml:space="preserve"> on the </w:t>
      </w:r>
      <w:r>
        <w:br/>
      </w:r>
      <w:r w:rsidRPr="00126AF2">
        <w:rPr>
          <w:i/>
        </w:rPr>
        <w:t>2015-16 Financial Report</w:t>
      </w:r>
      <w:r>
        <w:t xml:space="preserve"> is outlined in N</w:t>
      </w:r>
      <w:r w:rsidRPr="00126AF2">
        <w:t>ote 9.5.</w:t>
      </w:r>
    </w:p>
    <w:p w:rsidR="00DF17E9" w:rsidRPr="00CA5DAB" w:rsidRDefault="009300BD" w:rsidP="009300BD">
      <w:pPr>
        <w:pStyle w:val="Heading1unnumbered"/>
        <w:pBdr>
          <w:bottom w:val="none" w:sz="0" w:space="0" w:color="auto"/>
        </w:pBdr>
        <w:rPr>
          <w:rFonts w:eastAsiaTheme="minorHAnsi" w:cstheme="minorBidi"/>
          <w:b w:val="0"/>
          <w:bCs w:val="0"/>
          <w:i/>
          <w:caps w:val="0"/>
          <w:color w:val="auto"/>
          <w:sz w:val="22"/>
          <w:szCs w:val="22"/>
        </w:rPr>
      </w:pPr>
      <w:r>
        <w:br w:type="column"/>
      </w:r>
      <w:r w:rsidR="00DF17E9" w:rsidRPr="00CA5DAB">
        <w:rPr>
          <w:rFonts w:eastAsiaTheme="minorHAnsi" w:cstheme="minorBidi"/>
          <w:b w:val="0"/>
          <w:bCs w:val="0"/>
          <w:i/>
          <w:caps w:val="0"/>
          <w:color w:val="auto"/>
          <w:sz w:val="22"/>
          <w:szCs w:val="22"/>
        </w:rPr>
        <w:lastRenderedPageBreak/>
        <w:t>Property, plant and equipment at the Department of Education and Training</w:t>
      </w:r>
    </w:p>
    <w:p w:rsidR="00DF17E9" w:rsidRPr="002A5B6B" w:rsidRDefault="00DF17E9" w:rsidP="00D15A61">
      <w:r w:rsidRPr="002A5B6B">
        <w:t xml:space="preserve">In the previous year, the </w:t>
      </w:r>
      <w:r w:rsidRPr="00EF7647">
        <w:rPr>
          <w:i/>
        </w:rPr>
        <w:t>2014-15 Financial Report</w:t>
      </w:r>
      <w:r w:rsidRPr="002A5B6B">
        <w:t xml:space="preserve"> was qualified as the Acting Auditor-General considered sufficient audit evidence was not provided by the Department of Education and Training to support its property, plant and equipment balances.</w:t>
      </w:r>
    </w:p>
    <w:p w:rsidR="00DF17E9" w:rsidRDefault="00DF17E9" w:rsidP="00D15A61">
      <w:r>
        <w:t>During 2015-16, extensive work was performed by the Department of Education and Training as part of a comprehensive reform program to strengthen the Department’s governance, leadership and culture. The Department also undertook a full revaluation of its assets.</w:t>
      </w:r>
    </w:p>
    <w:p w:rsidR="00DF17E9" w:rsidRDefault="00DF17E9" w:rsidP="00D15A61">
      <w:r>
        <w:t>This has resulted in the Auditor-General removing this audit qualification.</w:t>
      </w:r>
    </w:p>
    <w:p w:rsidR="00DF17E9" w:rsidRDefault="00DF17E9" w:rsidP="00D15A61">
      <w:pPr>
        <w:rPr>
          <w:highlight w:val="yellow"/>
        </w:rPr>
      </w:pPr>
    </w:p>
    <w:p w:rsidR="00DF17E9" w:rsidRDefault="00DF17E9" w:rsidP="00D15A61">
      <w:pPr>
        <w:rPr>
          <w:highlight w:val="yellow"/>
        </w:rPr>
        <w:sectPr w:rsidR="00DF17E9" w:rsidSect="00D15A61">
          <w:headerReference w:type="even" r:id="rId80"/>
          <w:headerReference w:type="default" r:id="rId81"/>
          <w:type w:val="continuous"/>
          <w:pgSz w:w="11906" w:h="16838" w:code="9"/>
          <w:pgMar w:top="1134" w:right="1134" w:bottom="1134" w:left="1134" w:header="624" w:footer="567" w:gutter="0"/>
          <w:cols w:num="2" w:space="708"/>
          <w:docGrid w:linePitch="360"/>
        </w:sectPr>
      </w:pPr>
    </w:p>
    <w:p w:rsidR="00DF17E9" w:rsidRPr="007B036A" w:rsidRDefault="00DF17E9" w:rsidP="00D15A61"/>
    <w:p w:rsidR="00DF17E9" w:rsidRDefault="00DF17E9" w:rsidP="006125C9">
      <w:pPr>
        <w:pStyle w:val="Heading1"/>
        <w:sectPr w:rsidR="00DF17E9" w:rsidSect="00D15A61">
          <w:headerReference w:type="default" r:id="rId82"/>
          <w:type w:val="continuous"/>
          <w:pgSz w:w="11906" w:h="16838" w:code="9"/>
          <w:pgMar w:top="1134" w:right="1134" w:bottom="1134" w:left="1134" w:header="624" w:footer="567" w:gutter="0"/>
          <w:cols w:space="708"/>
          <w:docGrid w:linePitch="360"/>
        </w:sectPr>
      </w:pPr>
    </w:p>
    <w:p w:rsidR="00DF17E9" w:rsidRPr="006E6F37" w:rsidRDefault="00DF17E9" w:rsidP="006125C9">
      <w:pPr>
        <w:pStyle w:val="Heading1"/>
        <w:sectPr w:rsidR="00DF17E9" w:rsidRPr="006E6F37" w:rsidSect="001316D5">
          <w:headerReference w:type="even" r:id="rId83"/>
          <w:pgSz w:w="11906" w:h="16838" w:code="9"/>
          <w:pgMar w:top="1134" w:right="1134" w:bottom="1134" w:left="1134" w:header="624" w:footer="567" w:gutter="0"/>
          <w:cols w:space="708"/>
          <w:docGrid w:linePitch="360"/>
        </w:sectPr>
      </w:pPr>
      <w:bookmarkStart w:id="13" w:name="_Toc462865840"/>
      <w:r>
        <w:lastRenderedPageBreak/>
        <w:t>How funds are raised</w:t>
      </w:r>
      <w:bookmarkEnd w:id="13"/>
      <w:r>
        <w:t xml:space="preserve"> </w:t>
      </w:r>
    </w:p>
    <w:p w:rsidR="00DF17E9" w:rsidRPr="00635722" w:rsidRDefault="00DF17E9" w:rsidP="006135D1">
      <w:pPr>
        <w:pStyle w:val="Subheadingunderline"/>
      </w:pPr>
      <w:bookmarkStart w:id="14" w:name="Section_02"/>
      <w:r w:rsidRPr="00635722">
        <w:lastRenderedPageBreak/>
        <w:t xml:space="preserve">Introduction </w:t>
      </w:r>
    </w:p>
    <w:p w:rsidR="00DF17E9" w:rsidRDefault="00DF17E9" w:rsidP="008976C2">
      <w:r>
        <w:t>T</w:t>
      </w:r>
      <w:r w:rsidRPr="00635722">
        <w:t>his section</w:t>
      </w:r>
      <w:r>
        <w:t xml:space="preserve"> presents </w:t>
      </w:r>
      <w:r w:rsidRPr="00635722">
        <w:t>the sources and amounts of revenue raised by the State and the general government sector.</w:t>
      </w:r>
    </w:p>
    <w:p w:rsidR="00DF17E9" w:rsidRPr="00635722" w:rsidRDefault="00DF17E9" w:rsidP="008976C2">
      <w:r w:rsidRPr="00FE394F">
        <w:t xml:space="preserve">Revenue from transactions is recognised to the extent that it is probable that the economic benefits will flow to the entity and the revenue can be reliably measured at fair value. </w:t>
      </w:r>
    </w:p>
    <w:p w:rsidR="00DF17E9" w:rsidRPr="00E40EDA" w:rsidRDefault="00DF17E9" w:rsidP="00E40EDA">
      <w:pPr>
        <w:pStyle w:val="Subheadingunderline"/>
      </w:pPr>
      <w:r>
        <w:br w:type="column"/>
      </w:r>
      <w:r w:rsidRPr="00E40EDA">
        <w:lastRenderedPageBreak/>
        <w:t>Structure</w:t>
      </w:r>
    </w:p>
    <w:p w:rsidR="00DF17E9" w:rsidRDefault="00DF17E9">
      <w:pPr>
        <w:pStyle w:val="TOC9"/>
        <w:rPr>
          <w:rFonts w:eastAsiaTheme="minorEastAsia"/>
          <w:noProof/>
          <w:sz w:val="22"/>
          <w:lang w:eastAsia="en-AU"/>
        </w:rPr>
      </w:pPr>
      <w:r>
        <w:rPr>
          <w:rFonts w:asciiTheme="majorHAnsi" w:hAnsiTheme="majorHAnsi"/>
          <w:noProof/>
          <w:spacing w:val="-2"/>
          <w:sz w:val="22"/>
          <w:szCs w:val="19"/>
        </w:rPr>
        <w:fldChar w:fldCharType="begin"/>
      </w:r>
      <w:r>
        <w:rPr>
          <w:rFonts w:asciiTheme="majorHAnsi" w:hAnsiTheme="majorHAnsi"/>
          <w:noProof/>
          <w:spacing w:val="-2"/>
          <w:sz w:val="22"/>
          <w:szCs w:val="19"/>
        </w:rPr>
        <w:instrText xml:space="preserve"> TOC \h \z \t "Heading 2,</w:instrText>
      </w:r>
      <w:r>
        <w:rPr>
          <w:noProof/>
        </w:rPr>
        <w:instrText>9</w:instrText>
      </w:r>
      <w:r>
        <w:rPr>
          <w:rFonts w:asciiTheme="majorHAnsi" w:hAnsiTheme="majorHAnsi"/>
          <w:noProof/>
          <w:spacing w:val="-2"/>
          <w:sz w:val="22"/>
          <w:szCs w:val="19"/>
        </w:rPr>
        <w:instrText>"</w:instrText>
      </w:r>
      <w:r>
        <w:rPr>
          <w:noProof/>
        </w:rPr>
        <w:instrText xml:space="preserve"> \b "Section_02"</w:instrText>
      </w:r>
      <w:r>
        <w:rPr>
          <w:rFonts w:asciiTheme="majorHAnsi" w:hAnsiTheme="majorHAnsi"/>
          <w:noProof/>
          <w:spacing w:val="-2"/>
          <w:sz w:val="22"/>
          <w:szCs w:val="19"/>
        </w:rPr>
        <w:instrText xml:space="preserve"> </w:instrText>
      </w:r>
      <w:r>
        <w:rPr>
          <w:rFonts w:asciiTheme="majorHAnsi" w:hAnsiTheme="majorHAnsi"/>
          <w:noProof/>
          <w:spacing w:val="-2"/>
          <w:sz w:val="22"/>
          <w:szCs w:val="19"/>
        </w:rPr>
        <w:fldChar w:fldCharType="separate"/>
      </w:r>
      <w:hyperlink w:anchor="_Toc459975951" w:history="1">
        <w:r w:rsidRPr="004029FD">
          <w:rPr>
            <w:rStyle w:val="Hyperlink"/>
            <w:noProof/>
            <w:lang w:val="en-US"/>
            <w14:scene3d>
              <w14:camera w14:prst="orthographicFront"/>
              <w14:lightRig w14:rig="threePt" w14:dir="t">
                <w14:rot w14:lat="0" w14:lon="0" w14:rev="0"/>
              </w14:lightRig>
            </w14:scene3d>
          </w:rPr>
          <w:t>2.1</w:t>
        </w:r>
        <w:r>
          <w:rPr>
            <w:rFonts w:eastAsiaTheme="minorEastAsia"/>
            <w:noProof/>
            <w:sz w:val="22"/>
            <w:lang w:eastAsia="en-AU"/>
          </w:rPr>
          <w:tab/>
        </w:r>
        <w:r w:rsidRPr="004029FD">
          <w:rPr>
            <w:rStyle w:val="Hyperlink"/>
            <w:noProof/>
          </w:rPr>
          <w:t>Taxation revenue</w:t>
        </w:r>
        <w:r>
          <w:rPr>
            <w:noProof/>
            <w:webHidden/>
          </w:rPr>
          <w:tab/>
        </w:r>
        <w:r>
          <w:rPr>
            <w:noProof/>
            <w:webHidden/>
          </w:rPr>
          <w:fldChar w:fldCharType="begin"/>
        </w:r>
        <w:r>
          <w:rPr>
            <w:noProof/>
            <w:webHidden/>
          </w:rPr>
          <w:instrText xml:space="preserve"> PAGEREF _Toc459975951 \h </w:instrText>
        </w:r>
        <w:r>
          <w:rPr>
            <w:noProof/>
            <w:webHidden/>
          </w:rPr>
        </w:r>
        <w:r>
          <w:rPr>
            <w:noProof/>
            <w:webHidden/>
          </w:rPr>
          <w:fldChar w:fldCharType="separate"/>
        </w:r>
        <w:r w:rsidR="00E3704D">
          <w:rPr>
            <w:noProof/>
            <w:webHidden/>
          </w:rPr>
          <w:t>36</w:t>
        </w:r>
        <w:r>
          <w:rPr>
            <w:noProof/>
            <w:webHidden/>
          </w:rPr>
          <w:fldChar w:fldCharType="end"/>
        </w:r>
      </w:hyperlink>
    </w:p>
    <w:p w:rsidR="00DF17E9" w:rsidRDefault="003A3C3D">
      <w:pPr>
        <w:pStyle w:val="TOC9"/>
        <w:rPr>
          <w:rFonts w:eastAsiaTheme="minorEastAsia"/>
          <w:noProof/>
          <w:sz w:val="22"/>
          <w:lang w:eastAsia="en-AU"/>
        </w:rPr>
      </w:pPr>
      <w:hyperlink w:anchor="_Toc459975952" w:history="1">
        <w:r w:rsidR="00DF17E9" w:rsidRPr="004029FD">
          <w:rPr>
            <w:rStyle w:val="Hyperlink"/>
            <w:noProof/>
            <w14:scene3d>
              <w14:camera w14:prst="orthographicFront"/>
              <w14:lightRig w14:rig="threePt" w14:dir="t">
                <w14:rot w14:lat="0" w14:lon="0" w14:rev="0"/>
              </w14:lightRig>
            </w14:scene3d>
          </w:rPr>
          <w:t>2.2</w:t>
        </w:r>
        <w:r w:rsidR="00DF17E9">
          <w:rPr>
            <w:rFonts w:eastAsiaTheme="minorEastAsia"/>
            <w:noProof/>
            <w:sz w:val="22"/>
            <w:lang w:eastAsia="en-AU"/>
          </w:rPr>
          <w:tab/>
        </w:r>
        <w:r w:rsidR="00DF17E9" w:rsidRPr="004029FD">
          <w:rPr>
            <w:rStyle w:val="Hyperlink"/>
            <w:noProof/>
          </w:rPr>
          <w:t>Interest revenue</w:t>
        </w:r>
        <w:r w:rsidR="00DF17E9">
          <w:rPr>
            <w:noProof/>
            <w:webHidden/>
          </w:rPr>
          <w:tab/>
        </w:r>
        <w:r w:rsidR="00DF17E9">
          <w:rPr>
            <w:noProof/>
            <w:webHidden/>
          </w:rPr>
          <w:fldChar w:fldCharType="begin"/>
        </w:r>
        <w:r w:rsidR="00DF17E9">
          <w:rPr>
            <w:noProof/>
            <w:webHidden/>
          </w:rPr>
          <w:instrText xml:space="preserve"> PAGEREF _Toc459975952 \h </w:instrText>
        </w:r>
        <w:r w:rsidR="00DF17E9">
          <w:rPr>
            <w:noProof/>
            <w:webHidden/>
          </w:rPr>
        </w:r>
        <w:r w:rsidR="00DF17E9">
          <w:rPr>
            <w:noProof/>
            <w:webHidden/>
          </w:rPr>
          <w:fldChar w:fldCharType="separate"/>
        </w:r>
        <w:r w:rsidR="00E3704D">
          <w:rPr>
            <w:noProof/>
            <w:webHidden/>
          </w:rPr>
          <w:t>37</w:t>
        </w:r>
        <w:r w:rsidR="00DF17E9">
          <w:rPr>
            <w:noProof/>
            <w:webHidden/>
          </w:rPr>
          <w:fldChar w:fldCharType="end"/>
        </w:r>
      </w:hyperlink>
    </w:p>
    <w:p w:rsidR="00DF17E9" w:rsidRDefault="003A3C3D">
      <w:pPr>
        <w:pStyle w:val="TOC9"/>
        <w:rPr>
          <w:rFonts w:eastAsiaTheme="minorEastAsia"/>
          <w:noProof/>
          <w:sz w:val="22"/>
          <w:lang w:eastAsia="en-AU"/>
        </w:rPr>
      </w:pPr>
      <w:hyperlink w:anchor="_Toc459975953" w:history="1">
        <w:r w:rsidR="00DF17E9" w:rsidRPr="004029FD">
          <w:rPr>
            <w:rStyle w:val="Hyperlink"/>
            <w:noProof/>
            <w:lang w:val="en-US"/>
            <w14:scene3d>
              <w14:camera w14:prst="orthographicFront"/>
              <w14:lightRig w14:rig="threePt" w14:dir="t">
                <w14:rot w14:lat="0" w14:lon="0" w14:rev="0"/>
              </w14:lightRig>
            </w14:scene3d>
          </w:rPr>
          <w:t>2.3</w:t>
        </w:r>
        <w:r w:rsidR="00DF17E9">
          <w:rPr>
            <w:rFonts w:eastAsiaTheme="minorEastAsia"/>
            <w:noProof/>
            <w:sz w:val="22"/>
            <w:lang w:eastAsia="en-AU"/>
          </w:rPr>
          <w:tab/>
        </w:r>
        <w:r w:rsidR="00DF17E9" w:rsidRPr="004029FD">
          <w:rPr>
            <w:rStyle w:val="Hyperlink"/>
            <w:noProof/>
          </w:rPr>
          <w:t>Dividends and income tax equivalent and rate equivalent revenue</w:t>
        </w:r>
        <w:r w:rsidR="00DF17E9">
          <w:rPr>
            <w:noProof/>
            <w:webHidden/>
          </w:rPr>
          <w:tab/>
        </w:r>
        <w:r w:rsidR="00DF17E9">
          <w:rPr>
            <w:noProof/>
            <w:webHidden/>
          </w:rPr>
          <w:fldChar w:fldCharType="begin"/>
        </w:r>
        <w:r w:rsidR="00DF17E9">
          <w:rPr>
            <w:noProof/>
            <w:webHidden/>
          </w:rPr>
          <w:instrText xml:space="preserve"> PAGEREF _Toc459975953 \h </w:instrText>
        </w:r>
        <w:r w:rsidR="00DF17E9">
          <w:rPr>
            <w:noProof/>
            <w:webHidden/>
          </w:rPr>
        </w:r>
        <w:r w:rsidR="00DF17E9">
          <w:rPr>
            <w:noProof/>
            <w:webHidden/>
          </w:rPr>
          <w:fldChar w:fldCharType="separate"/>
        </w:r>
        <w:r w:rsidR="00E3704D">
          <w:rPr>
            <w:noProof/>
            <w:webHidden/>
          </w:rPr>
          <w:t>37</w:t>
        </w:r>
        <w:r w:rsidR="00DF17E9">
          <w:rPr>
            <w:noProof/>
            <w:webHidden/>
          </w:rPr>
          <w:fldChar w:fldCharType="end"/>
        </w:r>
      </w:hyperlink>
    </w:p>
    <w:p w:rsidR="00DF17E9" w:rsidRDefault="003A3C3D">
      <w:pPr>
        <w:pStyle w:val="TOC9"/>
        <w:rPr>
          <w:rFonts w:eastAsiaTheme="minorEastAsia"/>
          <w:noProof/>
          <w:sz w:val="22"/>
          <w:lang w:eastAsia="en-AU"/>
        </w:rPr>
      </w:pPr>
      <w:hyperlink w:anchor="_Toc459975954" w:history="1">
        <w:r w:rsidR="00DF17E9" w:rsidRPr="004029FD">
          <w:rPr>
            <w:rStyle w:val="Hyperlink"/>
            <w:noProof/>
            <w:lang w:val="en-US"/>
            <w14:scene3d>
              <w14:camera w14:prst="orthographicFront"/>
              <w14:lightRig w14:rig="threePt" w14:dir="t">
                <w14:rot w14:lat="0" w14:lon="0" w14:rev="0"/>
              </w14:lightRig>
            </w14:scene3d>
          </w:rPr>
          <w:t>2.4</w:t>
        </w:r>
        <w:r w:rsidR="00DF17E9">
          <w:rPr>
            <w:rFonts w:eastAsiaTheme="minorEastAsia"/>
            <w:noProof/>
            <w:sz w:val="22"/>
            <w:lang w:eastAsia="en-AU"/>
          </w:rPr>
          <w:tab/>
        </w:r>
        <w:r w:rsidR="00DF17E9" w:rsidRPr="004029FD">
          <w:rPr>
            <w:rStyle w:val="Hyperlink"/>
            <w:noProof/>
          </w:rPr>
          <w:t>Sales of goods and services</w:t>
        </w:r>
        <w:r w:rsidR="00DF17E9">
          <w:rPr>
            <w:noProof/>
            <w:webHidden/>
          </w:rPr>
          <w:tab/>
        </w:r>
        <w:r w:rsidR="00DF17E9">
          <w:rPr>
            <w:noProof/>
            <w:webHidden/>
          </w:rPr>
          <w:fldChar w:fldCharType="begin"/>
        </w:r>
        <w:r w:rsidR="00DF17E9">
          <w:rPr>
            <w:noProof/>
            <w:webHidden/>
          </w:rPr>
          <w:instrText xml:space="preserve"> PAGEREF _Toc459975954 \h </w:instrText>
        </w:r>
        <w:r w:rsidR="00DF17E9">
          <w:rPr>
            <w:noProof/>
            <w:webHidden/>
          </w:rPr>
        </w:r>
        <w:r w:rsidR="00DF17E9">
          <w:rPr>
            <w:noProof/>
            <w:webHidden/>
          </w:rPr>
          <w:fldChar w:fldCharType="separate"/>
        </w:r>
        <w:r w:rsidR="00E3704D">
          <w:rPr>
            <w:noProof/>
            <w:webHidden/>
          </w:rPr>
          <w:t>38</w:t>
        </w:r>
        <w:r w:rsidR="00DF17E9">
          <w:rPr>
            <w:noProof/>
            <w:webHidden/>
          </w:rPr>
          <w:fldChar w:fldCharType="end"/>
        </w:r>
      </w:hyperlink>
    </w:p>
    <w:p w:rsidR="00DF17E9" w:rsidRDefault="003A3C3D">
      <w:pPr>
        <w:pStyle w:val="TOC9"/>
        <w:rPr>
          <w:rFonts w:eastAsiaTheme="minorEastAsia"/>
          <w:noProof/>
          <w:sz w:val="22"/>
          <w:lang w:eastAsia="en-AU"/>
        </w:rPr>
      </w:pPr>
      <w:hyperlink w:anchor="_Toc459975955" w:history="1">
        <w:r w:rsidR="00DF17E9" w:rsidRPr="004029FD">
          <w:rPr>
            <w:rStyle w:val="Hyperlink"/>
            <w:noProof/>
            <w:lang w:val="en-US"/>
            <w14:scene3d>
              <w14:camera w14:prst="orthographicFront"/>
              <w14:lightRig w14:rig="threePt" w14:dir="t">
                <w14:rot w14:lat="0" w14:lon="0" w14:rev="0"/>
              </w14:lightRig>
            </w14:scene3d>
          </w:rPr>
          <w:t>2.5</w:t>
        </w:r>
        <w:r w:rsidR="00DF17E9">
          <w:rPr>
            <w:rFonts w:eastAsiaTheme="minorEastAsia"/>
            <w:noProof/>
            <w:sz w:val="22"/>
            <w:lang w:eastAsia="en-AU"/>
          </w:rPr>
          <w:tab/>
        </w:r>
        <w:r w:rsidR="00DF17E9" w:rsidRPr="004029FD">
          <w:rPr>
            <w:rStyle w:val="Hyperlink"/>
            <w:noProof/>
          </w:rPr>
          <w:t>Grant revenue</w:t>
        </w:r>
        <w:r w:rsidR="00DF17E9">
          <w:rPr>
            <w:noProof/>
            <w:webHidden/>
          </w:rPr>
          <w:tab/>
        </w:r>
        <w:r w:rsidR="00DF17E9">
          <w:rPr>
            <w:noProof/>
            <w:webHidden/>
          </w:rPr>
          <w:fldChar w:fldCharType="begin"/>
        </w:r>
        <w:r w:rsidR="00DF17E9">
          <w:rPr>
            <w:noProof/>
            <w:webHidden/>
          </w:rPr>
          <w:instrText xml:space="preserve"> PAGEREF _Toc459975955 \h </w:instrText>
        </w:r>
        <w:r w:rsidR="00DF17E9">
          <w:rPr>
            <w:noProof/>
            <w:webHidden/>
          </w:rPr>
        </w:r>
        <w:r w:rsidR="00DF17E9">
          <w:rPr>
            <w:noProof/>
            <w:webHidden/>
          </w:rPr>
          <w:fldChar w:fldCharType="separate"/>
        </w:r>
        <w:r w:rsidR="00E3704D">
          <w:rPr>
            <w:noProof/>
            <w:webHidden/>
          </w:rPr>
          <w:t>39</w:t>
        </w:r>
        <w:r w:rsidR="00DF17E9">
          <w:rPr>
            <w:noProof/>
            <w:webHidden/>
          </w:rPr>
          <w:fldChar w:fldCharType="end"/>
        </w:r>
      </w:hyperlink>
    </w:p>
    <w:p w:rsidR="00DF17E9" w:rsidRDefault="003A3C3D">
      <w:pPr>
        <w:pStyle w:val="TOC9"/>
        <w:rPr>
          <w:rFonts w:eastAsiaTheme="minorEastAsia"/>
          <w:noProof/>
          <w:sz w:val="22"/>
          <w:lang w:eastAsia="en-AU"/>
        </w:rPr>
      </w:pPr>
      <w:hyperlink w:anchor="_Toc459975956" w:history="1">
        <w:r w:rsidR="00DF17E9" w:rsidRPr="004029FD">
          <w:rPr>
            <w:rStyle w:val="Hyperlink"/>
            <w:noProof/>
            <w:lang w:val="en-US"/>
            <w14:scene3d>
              <w14:camera w14:prst="orthographicFront"/>
              <w14:lightRig w14:rig="threePt" w14:dir="t">
                <w14:rot w14:lat="0" w14:lon="0" w14:rev="0"/>
              </w14:lightRig>
            </w14:scene3d>
          </w:rPr>
          <w:t>2.6</w:t>
        </w:r>
        <w:r w:rsidR="00DF17E9">
          <w:rPr>
            <w:rFonts w:eastAsiaTheme="minorEastAsia"/>
            <w:noProof/>
            <w:sz w:val="22"/>
            <w:lang w:eastAsia="en-AU"/>
          </w:rPr>
          <w:tab/>
        </w:r>
        <w:r w:rsidR="00DF17E9" w:rsidRPr="004029FD">
          <w:rPr>
            <w:rStyle w:val="Hyperlink"/>
            <w:noProof/>
          </w:rPr>
          <w:t>Other revenue</w:t>
        </w:r>
        <w:r w:rsidR="00DF17E9">
          <w:rPr>
            <w:noProof/>
            <w:webHidden/>
          </w:rPr>
          <w:tab/>
        </w:r>
        <w:r w:rsidR="00DF17E9">
          <w:rPr>
            <w:noProof/>
            <w:webHidden/>
          </w:rPr>
          <w:fldChar w:fldCharType="begin"/>
        </w:r>
        <w:r w:rsidR="00DF17E9">
          <w:rPr>
            <w:noProof/>
            <w:webHidden/>
          </w:rPr>
          <w:instrText xml:space="preserve"> PAGEREF _Toc459975956 \h </w:instrText>
        </w:r>
        <w:r w:rsidR="00DF17E9">
          <w:rPr>
            <w:noProof/>
            <w:webHidden/>
          </w:rPr>
        </w:r>
        <w:r w:rsidR="00DF17E9">
          <w:rPr>
            <w:noProof/>
            <w:webHidden/>
          </w:rPr>
          <w:fldChar w:fldCharType="separate"/>
        </w:r>
        <w:r w:rsidR="00E3704D">
          <w:rPr>
            <w:noProof/>
            <w:webHidden/>
          </w:rPr>
          <w:t>40</w:t>
        </w:r>
        <w:r w:rsidR="00DF17E9">
          <w:rPr>
            <w:noProof/>
            <w:webHidden/>
          </w:rPr>
          <w:fldChar w:fldCharType="end"/>
        </w:r>
      </w:hyperlink>
    </w:p>
    <w:p w:rsidR="00DF17E9" w:rsidRPr="00E40EDA" w:rsidRDefault="00DF17E9" w:rsidP="00753E64">
      <w:pPr>
        <w:pStyle w:val="TOC9"/>
      </w:pPr>
      <w:r>
        <w:rPr>
          <w:rFonts w:asciiTheme="majorHAnsi" w:hAnsiTheme="majorHAnsi"/>
          <w:noProof/>
          <w:spacing w:val="-2"/>
          <w:sz w:val="22"/>
          <w:szCs w:val="19"/>
        </w:rPr>
        <w:fldChar w:fldCharType="end"/>
      </w:r>
    </w:p>
    <w:p w:rsidR="00DF17E9" w:rsidRDefault="00DF17E9" w:rsidP="00E40EDA">
      <w:pPr>
        <w:pStyle w:val="TOC9"/>
        <w:sectPr w:rsidR="00DF17E9" w:rsidSect="006E6F37">
          <w:type w:val="continuous"/>
          <w:pgSz w:w="11906" w:h="16838" w:code="9"/>
          <w:pgMar w:top="1134" w:right="1134" w:bottom="1134" w:left="1134" w:header="624" w:footer="567" w:gutter="0"/>
          <w:cols w:num="2" w:space="708"/>
          <w:docGrid w:linePitch="360"/>
        </w:sectPr>
      </w:pPr>
    </w:p>
    <w:p w:rsidR="00DF17E9" w:rsidRPr="00F65220" w:rsidRDefault="00DF17E9" w:rsidP="00F65220">
      <w:pPr>
        <w:pBdr>
          <w:top w:val="single" w:sz="6" w:space="1" w:color="0063A6" w:themeColor="accent1"/>
        </w:pBdr>
      </w:pPr>
      <w:bookmarkStart w:id="15" w:name="_Toc450733980"/>
    </w:p>
    <w:p w:rsidR="00DF17E9" w:rsidRPr="007C7769" w:rsidRDefault="00DF17E9" w:rsidP="00044843">
      <w:pPr>
        <w:pStyle w:val="Heading2"/>
        <w:rPr>
          <w:bCs/>
          <w:lang w:val="en-US"/>
        </w:rPr>
      </w:pPr>
      <w:bookmarkStart w:id="16" w:name="_Toc459975951"/>
      <w:r w:rsidRPr="00FD2984">
        <w:t>Taxation revenue</w:t>
      </w:r>
      <w:r>
        <w:tab/>
      </w:r>
      <w:r w:rsidRPr="00D71612">
        <w:rPr>
          <w:rStyle w:val="TableUnitsChar"/>
        </w:rPr>
        <w:t>($ million)</w:t>
      </w:r>
      <w:bookmarkEnd w:id="15"/>
      <w:bookmarkEnd w:id="16"/>
    </w:p>
    <w:tbl>
      <w:tblPr>
        <w:tblStyle w:val="TableDTFGeneral"/>
        <w:tblW w:w="9661" w:type="dxa"/>
        <w:tblLayout w:type="fixed"/>
        <w:tblLook w:val="02A0" w:firstRow="1" w:lastRow="0" w:firstColumn="1" w:lastColumn="0" w:noHBand="1" w:noVBand="0"/>
      </w:tblPr>
      <w:tblGrid>
        <w:gridCol w:w="6009"/>
        <w:gridCol w:w="907"/>
        <w:gridCol w:w="907"/>
        <w:gridCol w:w="9"/>
        <w:gridCol w:w="898"/>
        <w:gridCol w:w="931"/>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AE50D6" w:rsidRPr="007C7769" w:rsidRDefault="00AE50D6" w:rsidP="00AE50D6">
            <w:pPr>
              <w:jc w:val="center"/>
              <w:rPr>
                <w:color w:val="FFFFFF"/>
              </w:rPr>
            </w:pPr>
            <w:r w:rsidRPr="007C7769">
              <w:rPr>
                <w:color w:val="FFFFFF"/>
              </w:rPr>
              <w:t>State of Victoria</w:t>
            </w:r>
          </w:p>
        </w:tc>
        <w:tc>
          <w:tcPr>
            <w:tcW w:w="1829"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sidRPr="007C7769">
              <w:rPr>
                <w:color w:val="FFFFFF"/>
              </w:rPr>
              <w:br/>
              <w:t>government sector</w:t>
            </w:r>
          </w:p>
        </w:tc>
      </w:tr>
      <w:tr w:rsidR="00DF17E9"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rPr>
                <w:color w:val="FFFFFF"/>
              </w:rPr>
            </w:pPr>
            <w:r w:rsidRPr="007C7769">
              <w:rPr>
                <w:color w:val="FFFFFF"/>
              </w:rPr>
              <w:t>2016</w:t>
            </w:r>
          </w:p>
        </w:tc>
        <w:tc>
          <w:tcPr>
            <w:tcW w:w="907" w:type="dxa"/>
            <w:tcBorders>
              <w:bottom w:val="nil"/>
            </w:tcBorders>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pPr>
              <w:rPr>
                <w:color w:val="FFFFFF"/>
              </w:rPr>
            </w:pPr>
            <w:r w:rsidRPr="007C7769">
              <w:rPr>
                <w:color w:val="FFFFFF"/>
              </w:rPr>
              <w:t>2016</w:t>
            </w:r>
          </w:p>
        </w:tc>
        <w:tc>
          <w:tcPr>
            <w:tcW w:w="931" w:type="dxa"/>
            <w:tcBorders>
              <w:bottom w:val="nil"/>
            </w:tcBorders>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b/>
                <w:color w:val="000000"/>
              </w:rPr>
              <w:t>Taxes on employers’ payroll and labour force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rPr>
                <w:color w:val="000000"/>
              </w:rPr>
            </w:pPr>
            <w:r w:rsidRPr="007C7769">
              <w:rPr>
                <w:b/>
                <w:color w:val="000000"/>
              </w:rPr>
              <w:t>5 293</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5 070</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pPr>
              <w:rPr>
                <w:color w:val="000000"/>
              </w:rPr>
            </w:pPr>
            <w:r w:rsidRPr="007C7769">
              <w:rPr>
                <w:b/>
                <w:color w:val="000000"/>
              </w:rPr>
              <w:t>5 365</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5 135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7769" w:rsidRDefault="00DF17E9" w:rsidP="00044843">
            <w:pPr>
              <w:ind w:left="0" w:firstLine="0"/>
              <w:rPr>
                <w:color w:val="000000"/>
              </w:rPr>
            </w:pPr>
            <w:r w:rsidRPr="007C7769">
              <w:rPr>
                <w:b/>
                <w:color w:val="000000"/>
              </w:rPr>
              <w:t>Taxes on immovable property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31"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Land tax</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1 734</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1 712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1 771</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1 753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Fire Services Property Levy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674</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588</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674</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588</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Congestion levy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102</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111</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102</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111</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Metropolitan improvement levy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160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153</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160</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153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Financial and capital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b/>
                <w:color w:val="000000"/>
              </w:rPr>
              <w:t xml:space="preserve"> </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Land transfer duty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5 839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4 938</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5 839</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4 938</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Other property duties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Metropolitan planning levy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20</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Financial accommodation levy</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color w:val="000000"/>
              </w:rPr>
              <w:t>147</w:t>
            </w:r>
          </w:p>
        </w:tc>
        <w:tc>
          <w:tcPr>
            <w:tcW w:w="93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105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Growth areas infrastructure contribution</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149</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129</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color w:val="000000"/>
              </w:rPr>
              <w:t>149</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129</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taxes on property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8 678</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7 633</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7769" w:rsidRDefault="00DF17E9" w:rsidP="00044843">
            <w:pPr>
              <w:rPr>
                <w:color w:val="000000"/>
              </w:rPr>
            </w:pPr>
            <w:r w:rsidRPr="007C7769">
              <w:rPr>
                <w:b/>
                <w:color w:val="000000"/>
              </w:rPr>
              <w:t>8 862</w:t>
            </w:r>
          </w:p>
        </w:tc>
        <w:tc>
          <w:tcPr>
            <w:tcW w:w="931"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7 778</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7769" w:rsidRDefault="00DF17E9" w:rsidP="00044843">
            <w:pPr>
              <w:ind w:left="0" w:firstLine="0"/>
              <w:rPr>
                <w:color w:val="000000"/>
              </w:rPr>
            </w:pPr>
            <w:r w:rsidRPr="007C7769">
              <w:rPr>
                <w:b/>
                <w:color w:val="000000"/>
              </w:rPr>
              <w:t>Gambling taxes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31"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Public lotteries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427</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401</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427</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401</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Electronic gaming machines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 xml:space="preserve">1 </w:t>
            </w:r>
            <w:r w:rsidRPr="007C7769">
              <w:t>079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1 059</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 xml:space="preserve">1 </w:t>
            </w:r>
            <w:r w:rsidRPr="007C7769">
              <w:t>079</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1 059</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Casino</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228</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217</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228</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217</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Racing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77</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77</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Other</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23</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23</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b/>
                <w:color w:val="000000"/>
              </w:rPr>
              <w:t>Levies on statutory corporations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rPr>
                <w:b/>
              </w:rPr>
            </w:pPr>
            <w:r w:rsidRPr="007C7769">
              <w:rPr>
                <w:b/>
                <w:color w:val="000000"/>
              </w:rPr>
              <w:t>..</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b/>
                <w:color w:val="000000"/>
              </w:rPr>
              <w:t>112</w:t>
            </w:r>
          </w:p>
        </w:tc>
        <w:tc>
          <w:tcPr>
            <w:tcW w:w="93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112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b/>
                <w:color w:val="000000"/>
              </w:rPr>
              <w:t>Taxes on insurance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rPr>
                <w:color w:val="000000"/>
              </w:rPr>
            </w:pPr>
            <w:r w:rsidRPr="007C7769">
              <w:rPr>
                <w:b/>
                <w:color w:val="000000"/>
              </w:rPr>
              <w:t>1 151</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1 088</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pPr>
              <w:rPr>
                <w:color w:val="000000"/>
              </w:rPr>
            </w:pPr>
            <w:r w:rsidRPr="007C7769">
              <w:rPr>
                <w:b/>
                <w:color w:val="000000"/>
              </w:rPr>
              <w:t>1 151</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1 088</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taxes on the provision of goods and services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2 985</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2 868</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7769" w:rsidRDefault="00DF17E9" w:rsidP="00044843">
            <w:pPr>
              <w:rPr>
                <w:color w:val="000000"/>
              </w:rPr>
            </w:pPr>
            <w:r w:rsidRPr="007C7769">
              <w:rPr>
                <w:b/>
                <w:color w:val="000000"/>
              </w:rPr>
              <w:t>3 097</w:t>
            </w:r>
          </w:p>
        </w:tc>
        <w:tc>
          <w:tcPr>
            <w:tcW w:w="931"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2 980</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7769" w:rsidRDefault="00DF17E9" w:rsidP="00044843">
            <w:pPr>
              <w:ind w:left="0" w:firstLine="0"/>
              <w:rPr>
                <w:color w:val="000000"/>
              </w:rPr>
            </w:pPr>
            <w:r w:rsidRPr="007C7769">
              <w:rPr>
                <w:b/>
                <w:color w:val="000000"/>
              </w:rPr>
              <w:t>Motor vehicle taxes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31"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Vehicle registration fees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1 454</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1 395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1 456</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1 396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Duty on vehicle registrations and transfers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779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720</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779</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720</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b/>
                <w:color w:val="000000"/>
              </w:rPr>
              <w:t>Liquor licence fees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b/>
                <w:color w:val="000000"/>
              </w:rPr>
              <w:t>22</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23</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b/>
                <w:color w:val="000000"/>
              </w:rPr>
              <w:t>22</w:t>
            </w:r>
          </w:p>
        </w:tc>
        <w:tc>
          <w:tcPr>
            <w:tcW w:w="93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b/>
                <w:color w:val="000000"/>
              </w:rPr>
              <w:t>Other</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b/>
                <w:color w:val="000000"/>
              </w:rPr>
              <w:t>234</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228</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b/>
                <w:color w:val="000000"/>
              </w:rPr>
              <w:t>315</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306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taxes on the use of goods and performance of activities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2 490</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2 365</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7769" w:rsidRDefault="00DF17E9" w:rsidP="00044843">
            <w:pPr>
              <w:rPr>
                <w:color w:val="000000"/>
              </w:rPr>
            </w:pPr>
            <w:r w:rsidRPr="007C7769">
              <w:rPr>
                <w:b/>
                <w:color w:val="000000"/>
              </w:rPr>
              <w:t>2 572</w:t>
            </w:r>
          </w:p>
        </w:tc>
        <w:tc>
          <w:tcPr>
            <w:tcW w:w="931"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2 445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taxation revenue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19 446</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17 936</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7769" w:rsidRDefault="00DF17E9" w:rsidP="00044843">
            <w:pPr>
              <w:rPr>
                <w:color w:val="000000"/>
              </w:rPr>
            </w:pPr>
            <w:r w:rsidRPr="007C7769">
              <w:rPr>
                <w:b/>
                <w:color w:val="000000"/>
              </w:rPr>
              <w:t>19 896</w:t>
            </w:r>
          </w:p>
        </w:tc>
        <w:tc>
          <w:tcPr>
            <w:tcW w:w="931"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18 339</w:t>
            </w:r>
          </w:p>
        </w:tc>
      </w:tr>
    </w:tbl>
    <w:p w:rsidR="00DF17E9" w:rsidRDefault="00DF17E9" w:rsidP="00337317">
      <w:pPr>
        <w:spacing w:line="240" w:lineRule="auto"/>
      </w:pPr>
    </w:p>
    <w:p w:rsidR="00DF17E9" w:rsidRDefault="00DF17E9" w:rsidP="00FE394F">
      <w:pPr>
        <w:spacing w:line="240" w:lineRule="auto"/>
        <w:sectPr w:rsidR="00DF17E9" w:rsidSect="00576C73">
          <w:type w:val="continuous"/>
          <w:pgSz w:w="11906" w:h="16838" w:code="9"/>
          <w:pgMar w:top="1134" w:right="1134" w:bottom="1134" w:left="1134" w:header="624" w:footer="567" w:gutter="0"/>
          <w:cols w:space="708"/>
          <w:docGrid w:linePitch="360"/>
        </w:sectPr>
      </w:pPr>
    </w:p>
    <w:p w:rsidR="00DF17E9" w:rsidRDefault="00DF17E9">
      <w:r>
        <w:lastRenderedPageBreak/>
        <w:br w:type="page"/>
      </w:r>
    </w:p>
    <w:p w:rsidR="00DF17E9" w:rsidRDefault="00DF17E9" w:rsidP="008976C2">
      <w:r>
        <w:lastRenderedPageBreak/>
        <w:t>Taxation revenue represents revenue earned from the State’s taxpayers.</w:t>
      </w:r>
    </w:p>
    <w:p w:rsidR="00DF17E9" w:rsidRDefault="00DF17E9" w:rsidP="008976C2">
      <w:r w:rsidRPr="00FE394F">
        <w:t>State taxation revenue is recognised upon the earlier of either the receipt by</w:t>
      </w:r>
      <w:r>
        <w:t xml:space="preserve"> the State of a taxpayer’s self</w:t>
      </w:r>
      <w:r>
        <w:noBreakHyphen/>
      </w:r>
      <w:r w:rsidRPr="00FE394F">
        <w:t xml:space="preserve">assessment or the time when the taxpayer’s obligation to pay arises, pursuant to the issue of an assessment. </w:t>
      </w:r>
    </w:p>
    <w:p w:rsidR="00DF17E9" w:rsidRDefault="00DF17E9" w:rsidP="008976C2">
      <w:pPr>
        <w:rPr>
          <w:highlight w:val="green"/>
        </w:rPr>
      </w:pPr>
      <w:r w:rsidRPr="00FE394F">
        <w:t>Upfront concession fees, such as those for toll roads and gambling licence fees, are recognised progressively over the term of the applicable concession.</w:t>
      </w:r>
      <w:r w:rsidRPr="004B75D2">
        <w:rPr>
          <w:highlight w:val="green"/>
        </w:rPr>
        <w:t xml:space="preserve"> </w:t>
      </w:r>
    </w:p>
    <w:p w:rsidR="00DF17E9" w:rsidRPr="00971589" w:rsidRDefault="00DF17E9" w:rsidP="00DA1EC7">
      <w:pPr>
        <w:pStyle w:val="Heading2"/>
      </w:pPr>
      <w:bookmarkStart w:id="17" w:name="_Toc450733982"/>
      <w:bookmarkStart w:id="18" w:name="_Toc459975952"/>
      <w:r w:rsidRPr="00971589">
        <w:lastRenderedPageBreak/>
        <w:t>Interest revenue</w:t>
      </w:r>
      <w:bookmarkEnd w:id="17"/>
      <w:bookmarkEnd w:id="18"/>
    </w:p>
    <w:p w:rsidR="00DF17E9" w:rsidRDefault="00DF17E9" w:rsidP="008976C2">
      <w:r w:rsidRPr="00744BC2">
        <w:t>Interest re</w:t>
      </w:r>
      <w:r>
        <w:t>venue includes interest earned</w:t>
      </w:r>
      <w:r w:rsidRPr="00744BC2">
        <w:t xml:space="preserve"> on bank term deposits and other investments</w:t>
      </w:r>
      <w:r>
        <w:t>,</w:t>
      </w:r>
      <w:r w:rsidRPr="00744BC2">
        <w:t xml:space="preserve"> and the unwinding over time of the discount on financial assets. Interest revenue is recognised using the effective interest method</w:t>
      </w:r>
      <w:r>
        <w:t>,</w:t>
      </w:r>
      <w:r w:rsidRPr="00744BC2">
        <w:t xml:space="preserve"> which allocates the interest over the relevant period. </w:t>
      </w:r>
    </w:p>
    <w:p w:rsidR="00DF17E9" w:rsidRDefault="00DF17E9" w:rsidP="008976C2">
      <w:r w:rsidRPr="00744BC2">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rsidR="00DF17E9" w:rsidRDefault="00DF17E9" w:rsidP="00696DCB">
      <w:pPr>
        <w:spacing w:line="240" w:lineRule="auto"/>
        <w:sectPr w:rsidR="00DF17E9" w:rsidSect="006479D1">
          <w:headerReference w:type="even" r:id="rId84"/>
          <w:headerReference w:type="default" r:id="rId85"/>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Heading2"/>
        <w:rPr>
          <w:bCs/>
          <w:lang w:val="en-US"/>
        </w:rPr>
      </w:pPr>
      <w:bookmarkStart w:id="19" w:name="_Toc450733981"/>
      <w:bookmarkStart w:id="20" w:name="_Toc459975953"/>
      <w:r w:rsidRPr="00FD2984">
        <w:lastRenderedPageBreak/>
        <w:t>Dividends and income tax equivalent and rate equivalent revenue</w:t>
      </w:r>
      <w:r>
        <w:tab/>
      </w:r>
      <w:r w:rsidRPr="00D71612">
        <w:rPr>
          <w:rStyle w:val="TableUnitsChar"/>
        </w:rPr>
        <w:t>($ million)</w:t>
      </w:r>
      <w:bookmarkEnd w:id="19"/>
      <w:bookmarkEnd w:id="20"/>
    </w:p>
    <w:tbl>
      <w:tblPr>
        <w:tblStyle w:val="TableDTFGeneral"/>
        <w:tblW w:w="9776" w:type="dxa"/>
        <w:tblLayout w:type="fixed"/>
        <w:tblLook w:val="02A0" w:firstRow="1" w:lastRow="0" w:firstColumn="1" w:lastColumn="0" w:noHBand="1" w:noVBand="0"/>
      </w:tblPr>
      <w:tblGrid>
        <w:gridCol w:w="6076"/>
        <w:gridCol w:w="924"/>
        <w:gridCol w:w="925"/>
        <w:gridCol w:w="925"/>
        <w:gridCol w:w="926"/>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6"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49" w:type="dxa"/>
            <w:gridSpan w:val="2"/>
          </w:tcPr>
          <w:p w:rsidR="00AE50D6" w:rsidRPr="007C7769" w:rsidRDefault="00AE50D6" w:rsidP="00AE50D6">
            <w:pPr>
              <w:jc w:val="center"/>
              <w:rPr>
                <w:color w:val="FFFFFF"/>
              </w:rPr>
            </w:pPr>
            <w:r w:rsidRPr="007C7769">
              <w:rPr>
                <w:color w:val="FFFFFF"/>
              </w:rPr>
              <w:t>State of Victoria</w:t>
            </w:r>
          </w:p>
        </w:tc>
        <w:tc>
          <w:tcPr>
            <w:tcW w:w="1851"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sidRPr="007C7769">
              <w:rPr>
                <w:color w:val="FFFFFF"/>
              </w:rPr>
              <w:br/>
              <w:t xml:space="preserve">government sector </w:t>
            </w:r>
          </w:p>
        </w:tc>
      </w:tr>
      <w:tr w:rsidR="00DF17E9"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6"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24" w:type="dxa"/>
          </w:tcPr>
          <w:p w:rsidR="00DF17E9" w:rsidRPr="007C7769" w:rsidRDefault="00DF17E9" w:rsidP="00044843">
            <w:pPr>
              <w:rPr>
                <w:color w:val="FFFFFF"/>
              </w:rPr>
            </w:pPr>
            <w:r w:rsidRPr="007C7769">
              <w:rPr>
                <w:color w:val="FFFFFF"/>
              </w:rPr>
              <w:t>2016</w:t>
            </w:r>
          </w:p>
        </w:tc>
        <w:tc>
          <w:tcPr>
            <w:tcW w:w="925"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25" w:type="dxa"/>
          </w:tcPr>
          <w:p w:rsidR="00DF17E9" w:rsidRPr="007C7769" w:rsidRDefault="00DF17E9" w:rsidP="00044843">
            <w:pPr>
              <w:rPr>
                <w:color w:val="FFFFFF"/>
              </w:rPr>
            </w:pPr>
            <w:r w:rsidRPr="007C7769">
              <w:rPr>
                <w:color w:val="FFFFFF"/>
              </w:rPr>
              <w:t>2016</w:t>
            </w:r>
          </w:p>
        </w:tc>
        <w:tc>
          <w:tcPr>
            <w:tcW w:w="926"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Pr>
          <w:p w:rsidR="00DF17E9" w:rsidRPr="007C7769" w:rsidRDefault="00DF17E9" w:rsidP="00044843">
            <w:pPr>
              <w:ind w:left="0" w:firstLine="0"/>
              <w:rPr>
                <w:color w:val="000000"/>
              </w:rPr>
            </w:pPr>
            <w:r w:rsidRPr="007C7769">
              <w:rPr>
                <w:color w:val="000000"/>
              </w:rPr>
              <w:t>Dividends from PFC sector</w:t>
            </w:r>
          </w:p>
        </w:tc>
        <w:tc>
          <w:tcPr>
            <w:cnfStyle w:val="000010000000" w:firstRow="0" w:lastRow="0" w:firstColumn="0" w:lastColumn="0" w:oddVBand="1" w:evenVBand="0" w:oddHBand="0" w:evenHBand="0" w:firstRowFirstColumn="0" w:firstRowLastColumn="0" w:lastRowFirstColumn="0" w:lastRowLastColumn="0"/>
            <w:tcW w:w="924" w:type="dxa"/>
          </w:tcPr>
          <w:p w:rsidR="00DF17E9" w:rsidRPr="007C7769" w:rsidRDefault="00DF17E9" w:rsidP="00044843">
            <w:pPr>
              <w:rPr>
                <w:color w:val="000000"/>
              </w:rPr>
            </w:pPr>
            <w:r w:rsidRPr="007C7769">
              <w:rPr>
                <w:color w:val="000000"/>
              </w:rPr>
              <w:t>..</w:t>
            </w:r>
          </w:p>
        </w:tc>
        <w:tc>
          <w:tcPr>
            <w:tcW w:w="925"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25" w:type="dxa"/>
          </w:tcPr>
          <w:p w:rsidR="00DF17E9" w:rsidRPr="007C7769" w:rsidRDefault="00DF17E9" w:rsidP="00044843">
            <w:r w:rsidRPr="007C7769">
              <w:rPr>
                <w:color w:val="000000"/>
              </w:rPr>
              <w:t>239</w:t>
            </w:r>
          </w:p>
        </w:tc>
        <w:tc>
          <w:tcPr>
            <w:tcW w:w="926"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566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bottom w:val="nil"/>
            </w:tcBorders>
          </w:tcPr>
          <w:p w:rsidR="00DF17E9" w:rsidRPr="007C7769" w:rsidRDefault="00DF17E9" w:rsidP="00044843">
            <w:pPr>
              <w:ind w:left="0" w:firstLine="0"/>
              <w:rPr>
                <w:color w:val="000000"/>
              </w:rPr>
            </w:pPr>
            <w:r w:rsidRPr="007C7769">
              <w:rPr>
                <w:color w:val="000000"/>
              </w:rPr>
              <w:t>Dividends from PNFC sector</w:t>
            </w:r>
          </w:p>
        </w:tc>
        <w:tc>
          <w:tcPr>
            <w:cnfStyle w:val="000010000000" w:firstRow="0" w:lastRow="0" w:firstColumn="0" w:lastColumn="0" w:oddVBand="1" w:evenVBand="0" w:oddHBand="0" w:evenHBand="0" w:firstRowFirstColumn="0" w:firstRowLastColumn="0" w:lastRowFirstColumn="0" w:lastRowLastColumn="0"/>
            <w:tcW w:w="924" w:type="dxa"/>
            <w:tcBorders>
              <w:bottom w:val="nil"/>
            </w:tcBorders>
          </w:tcPr>
          <w:p w:rsidR="00DF17E9" w:rsidRPr="007C7769" w:rsidRDefault="00DF17E9" w:rsidP="00044843">
            <w:pPr>
              <w:rPr>
                <w:color w:val="000000"/>
              </w:rPr>
            </w:pPr>
            <w:r w:rsidRPr="007C7769">
              <w:rPr>
                <w:color w:val="000000"/>
              </w:rPr>
              <w:t>..</w:t>
            </w:r>
          </w:p>
        </w:tc>
        <w:tc>
          <w:tcPr>
            <w:tcW w:w="925"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25" w:type="dxa"/>
            <w:tcBorders>
              <w:bottom w:val="nil"/>
            </w:tcBorders>
          </w:tcPr>
          <w:p w:rsidR="00DF17E9" w:rsidRPr="007C7769" w:rsidRDefault="00DF17E9" w:rsidP="00044843">
            <w:r w:rsidRPr="007C7769">
              <w:rPr>
                <w:color w:val="000000"/>
              </w:rPr>
              <w:t>149</w:t>
            </w:r>
          </w:p>
        </w:tc>
        <w:tc>
          <w:tcPr>
            <w:tcW w:w="926"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256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bottom w:val="single" w:sz="6" w:space="0" w:color="auto"/>
            </w:tcBorders>
          </w:tcPr>
          <w:p w:rsidR="00DF17E9" w:rsidRPr="007C7769" w:rsidRDefault="00DF17E9" w:rsidP="00044843">
            <w:pPr>
              <w:ind w:left="0" w:firstLine="0"/>
              <w:rPr>
                <w:color w:val="000000"/>
              </w:rPr>
            </w:pPr>
            <w:r w:rsidRPr="007C7769">
              <w:rPr>
                <w:color w:val="000000"/>
              </w:rPr>
              <w:t>Dividends from non-public sector</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6" w:space="0" w:color="auto"/>
            </w:tcBorders>
          </w:tcPr>
          <w:p w:rsidR="00DF17E9" w:rsidRPr="007C7769" w:rsidRDefault="00DF17E9" w:rsidP="00044843">
            <w:pPr>
              <w:rPr>
                <w:color w:val="000000"/>
              </w:rPr>
            </w:pPr>
            <w:r w:rsidRPr="007C7769">
              <w:rPr>
                <w:color w:val="000000"/>
              </w:rPr>
              <w:t>1 159</w:t>
            </w:r>
          </w:p>
        </w:tc>
        <w:tc>
          <w:tcPr>
            <w:tcW w:w="925"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768</w:t>
            </w:r>
          </w:p>
        </w:tc>
        <w:tc>
          <w:tcPr>
            <w:cnfStyle w:val="000010000000" w:firstRow="0" w:lastRow="0" w:firstColumn="0" w:lastColumn="0" w:oddVBand="1" w:evenVBand="0" w:oddHBand="0" w:evenHBand="0" w:firstRowFirstColumn="0" w:firstRowLastColumn="0" w:lastRowFirstColumn="0" w:lastRowLastColumn="0"/>
            <w:tcW w:w="925" w:type="dxa"/>
            <w:tcBorders>
              <w:bottom w:val="single" w:sz="6" w:space="0" w:color="auto"/>
            </w:tcBorders>
          </w:tcPr>
          <w:p w:rsidR="00DF17E9" w:rsidRPr="007C7769" w:rsidRDefault="00DF17E9" w:rsidP="00044843">
            <w:r w:rsidRPr="007C7769">
              <w:rPr>
                <w:color w:val="000000"/>
              </w:rPr>
              <w:t>25</w:t>
            </w:r>
          </w:p>
        </w:tc>
        <w:tc>
          <w:tcPr>
            <w:tcW w:w="926"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19</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top w:val="single" w:sz="6" w:space="0" w:color="auto"/>
            </w:tcBorders>
          </w:tcPr>
          <w:p w:rsidR="00DF17E9" w:rsidRPr="007C7769" w:rsidRDefault="00DF17E9" w:rsidP="00044843">
            <w:pPr>
              <w:ind w:left="0" w:firstLine="0"/>
              <w:rPr>
                <w:color w:val="000000"/>
              </w:rPr>
            </w:pPr>
            <w:r w:rsidRPr="007C7769">
              <w:rPr>
                <w:b/>
                <w:color w:val="000000"/>
              </w:rPr>
              <w:t>Dividends</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tcBorders>
          </w:tcPr>
          <w:p w:rsidR="00DF17E9" w:rsidRPr="007C7769" w:rsidRDefault="00DF17E9" w:rsidP="00044843">
            <w:pPr>
              <w:rPr>
                <w:color w:val="000000"/>
              </w:rPr>
            </w:pPr>
            <w:r w:rsidRPr="007C7769">
              <w:rPr>
                <w:b/>
                <w:color w:val="000000"/>
              </w:rPr>
              <w:t>1 159</w:t>
            </w:r>
          </w:p>
        </w:tc>
        <w:tc>
          <w:tcPr>
            <w:tcW w:w="925"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768</w:t>
            </w:r>
          </w:p>
        </w:tc>
        <w:tc>
          <w:tcPr>
            <w:cnfStyle w:val="000010000000" w:firstRow="0" w:lastRow="0" w:firstColumn="0" w:lastColumn="0" w:oddVBand="1" w:evenVBand="0" w:oddHBand="0" w:evenHBand="0" w:firstRowFirstColumn="0" w:firstRowLastColumn="0" w:lastRowFirstColumn="0" w:lastRowLastColumn="0"/>
            <w:tcW w:w="925" w:type="dxa"/>
            <w:tcBorders>
              <w:top w:val="single" w:sz="6" w:space="0" w:color="auto"/>
            </w:tcBorders>
          </w:tcPr>
          <w:p w:rsidR="00DF17E9" w:rsidRPr="007C7769" w:rsidRDefault="00DF17E9" w:rsidP="00044843">
            <w:r w:rsidRPr="007C7769">
              <w:rPr>
                <w:b/>
                <w:color w:val="000000"/>
              </w:rPr>
              <w:t>412</w:t>
            </w:r>
          </w:p>
        </w:tc>
        <w:tc>
          <w:tcPr>
            <w:tcW w:w="926"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841</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bottom w:val="nil"/>
            </w:tcBorders>
          </w:tcPr>
          <w:p w:rsidR="00DF17E9" w:rsidRPr="007C7769" w:rsidRDefault="00DF17E9" w:rsidP="00044843">
            <w:pPr>
              <w:ind w:left="0" w:firstLine="0"/>
              <w:rPr>
                <w:color w:val="000000"/>
              </w:rPr>
            </w:pPr>
            <w:r w:rsidRPr="007C7769">
              <w:rPr>
                <w:color w:val="000000"/>
              </w:rPr>
              <w:t>Income tax equivalent revenue from PFC sector</w:t>
            </w:r>
          </w:p>
        </w:tc>
        <w:tc>
          <w:tcPr>
            <w:cnfStyle w:val="000010000000" w:firstRow="0" w:lastRow="0" w:firstColumn="0" w:lastColumn="0" w:oddVBand="1" w:evenVBand="0" w:oddHBand="0" w:evenHBand="0" w:firstRowFirstColumn="0" w:firstRowLastColumn="0" w:lastRowFirstColumn="0" w:lastRowLastColumn="0"/>
            <w:tcW w:w="924" w:type="dxa"/>
            <w:tcBorders>
              <w:bottom w:val="nil"/>
            </w:tcBorders>
          </w:tcPr>
          <w:p w:rsidR="00DF17E9" w:rsidRPr="007C7769" w:rsidRDefault="00DF17E9" w:rsidP="00044843">
            <w:pPr>
              <w:rPr>
                <w:color w:val="000000"/>
              </w:rPr>
            </w:pPr>
            <w:r w:rsidRPr="007C7769">
              <w:rPr>
                <w:color w:val="000000"/>
              </w:rPr>
              <w:t>..</w:t>
            </w:r>
          </w:p>
        </w:tc>
        <w:tc>
          <w:tcPr>
            <w:tcW w:w="925"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25" w:type="dxa"/>
            <w:tcBorders>
              <w:bottom w:val="nil"/>
            </w:tcBorders>
          </w:tcPr>
          <w:p w:rsidR="00DF17E9" w:rsidRPr="007C7769" w:rsidRDefault="00DF17E9" w:rsidP="00044843">
            <w:r w:rsidRPr="007C7769">
              <w:rPr>
                <w:color w:val="000000"/>
              </w:rPr>
              <w:t>15</w:t>
            </w:r>
          </w:p>
        </w:tc>
        <w:tc>
          <w:tcPr>
            <w:tcW w:w="926"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139</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bottom w:val="single" w:sz="6" w:space="0" w:color="auto"/>
            </w:tcBorders>
          </w:tcPr>
          <w:p w:rsidR="00DF17E9" w:rsidRPr="007C7769" w:rsidRDefault="00DF17E9" w:rsidP="00044843">
            <w:pPr>
              <w:ind w:left="0" w:firstLine="0"/>
              <w:rPr>
                <w:color w:val="000000"/>
              </w:rPr>
            </w:pPr>
            <w:r w:rsidRPr="007C7769">
              <w:rPr>
                <w:color w:val="000000"/>
              </w:rPr>
              <w:t>Income tax equivalent revenue from PNFC sector</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6" w:space="0" w:color="auto"/>
            </w:tcBorders>
          </w:tcPr>
          <w:p w:rsidR="00DF17E9" w:rsidRPr="007C7769" w:rsidRDefault="00DF17E9" w:rsidP="00044843">
            <w:pPr>
              <w:rPr>
                <w:color w:val="000000"/>
              </w:rPr>
            </w:pPr>
            <w:r w:rsidRPr="007C7769">
              <w:rPr>
                <w:color w:val="000000"/>
              </w:rPr>
              <w:t>..</w:t>
            </w:r>
          </w:p>
        </w:tc>
        <w:tc>
          <w:tcPr>
            <w:tcW w:w="925"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25" w:type="dxa"/>
            <w:tcBorders>
              <w:bottom w:val="single" w:sz="6" w:space="0" w:color="auto"/>
            </w:tcBorders>
          </w:tcPr>
          <w:p w:rsidR="00DF17E9" w:rsidRPr="007C7769" w:rsidRDefault="00DF17E9" w:rsidP="00044843">
            <w:r w:rsidRPr="007C7769">
              <w:rPr>
                <w:color w:val="000000"/>
              </w:rPr>
              <w:t>417</w:t>
            </w:r>
          </w:p>
        </w:tc>
        <w:tc>
          <w:tcPr>
            <w:tcW w:w="926"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132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top w:val="single" w:sz="6" w:space="0" w:color="auto"/>
              <w:bottom w:val="nil"/>
            </w:tcBorders>
          </w:tcPr>
          <w:p w:rsidR="00DF17E9" w:rsidRPr="007C7769" w:rsidRDefault="00DF17E9" w:rsidP="00044843">
            <w:pPr>
              <w:ind w:left="0" w:firstLine="0"/>
              <w:rPr>
                <w:color w:val="000000"/>
              </w:rPr>
            </w:pPr>
            <w:r w:rsidRPr="007C7769">
              <w:rPr>
                <w:b/>
                <w:color w:val="000000"/>
              </w:rPr>
              <w:t>Income tax equivalent revenue</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bottom w:val="nil"/>
            </w:tcBorders>
          </w:tcPr>
          <w:p w:rsidR="00DF17E9" w:rsidRPr="007C7769" w:rsidRDefault="00DF17E9" w:rsidP="00044843">
            <w:pPr>
              <w:rPr>
                <w:color w:val="000000"/>
              </w:rPr>
            </w:pPr>
            <w:r w:rsidRPr="007C7769">
              <w:rPr>
                <w:b/>
                <w:color w:val="000000"/>
              </w:rPr>
              <w:t>..</w:t>
            </w:r>
          </w:p>
        </w:tc>
        <w:tc>
          <w:tcPr>
            <w:tcW w:w="925" w:type="dxa"/>
            <w:tcBorders>
              <w:top w:val="single" w:sz="6" w:space="0" w:color="auto"/>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w:t>
            </w:r>
          </w:p>
        </w:tc>
        <w:tc>
          <w:tcPr>
            <w:cnfStyle w:val="000010000000" w:firstRow="0" w:lastRow="0" w:firstColumn="0" w:lastColumn="0" w:oddVBand="1" w:evenVBand="0" w:oddHBand="0" w:evenHBand="0" w:firstRowFirstColumn="0" w:firstRowLastColumn="0" w:lastRowFirstColumn="0" w:lastRowLastColumn="0"/>
            <w:tcW w:w="925" w:type="dxa"/>
            <w:tcBorders>
              <w:top w:val="single" w:sz="6" w:space="0" w:color="auto"/>
              <w:bottom w:val="nil"/>
            </w:tcBorders>
          </w:tcPr>
          <w:p w:rsidR="00DF17E9" w:rsidRPr="007C7769" w:rsidRDefault="00DF17E9" w:rsidP="00044843">
            <w:r w:rsidRPr="007C7769">
              <w:rPr>
                <w:b/>
                <w:color w:val="000000"/>
              </w:rPr>
              <w:t>431</w:t>
            </w:r>
          </w:p>
        </w:tc>
        <w:tc>
          <w:tcPr>
            <w:tcW w:w="926" w:type="dxa"/>
            <w:tcBorders>
              <w:top w:val="single" w:sz="6" w:space="0" w:color="auto"/>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270</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bottom w:val="single" w:sz="6" w:space="0" w:color="auto"/>
            </w:tcBorders>
          </w:tcPr>
          <w:p w:rsidR="00DF17E9" w:rsidRPr="007C7769" w:rsidRDefault="00DF17E9" w:rsidP="00044843">
            <w:pPr>
              <w:ind w:left="0" w:firstLine="0"/>
              <w:rPr>
                <w:color w:val="000000"/>
              </w:rPr>
            </w:pPr>
            <w:r w:rsidRPr="007C7769">
              <w:rPr>
                <w:color w:val="000000"/>
              </w:rPr>
              <w:t>Local government rate equivalent revenue</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6" w:space="0" w:color="auto"/>
            </w:tcBorders>
          </w:tcPr>
          <w:p w:rsidR="00DF17E9" w:rsidRPr="007C7769" w:rsidRDefault="00DF17E9" w:rsidP="00044843">
            <w:pPr>
              <w:rPr>
                <w:color w:val="000000"/>
              </w:rPr>
            </w:pPr>
            <w:r w:rsidRPr="007C7769">
              <w:rPr>
                <w:color w:val="000000"/>
              </w:rPr>
              <w:t>..</w:t>
            </w:r>
          </w:p>
        </w:tc>
        <w:tc>
          <w:tcPr>
            <w:tcW w:w="925"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25" w:type="dxa"/>
            <w:tcBorders>
              <w:bottom w:val="single" w:sz="6" w:space="0" w:color="auto"/>
            </w:tcBorders>
          </w:tcPr>
          <w:p w:rsidR="00DF17E9" w:rsidRPr="007C7769" w:rsidRDefault="00DF17E9" w:rsidP="00044843">
            <w:r w:rsidRPr="007C7769">
              <w:rPr>
                <w:color w:val="000000"/>
              </w:rPr>
              <w:t>5</w:t>
            </w:r>
          </w:p>
        </w:tc>
        <w:tc>
          <w:tcPr>
            <w:tcW w:w="926"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76"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1 159</w:t>
            </w:r>
          </w:p>
        </w:tc>
        <w:tc>
          <w:tcPr>
            <w:tcW w:w="925"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768</w:t>
            </w:r>
          </w:p>
        </w:tc>
        <w:tc>
          <w:tcPr>
            <w:cnfStyle w:val="000010000000" w:firstRow="0" w:lastRow="0" w:firstColumn="0" w:lastColumn="0" w:oddVBand="1" w:evenVBand="0" w:oddHBand="0" w:evenHBand="0" w:firstRowFirstColumn="0" w:firstRowLastColumn="0" w:lastRowFirstColumn="0" w:lastRowLastColumn="0"/>
            <w:tcW w:w="925" w:type="dxa"/>
            <w:tcBorders>
              <w:top w:val="single" w:sz="6" w:space="0" w:color="auto"/>
              <w:bottom w:val="single" w:sz="12" w:space="0" w:color="auto"/>
            </w:tcBorders>
          </w:tcPr>
          <w:p w:rsidR="00DF17E9" w:rsidRPr="007C7769" w:rsidRDefault="00DF17E9" w:rsidP="00044843">
            <w:r w:rsidRPr="007C7769">
              <w:rPr>
                <w:b/>
                <w:color w:val="000000"/>
              </w:rPr>
              <w:t>848</w:t>
            </w:r>
          </w:p>
        </w:tc>
        <w:tc>
          <w:tcPr>
            <w:tcW w:w="926"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1 113</w:t>
            </w:r>
          </w:p>
        </w:tc>
      </w:tr>
    </w:tbl>
    <w:p w:rsidR="00DF17E9" w:rsidRDefault="00DF17E9" w:rsidP="006125C9">
      <w:pPr>
        <w:spacing w:line="240" w:lineRule="auto"/>
      </w:pPr>
    </w:p>
    <w:p w:rsidR="00DF17E9" w:rsidRDefault="00DF17E9" w:rsidP="006125C9">
      <w:pPr>
        <w:spacing w:line="240" w:lineRule="auto"/>
        <w:sectPr w:rsidR="00DF17E9" w:rsidSect="001976DE">
          <w:headerReference w:type="even" r:id="rId86"/>
          <w:headerReference w:type="default" r:id="rId87"/>
          <w:type w:val="continuous"/>
          <w:pgSz w:w="11906" w:h="16838" w:code="9"/>
          <w:pgMar w:top="1134" w:right="1134" w:bottom="1134" w:left="1134" w:header="624" w:footer="567" w:gutter="0"/>
          <w:cols w:space="708"/>
          <w:docGrid w:linePitch="360"/>
        </w:sectPr>
      </w:pPr>
    </w:p>
    <w:p w:rsidR="00DF17E9" w:rsidRPr="00D0140C" w:rsidRDefault="00DF17E9" w:rsidP="008976C2">
      <w:r w:rsidRPr="00D0140C">
        <w:lastRenderedPageBreak/>
        <w:t xml:space="preserve">General government sector dividends, income tax equivalent and rate equivalent revenue, represents revenue </w:t>
      </w:r>
      <w:r>
        <w:t>earned</w:t>
      </w:r>
      <w:r w:rsidRPr="00D0140C">
        <w:t xml:space="preserve"> from other sectors of government. Such revenue for th</w:t>
      </w:r>
      <w:r>
        <w:t xml:space="preserve">e general government sector is </w:t>
      </w:r>
      <w:r w:rsidRPr="00D0140C">
        <w:t xml:space="preserve">recognised when the right to receive the payment is established. </w:t>
      </w:r>
    </w:p>
    <w:p w:rsidR="00DF17E9" w:rsidRPr="007060CC" w:rsidRDefault="00DF17E9" w:rsidP="008976C2">
      <w:r w:rsidRPr="007060CC">
        <w:t>Dividends and income tax equivalent revenue are mainly from the PNFC and PFC sectors. These revenues are based on establis</w:t>
      </w:r>
      <w:r>
        <w:t>hed dividend policy and the profitability of the</w:t>
      </w:r>
      <w:r w:rsidRPr="007060CC">
        <w:t xml:space="preserve"> PNFCs an</w:t>
      </w:r>
      <w:r>
        <w:t>d PFCs</w:t>
      </w:r>
      <w:r w:rsidRPr="007060CC">
        <w:t>.</w:t>
      </w:r>
    </w:p>
    <w:p w:rsidR="00DF17E9" w:rsidRDefault="00DF17E9" w:rsidP="008976C2">
      <w:r w:rsidRPr="007060CC">
        <w:t xml:space="preserve">While most government departments and agencies are exempt from federal income tax, certain larger PNFC and PFC entities are subject to income tax equivalents payable to the general government </w:t>
      </w:r>
      <w:r w:rsidRPr="007060CC">
        <w:lastRenderedPageBreak/>
        <w:t>sector in accordance with the National Tax Equivalent Regime (NTER). The primary objective of the NTER is to promote competitive neutrality, through uniformly applying income tax laws, between NTER entities and their privately held counterparts.</w:t>
      </w:r>
    </w:p>
    <w:p w:rsidR="00DF17E9" w:rsidRPr="00D0140C" w:rsidRDefault="00DF17E9" w:rsidP="008976C2">
      <w:r w:rsidRPr="00D0140C">
        <w:t>Dividends</w:t>
      </w:r>
      <w:r>
        <w:t xml:space="preserve"> </w:t>
      </w:r>
      <w:r w:rsidRPr="00AE0EE1">
        <w:t>and income tax equivalents</w:t>
      </w:r>
      <w:r w:rsidRPr="00D0140C">
        <w:t xml:space="preserve"> from the PNFC and PFC sectors are eliminated on consolidation into the financial statements of the State.</w:t>
      </w:r>
    </w:p>
    <w:p w:rsidR="00DF17E9" w:rsidRDefault="00DF17E9" w:rsidP="008976C2">
      <w:r w:rsidRPr="00D0140C">
        <w:t xml:space="preserve">Dividends earned from </w:t>
      </w:r>
      <w:r>
        <w:t xml:space="preserve">the </w:t>
      </w:r>
      <w:r w:rsidRPr="00D0140C">
        <w:t>non-</w:t>
      </w:r>
      <w:r>
        <w:t xml:space="preserve">public sector </w:t>
      </w:r>
      <w:r w:rsidRPr="00D0140C">
        <w:t>are also reflected in the financial statements</w:t>
      </w:r>
      <w:r>
        <w:t>, as noted in the above table</w:t>
      </w:r>
      <w:r w:rsidRPr="00D0140C">
        <w:t>.</w:t>
      </w:r>
    </w:p>
    <w:p w:rsidR="00DF17E9" w:rsidRDefault="00DF17E9">
      <w:pPr>
        <w:sectPr w:rsidR="00DF17E9" w:rsidSect="003D4761">
          <w:headerReference w:type="default" r:id="rId88"/>
          <w:type w:val="continuous"/>
          <w:pgSz w:w="11906" w:h="16838" w:code="9"/>
          <w:pgMar w:top="1134" w:right="1134" w:bottom="1134" w:left="1134" w:header="624" w:footer="567" w:gutter="0"/>
          <w:cols w:num="2" w:space="708"/>
          <w:docGrid w:linePitch="360"/>
        </w:sectPr>
      </w:pPr>
    </w:p>
    <w:p w:rsidR="00DF17E9" w:rsidRDefault="00DF17E9">
      <w:pPr>
        <w:rPr>
          <w:rFonts w:asciiTheme="majorHAnsi" w:hAnsiTheme="majorHAnsi"/>
          <w:b/>
          <w:spacing w:val="-2"/>
        </w:rPr>
      </w:pPr>
      <w:r>
        <w:lastRenderedPageBreak/>
        <w:br w:type="page"/>
      </w:r>
    </w:p>
    <w:p w:rsidR="00DF17E9" w:rsidRPr="007C7769" w:rsidRDefault="00DF17E9" w:rsidP="00044843">
      <w:pPr>
        <w:pStyle w:val="Subheading"/>
        <w:tabs>
          <w:tab w:val="right" w:pos="4395"/>
        </w:tabs>
        <w:rPr>
          <w:bCs/>
          <w:lang w:val="en-US"/>
        </w:rPr>
      </w:pPr>
      <w:r w:rsidRPr="00D0140C">
        <w:lastRenderedPageBreak/>
        <w:t>Dividends by entity</w:t>
      </w:r>
      <w:r>
        <w:tab/>
      </w:r>
      <w:r>
        <w:tab/>
      </w:r>
      <w:r w:rsidRPr="003D4761">
        <w:rPr>
          <w:rStyle w:val="TableUnitsChar"/>
        </w:rPr>
        <w:t>($ million)</w:t>
      </w:r>
    </w:p>
    <w:tbl>
      <w:tblPr>
        <w:tblStyle w:val="TableDTFGeneral"/>
        <w:tblW w:w="9659" w:type="dxa"/>
        <w:tblLayout w:type="fixed"/>
        <w:tblLook w:val="02A0" w:firstRow="1" w:lastRow="0" w:firstColumn="1" w:lastColumn="0" w:noHBand="1" w:noVBand="0"/>
      </w:tblPr>
      <w:tblGrid>
        <w:gridCol w:w="7829"/>
        <w:gridCol w:w="915"/>
        <w:gridCol w:w="908"/>
        <w:gridCol w:w="7"/>
      </w:tblGrid>
      <w:tr w:rsidR="00AE50D6" w:rsidRPr="007C7769" w:rsidTr="00AE50D6">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782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2"/>
          </w:tcPr>
          <w:p w:rsidR="00AE50D6" w:rsidRPr="007C7769" w:rsidRDefault="00AE50D6" w:rsidP="00AE50D6">
            <w:pPr>
              <w:jc w:val="center"/>
              <w:rPr>
                <w:color w:val="FFFFFF"/>
              </w:rPr>
            </w:pPr>
            <w:r w:rsidRPr="007C7769">
              <w:rPr>
                <w:color w:val="FFFFFF"/>
              </w:rPr>
              <w:t xml:space="preserve">General </w:t>
            </w:r>
            <w:r w:rsidRPr="007C7769">
              <w:rPr>
                <w:color w:val="FFFFFF"/>
              </w:rPr>
              <w:br/>
              <w:t xml:space="preserve">government sector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pPr>
              <w:rPr>
                <w:color w:val="FFFFFF"/>
              </w:rPr>
            </w:pPr>
            <w:r w:rsidRPr="007C7769">
              <w:rPr>
                <w:color w:val="FFFFFF"/>
              </w:rPr>
              <w:t>2016</w:t>
            </w:r>
          </w:p>
        </w:tc>
        <w:tc>
          <w:tcPr>
            <w:tcW w:w="915" w:type="dxa"/>
            <w:gridSpan w:val="2"/>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b/>
                <w:color w:val="000000"/>
              </w:rPr>
              <w:t>Public financial corporations</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pPr>
              <w:rPr>
                <w:color w:val="000000"/>
              </w:rPr>
            </w:pPr>
            <w:r w:rsidRPr="007C7769">
              <w:rPr>
                <w:b/>
                <w:color w:val="000000"/>
              </w:rPr>
              <w:t xml:space="preserve"> </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WorkSafe Victoria</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pPr>
              <w:rPr>
                <w:color w:val="000000"/>
              </w:rPr>
            </w:pPr>
            <w:r w:rsidRPr="007C7769">
              <w:rPr>
                <w:color w:val="000000"/>
              </w:rPr>
              <w:t>..</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242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Victorian Managed Insurance Authority</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73</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Transport Accident Commission</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132</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253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Treasury Corporation of Victoria</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32</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Rural Finance Corporation of Victoria</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pPr>
              <w:rPr>
                <w:color w:val="000000"/>
              </w:rPr>
            </w:pPr>
            <w:r w:rsidRPr="007C7769">
              <w:rPr>
                <w:color w:val="000000"/>
              </w:rPr>
              <w:t>..</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bottom w:val="nil"/>
            </w:tcBorders>
          </w:tcPr>
          <w:p w:rsidR="00DF17E9" w:rsidRPr="007C7769" w:rsidRDefault="00DF17E9" w:rsidP="00044843">
            <w:pPr>
              <w:ind w:left="0" w:firstLine="0"/>
              <w:rPr>
                <w:color w:val="000000"/>
              </w:rPr>
            </w:pPr>
            <w:r w:rsidRPr="007C7769">
              <w:rPr>
                <w:color w:val="000000"/>
              </w:rPr>
              <w:t>State Trustees Ltd</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7C7769" w:rsidRDefault="00DF17E9" w:rsidP="00044843">
            <w:r w:rsidRPr="007C7769">
              <w:rPr>
                <w:color w:val="000000"/>
              </w:rPr>
              <w:t>1</w:t>
            </w:r>
          </w:p>
        </w:tc>
        <w:tc>
          <w:tcPr>
            <w:tcW w:w="915" w:type="dxa"/>
            <w:gridSpan w:val="2"/>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bottom w:val="single" w:sz="6" w:space="0" w:color="auto"/>
            </w:tcBorders>
          </w:tcPr>
          <w:p w:rsidR="00DF17E9" w:rsidRPr="007C7769" w:rsidRDefault="00DF17E9" w:rsidP="00044843">
            <w:pPr>
              <w:ind w:left="0" w:firstLine="0"/>
              <w:rPr>
                <w:color w:val="000000"/>
              </w:rPr>
            </w:pPr>
            <w:r w:rsidRPr="007C7769">
              <w:rPr>
                <w:color w:val="000000"/>
              </w:rPr>
              <w:t>Victorian Funds Management Corporation</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7C7769" w:rsidRDefault="00DF17E9" w:rsidP="00044843">
            <w:r w:rsidRPr="007C7769">
              <w:rPr>
                <w:color w:val="000000"/>
              </w:rPr>
              <w:t>2</w:t>
            </w:r>
          </w:p>
        </w:tc>
        <w:tc>
          <w:tcPr>
            <w:tcW w:w="915" w:type="dxa"/>
            <w:gridSpan w:val="2"/>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Dividends from PFC sector</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7C7769" w:rsidRDefault="00DF17E9" w:rsidP="00044843">
            <w:r w:rsidRPr="007C7769">
              <w:rPr>
                <w:b/>
                <w:color w:val="000000"/>
              </w:rPr>
              <w:t>239</w:t>
            </w:r>
          </w:p>
        </w:tc>
        <w:tc>
          <w:tcPr>
            <w:tcW w:w="915" w:type="dxa"/>
            <w:gridSpan w:val="2"/>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566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top w:val="single" w:sz="12" w:space="0" w:color="auto"/>
            </w:tcBorders>
          </w:tcPr>
          <w:p w:rsidR="00DF17E9" w:rsidRPr="007C7769" w:rsidRDefault="00DF17E9" w:rsidP="00044843">
            <w:pPr>
              <w:ind w:left="0" w:firstLine="0"/>
              <w:rPr>
                <w:color w:val="000000"/>
              </w:rPr>
            </w:pPr>
            <w:r w:rsidRPr="007C7769">
              <w:rPr>
                <w:b/>
                <w:color w:val="000000"/>
              </w:rPr>
              <w:t>Public non-financial corporations</w:t>
            </w:r>
          </w:p>
        </w:tc>
        <w:tc>
          <w:tcPr>
            <w:cnfStyle w:val="000010000000" w:firstRow="0" w:lastRow="0" w:firstColumn="0" w:lastColumn="0" w:oddVBand="1" w:evenVBand="0" w:oddHBand="0" w:evenHBand="0" w:firstRowFirstColumn="0" w:firstRowLastColumn="0" w:lastRowFirstColumn="0" w:lastRowLastColumn="0"/>
            <w:tcW w:w="915" w:type="dxa"/>
            <w:tcBorders>
              <w:top w:val="single" w:sz="12" w:space="0" w:color="auto"/>
            </w:tcBorders>
          </w:tcPr>
          <w:p w:rsidR="00DF17E9" w:rsidRPr="007C7769" w:rsidRDefault="00DF17E9" w:rsidP="00044843">
            <w:pPr>
              <w:rPr>
                <w:color w:val="000000"/>
              </w:rPr>
            </w:pPr>
            <w:r w:rsidRPr="007C7769">
              <w:rPr>
                <w:b/>
                <w:color w:val="000000"/>
              </w:rPr>
              <w:t xml:space="preserve"> </w:t>
            </w:r>
          </w:p>
        </w:tc>
        <w:tc>
          <w:tcPr>
            <w:tcW w:w="915" w:type="dxa"/>
            <w:gridSpan w:val="2"/>
            <w:tcBorders>
              <w:top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Melbourne Water Corporation</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pPr>
              <w:rPr>
                <w:color w:val="000000"/>
              </w:rPr>
            </w:pPr>
            <w:r w:rsidRPr="007C7769">
              <w:rPr>
                <w:color w:val="000000"/>
              </w:rPr>
              <w:t>..</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City West Water Corporation</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10</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South East Water Corporation</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26</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Yarra Valley Water Corporation</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24</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Pr>
          <w:p w:rsidR="00DF17E9" w:rsidRPr="007C7769" w:rsidRDefault="00DF17E9" w:rsidP="00044843">
            <w:pPr>
              <w:ind w:left="0" w:firstLine="0"/>
              <w:rPr>
                <w:color w:val="000000"/>
              </w:rPr>
            </w:pPr>
            <w:r w:rsidRPr="007C7769">
              <w:rPr>
                <w:color w:val="000000"/>
              </w:rPr>
              <w:t>Port of Melbourne Corporation</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7C7769" w:rsidRDefault="00DF17E9" w:rsidP="00044843">
            <w:r w:rsidRPr="007C7769">
              <w:rPr>
                <w:color w:val="000000"/>
              </w:rPr>
              <w:t>30</w:t>
            </w:r>
          </w:p>
        </w:tc>
        <w:tc>
          <w:tcPr>
            <w:tcW w:w="915" w:type="dxa"/>
            <w:gridSpan w:val="2"/>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bottom w:val="nil"/>
            </w:tcBorders>
          </w:tcPr>
          <w:p w:rsidR="00DF17E9" w:rsidRPr="007C7769" w:rsidRDefault="00DF17E9" w:rsidP="00044843">
            <w:pPr>
              <w:ind w:left="0" w:firstLine="0"/>
              <w:rPr>
                <w:color w:val="000000"/>
              </w:rPr>
            </w:pPr>
            <w:r w:rsidRPr="007C7769">
              <w:rPr>
                <w:color w:val="000000"/>
              </w:rPr>
              <w:t xml:space="preserve">State Electricity Commission of Victoria </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7C7769" w:rsidRDefault="00DF17E9" w:rsidP="00044843">
            <w:r w:rsidRPr="007C7769">
              <w:rPr>
                <w:color w:val="000000"/>
              </w:rPr>
              <w:t>50</w:t>
            </w:r>
          </w:p>
        </w:tc>
        <w:tc>
          <w:tcPr>
            <w:tcW w:w="915" w:type="dxa"/>
            <w:gridSpan w:val="2"/>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100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bottom w:val="single" w:sz="6" w:space="0" w:color="auto"/>
            </w:tcBorders>
          </w:tcPr>
          <w:p w:rsidR="00DF17E9" w:rsidRPr="007C7769" w:rsidRDefault="00DF17E9" w:rsidP="00044843">
            <w:pPr>
              <w:ind w:left="0" w:firstLine="0"/>
              <w:rPr>
                <w:color w:val="000000"/>
              </w:rPr>
            </w:pPr>
            <w:r w:rsidRPr="007C7769">
              <w:rPr>
                <w:color w:val="000000"/>
              </w:rPr>
              <w:t>Others</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7C7769" w:rsidRDefault="00DF17E9" w:rsidP="00044843">
            <w:r w:rsidRPr="007C7769">
              <w:rPr>
                <w:color w:val="000000"/>
              </w:rPr>
              <w:t>9</w:t>
            </w:r>
          </w:p>
        </w:tc>
        <w:tc>
          <w:tcPr>
            <w:tcW w:w="915" w:type="dxa"/>
            <w:gridSpan w:val="2"/>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82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Dividends from PNFC sector</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7C7769" w:rsidRDefault="00DF17E9" w:rsidP="00044843">
            <w:r w:rsidRPr="007C7769">
              <w:rPr>
                <w:b/>
                <w:color w:val="000000"/>
              </w:rPr>
              <w:t>149</w:t>
            </w:r>
          </w:p>
        </w:tc>
        <w:tc>
          <w:tcPr>
            <w:tcW w:w="915" w:type="dxa"/>
            <w:gridSpan w:val="2"/>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256</w:t>
            </w:r>
          </w:p>
        </w:tc>
      </w:tr>
    </w:tbl>
    <w:p w:rsidR="00DF17E9" w:rsidRDefault="00DF17E9" w:rsidP="008B48FE">
      <w:pPr>
        <w:spacing w:after="0" w:line="240" w:lineRule="auto"/>
      </w:pPr>
    </w:p>
    <w:p w:rsidR="00DF17E9" w:rsidRPr="007C7769" w:rsidRDefault="00DF17E9" w:rsidP="00044843">
      <w:pPr>
        <w:pStyle w:val="Heading2"/>
        <w:spacing w:before="120"/>
        <w:rPr>
          <w:bCs/>
          <w:lang w:val="en-US"/>
        </w:rPr>
      </w:pPr>
      <w:bookmarkStart w:id="21" w:name="_Toc450733983"/>
      <w:bookmarkStart w:id="22" w:name="_Toc459975954"/>
      <w:r w:rsidRPr="00FD2984">
        <w:t>Sales of goods and services</w:t>
      </w:r>
      <w:r w:rsidRPr="006344F5">
        <w:tab/>
      </w:r>
      <w:r w:rsidRPr="006344F5">
        <w:rPr>
          <w:rStyle w:val="TableUnitsChar"/>
        </w:rPr>
        <w:t>($ million)</w:t>
      </w:r>
      <w:bookmarkEnd w:id="21"/>
      <w:bookmarkEnd w:id="22"/>
    </w:p>
    <w:tbl>
      <w:tblPr>
        <w:tblStyle w:val="TableDTFGeneral"/>
        <w:tblW w:w="9661" w:type="dxa"/>
        <w:tblLayout w:type="fixed"/>
        <w:tblLook w:val="02A0" w:firstRow="1" w:lastRow="0" w:firstColumn="1" w:lastColumn="0" w:noHBand="1" w:noVBand="0"/>
      </w:tblPr>
      <w:tblGrid>
        <w:gridCol w:w="6009"/>
        <w:gridCol w:w="907"/>
        <w:gridCol w:w="907"/>
        <w:gridCol w:w="9"/>
        <w:gridCol w:w="910"/>
        <w:gridCol w:w="919"/>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AE50D6" w:rsidRPr="007C7769" w:rsidRDefault="00AE50D6" w:rsidP="00AE50D6">
            <w:pPr>
              <w:jc w:val="center"/>
              <w:rPr>
                <w:color w:val="FFFFFF"/>
              </w:rPr>
            </w:pPr>
            <w:r w:rsidRPr="007C7769">
              <w:rPr>
                <w:color w:val="FFFFFF"/>
              </w:rPr>
              <w:t xml:space="preserve">State of Victoria </w:t>
            </w:r>
          </w:p>
        </w:tc>
        <w:tc>
          <w:tcPr>
            <w:tcW w:w="1829"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sidRPr="007C7769">
              <w:rPr>
                <w:color w:val="FFFFFF"/>
              </w:rPr>
              <w:br/>
              <w:t xml:space="preserve">government sector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19" w:type="dxa"/>
            <w:gridSpan w:val="2"/>
          </w:tcPr>
          <w:p w:rsidR="00DF17E9" w:rsidRPr="007C7769" w:rsidRDefault="00DF17E9" w:rsidP="00044843">
            <w:pPr>
              <w:rPr>
                <w:color w:val="FFFFFF"/>
              </w:rPr>
            </w:pPr>
            <w:r w:rsidRPr="007C7769">
              <w:rPr>
                <w:color w:val="FFFFFF"/>
              </w:rPr>
              <w:t>2016</w:t>
            </w:r>
          </w:p>
        </w:tc>
        <w:tc>
          <w:tcPr>
            <w:tcW w:w="919"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Motor vehicle regulatory fees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251</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238</w:t>
            </w:r>
          </w:p>
        </w:tc>
        <w:tc>
          <w:tcPr>
            <w:cnfStyle w:val="000010000000" w:firstRow="0" w:lastRow="0" w:firstColumn="0" w:lastColumn="0" w:oddVBand="1" w:evenVBand="0" w:oddHBand="0" w:evenHBand="0" w:firstRowFirstColumn="0" w:firstRowLastColumn="0" w:lastRowFirstColumn="0" w:lastRowLastColumn="0"/>
            <w:tcW w:w="919" w:type="dxa"/>
            <w:gridSpan w:val="2"/>
          </w:tcPr>
          <w:p w:rsidR="00DF17E9" w:rsidRPr="007C7769" w:rsidRDefault="00DF17E9" w:rsidP="00044843">
            <w:r w:rsidRPr="007C7769">
              <w:rPr>
                <w:color w:val="000000"/>
              </w:rPr>
              <w:t>251</w:t>
            </w:r>
          </w:p>
        </w:tc>
        <w:tc>
          <w:tcPr>
            <w:tcW w:w="919"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238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Other regulatory fees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528</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523</w:t>
            </w:r>
          </w:p>
        </w:tc>
        <w:tc>
          <w:tcPr>
            <w:cnfStyle w:val="000010000000" w:firstRow="0" w:lastRow="0" w:firstColumn="0" w:lastColumn="0" w:oddVBand="1" w:evenVBand="0" w:oddHBand="0" w:evenHBand="0" w:firstRowFirstColumn="0" w:firstRowLastColumn="0" w:lastRowFirstColumn="0" w:lastRowLastColumn="0"/>
            <w:tcW w:w="919" w:type="dxa"/>
            <w:gridSpan w:val="2"/>
          </w:tcPr>
          <w:p w:rsidR="00DF17E9" w:rsidRPr="007C7769" w:rsidRDefault="00DF17E9" w:rsidP="00044843">
            <w:r w:rsidRPr="007C7769">
              <w:rPr>
                <w:color w:val="000000"/>
              </w:rPr>
              <w:t>515</w:t>
            </w:r>
          </w:p>
        </w:tc>
        <w:tc>
          <w:tcPr>
            <w:tcW w:w="919"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507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Sale of goods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568</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576</w:t>
            </w:r>
          </w:p>
        </w:tc>
        <w:tc>
          <w:tcPr>
            <w:cnfStyle w:val="000010000000" w:firstRow="0" w:lastRow="0" w:firstColumn="0" w:lastColumn="0" w:oddVBand="1" w:evenVBand="0" w:oddHBand="0" w:evenHBand="0" w:firstRowFirstColumn="0" w:firstRowLastColumn="0" w:lastRowFirstColumn="0" w:lastRowLastColumn="0"/>
            <w:tcW w:w="919" w:type="dxa"/>
            <w:gridSpan w:val="2"/>
          </w:tcPr>
          <w:p w:rsidR="00DF17E9" w:rsidRPr="007C7769" w:rsidRDefault="00DF17E9" w:rsidP="00044843">
            <w:r w:rsidRPr="007C7769">
              <w:rPr>
                <w:color w:val="000000"/>
              </w:rPr>
              <w:t>87</w:t>
            </w:r>
          </w:p>
        </w:tc>
        <w:tc>
          <w:tcPr>
            <w:tcW w:w="919"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Provision of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12 734</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12 277</w:t>
            </w:r>
          </w:p>
        </w:tc>
        <w:tc>
          <w:tcPr>
            <w:cnfStyle w:val="000010000000" w:firstRow="0" w:lastRow="0" w:firstColumn="0" w:lastColumn="0" w:oddVBand="1" w:evenVBand="0" w:oddHBand="0" w:evenHBand="0" w:firstRowFirstColumn="0" w:firstRowLastColumn="0" w:lastRowFirstColumn="0" w:lastRowLastColumn="0"/>
            <w:tcW w:w="919" w:type="dxa"/>
            <w:gridSpan w:val="2"/>
          </w:tcPr>
          <w:p w:rsidR="00DF17E9" w:rsidRPr="007C7769" w:rsidRDefault="00DF17E9" w:rsidP="00044843">
            <w:pPr>
              <w:rPr>
                <w:color w:val="000000"/>
              </w:rPr>
            </w:pPr>
            <w:r w:rsidRPr="007C7769">
              <w:rPr>
                <w:color w:val="000000"/>
              </w:rPr>
              <w:t>3 993</w:t>
            </w:r>
          </w:p>
        </w:tc>
        <w:tc>
          <w:tcPr>
            <w:tcW w:w="919"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3 944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Rental</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97</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90</w:t>
            </w:r>
          </w:p>
        </w:tc>
        <w:tc>
          <w:tcPr>
            <w:cnfStyle w:val="000010000000" w:firstRow="0" w:lastRow="0" w:firstColumn="0" w:lastColumn="0" w:oddVBand="1" w:evenVBand="0" w:oddHBand="0" w:evenHBand="0" w:firstRowFirstColumn="0" w:firstRowLastColumn="0" w:lastRowFirstColumn="0" w:lastRowLastColumn="0"/>
            <w:tcW w:w="919" w:type="dxa"/>
            <w:gridSpan w:val="2"/>
          </w:tcPr>
          <w:p w:rsidR="00DF17E9" w:rsidRPr="007C7769" w:rsidRDefault="00DF17E9" w:rsidP="00044843">
            <w:r w:rsidRPr="007C7769">
              <w:rPr>
                <w:color w:val="000000"/>
              </w:rPr>
              <w:t>70</w:t>
            </w:r>
          </w:p>
        </w:tc>
        <w:tc>
          <w:tcPr>
            <w:tcW w:w="919"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Refunds and reimbursements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147</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202</w:t>
            </w:r>
          </w:p>
        </w:tc>
        <w:tc>
          <w:tcPr>
            <w:cnfStyle w:val="000010000000" w:firstRow="0" w:lastRow="0" w:firstColumn="0" w:lastColumn="0" w:oddVBand="1" w:evenVBand="0" w:oddHBand="0" w:evenHBand="0" w:firstRowFirstColumn="0" w:firstRowLastColumn="0" w:lastRowFirstColumn="0" w:lastRowLastColumn="0"/>
            <w:tcW w:w="919" w:type="dxa"/>
            <w:gridSpan w:val="2"/>
            <w:tcBorders>
              <w:bottom w:val="nil"/>
            </w:tcBorders>
          </w:tcPr>
          <w:p w:rsidR="00DF17E9" w:rsidRPr="007C7769" w:rsidRDefault="00DF17E9" w:rsidP="00044843">
            <w:r w:rsidRPr="007C7769">
              <w:rPr>
                <w:color w:val="000000"/>
              </w:rPr>
              <w:t>22</w:t>
            </w:r>
          </w:p>
        </w:tc>
        <w:tc>
          <w:tcPr>
            <w:tcW w:w="919"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Inter-sector capital asset charge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19" w:type="dxa"/>
            <w:gridSpan w:val="2"/>
            <w:tcBorders>
              <w:bottom w:val="single" w:sz="6" w:space="0" w:color="auto"/>
            </w:tcBorders>
          </w:tcPr>
          <w:p w:rsidR="00DF17E9" w:rsidRPr="007C7769" w:rsidRDefault="00DF17E9" w:rsidP="00044843">
            <w:pPr>
              <w:rPr>
                <w:color w:val="000000"/>
              </w:rPr>
            </w:pPr>
            <w:r w:rsidRPr="007C7769">
              <w:rPr>
                <w:color w:val="000000"/>
              </w:rPr>
              <w:t>1 734</w:t>
            </w:r>
          </w:p>
        </w:tc>
        <w:tc>
          <w:tcPr>
            <w:tcW w:w="919"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1 582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sales of goods and services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14 324</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13 906</w:t>
            </w:r>
          </w:p>
        </w:tc>
        <w:tc>
          <w:tcPr>
            <w:cnfStyle w:val="000010000000" w:firstRow="0" w:lastRow="0" w:firstColumn="0" w:lastColumn="0" w:oddVBand="1" w:evenVBand="0" w:oddHBand="0" w:evenHBand="0" w:firstRowFirstColumn="0" w:firstRowLastColumn="0" w:lastRowFirstColumn="0" w:lastRowLastColumn="0"/>
            <w:tcW w:w="919" w:type="dxa"/>
            <w:gridSpan w:val="2"/>
            <w:tcBorders>
              <w:top w:val="single" w:sz="6" w:space="0" w:color="auto"/>
              <w:bottom w:val="single" w:sz="12" w:space="0" w:color="auto"/>
            </w:tcBorders>
          </w:tcPr>
          <w:p w:rsidR="00DF17E9" w:rsidRPr="007C7769" w:rsidRDefault="00DF17E9" w:rsidP="00044843">
            <w:pPr>
              <w:rPr>
                <w:color w:val="000000"/>
              </w:rPr>
            </w:pPr>
            <w:r w:rsidRPr="007C7769">
              <w:rPr>
                <w:b/>
                <w:color w:val="000000"/>
              </w:rPr>
              <w:t>6 671</w:t>
            </w:r>
          </w:p>
        </w:tc>
        <w:tc>
          <w:tcPr>
            <w:tcW w:w="919"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6 482</w:t>
            </w:r>
          </w:p>
        </w:tc>
      </w:tr>
    </w:tbl>
    <w:p w:rsidR="00DF17E9" w:rsidRDefault="00DF17E9" w:rsidP="00B47818"/>
    <w:p w:rsidR="00DF17E9" w:rsidRDefault="00DF17E9" w:rsidP="00B47818">
      <w:pPr>
        <w:sectPr w:rsidR="00DF17E9" w:rsidSect="00573F75">
          <w:headerReference w:type="even" r:id="rId89"/>
          <w:headerReference w:type="default" r:id="rId90"/>
          <w:type w:val="continuous"/>
          <w:pgSz w:w="11906" w:h="16838" w:code="9"/>
          <w:pgMar w:top="1134" w:right="1134" w:bottom="1134" w:left="1134" w:header="624" w:footer="567" w:gutter="0"/>
          <w:cols w:space="708"/>
          <w:docGrid w:linePitch="360"/>
        </w:sectPr>
      </w:pPr>
    </w:p>
    <w:p w:rsidR="00DF17E9" w:rsidRPr="001A510C" w:rsidRDefault="00DF17E9" w:rsidP="00891F93">
      <w:r w:rsidRPr="001A510C">
        <w:lastRenderedPageBreak/>
        <w:t xml:space="preserve">Revenue from the </w:t>
      </w:r>
      <w:r>
        <w:rPr>
          <w:b/>
        </w:rPr>
        <w:t>provision</w:t>
      </w:r>
      <w:r w:rsidRPr="001A510C">
        <w:rPr>
          <w:b/>
        </w:rPr>
        <w:t xml:space="preserve"> of services</w:t>
      </w:r>
      <w:r w:rsidRPr="001A510C">
        <w:t xml:space="preserve"> is recognised by reference to the stage of completion of the services being performed. The revenue is recognised when:</w:t>
      </w:r>
    </w:p>
    <w:p w:rsidR="00DF17E9" w:rsidRPr="001A510C" w:rsidRDefault="00DF17E9" w:rsidP="001A510C">
      <w:pPr>
        <w:pStyle w:val="ListBullet"/>
      </w:pPr>
      <w:r w:rsidRPr="001A510C">
        <w:t>the amount of the revenue, stage of completion and transaction costs incurred can be reliably measured; and</w:t>
      </w:r>
    </w:p>
    <w:p w:rsidR="00DF17E9" w:rsidRPr="001A510C" w:rsidRDefault="00DF17E9" w:rsidP="001A510C">
      <w:pPr>
        <w:pStyle w:val="ListBullet"/>
      </w:pPr>
      <w:r w:rsidRPr="001A510C">
        <w:t>it is probable that the economic benefits associated with the transaction will flow to the entity.</w:t>
      </w:r>
    </w:p>
    <w:p w:rsidR="00DF17E9" w:rsidRDefault="00DF17E9" w:rsidP="00B47818">
      <w:r w:rsidRPr="00D0140C">
        <w:t>Under this method, revenue is recognised with reference to labour hours supplied or to labour hours supplied as a percentage of total services to be performed in each annual reporting period.</w:t>
      </w:r>
    </w:p>
    <w:p w:rsidR="00DF17E9" w:rsidRPr="00891F93" w:rsidRDefault="009300BD" w:rsidP="00891F93">
      <w:pPr>
        <w:rPr>
          <w:spacing w:val="-4"/>
        </w:rPr>
      </w:pPr>
      <w:r>
        <w:rPr>
          <w:spacing w:val="-4"/>
        </w:rPr>
        <w:br w:type="column"/>
      </w:r>
      <w:r w:rsidR="00DF17E9" w:rsidRPr="00891F93">
        <w:rPr>
          <w:spacing w:val="-4"/>
        </w:rPr>
        <w:lastRenderedPageBreak/>
        <w:t xml:space="preserve">Revenue from the </w:t>
      </w:r>
      <w:r w:rsidR="00DF17E9" w:rsidRPr="00891F93">
        <w:rPr>
          <w:b/>
          <w:spacing w:val="-4"/>
        </w:rPr>
        <w:t>sale of goods</w:t>
      </w:r>
      <w:r w:rsidR="00DF17E9" w:rsidRPr="00891F93">
        <w:rPr>
          <w:spacing w:val="-4"/>
        </w:rPr>
        <w:t xml:space="preserve"> is recognised when:</w:t>
      </w:r>
    </w:p>
    <w:p w:rsidR="00DF17E9" w:rsidRPr="001A510C" w:rsidRDefault="00DF17E9" w:rsidP="001A510C">
      <w:pPr>
        <w:pStyle w:val="ListBullet"/>
      </w:pPr>
      <w:r w:rsidRPr="001A510C">
        <w:t>the State no longer has any of the significant risks and rewards of ownership of the goods transferred to the buyer;</w:t>
      </w:r>
    </w:p>
    <w:p w:rsidR="00DF17E9" w:rsidRPr="001A510C" w:rsidRDefault="00DF17E9" w:rsidP="001A510C">
      <w:pPr>
        <w:pStyle w:val="ListBullet"/>
      </w:pPr>
      <w:r w:rsidRPr="001A510C">
        <w:t>the State no longer has continuing managerial involvement to the degree usually associated with ownership, nor effective control over the goods sold;</w:t>
      </w:r>
    </w:p>
    <w:p w:rsidR="00DF17E9" w:rsidRPr="001A510C" w:rsidRDefault="00DF17E9" w:rsidP="001A510C">
      <w:pPr>
        <w:pStyle w:val="ListBullet"/>
      </w:pPr>
      <w:r w:rsidRPr="001A510C">
        <w:t>the amount of revenue, and the costs incurred or to be incurred in respect of the transactions, can be reliably measured; and</w:t>
      </w:r>
    </w:p>
    <w:p w:rsidR="00DF17E9" w:rsidRPr="001A510C" w:rsidRDefault="00DF17E9" w:rsidP="001A510C">
      <w:pPr>
        <w:pStyle w:val="ListBullet"/>
      </w:pPr>
      <w:r w:rsidRPr="001A510C">
        <w:t>it is probable that the economic benefits associated with the transaction will flow to the State.</w:t>
      </w:r>
    </w:p>
    <w:p w:rsidR="00DF17E9" w:rsidRDefault="00DF17E9" w:rsidP="00793DAC"/>
    <w:p w:rsidR="00DF17E9" w:rsidRDefault="00DF17E9" w:rsidP="00BB5288">
      <w:r w:rsidRPr="00D93A22">
        <w:rPr>
          <w:b/>
        </w:rPr>
        <w:lastRenderedPageBreak/>
        <w:t>Regulatory fees</w:t>
      </w:r>
      <w:r w:rsidRPr="00D0140C">
        <w:t xml:space="preserve"> are recognised at the time of billing.</w:t>
      </w:r>
      <w:r w:rsidRPr="00013CBA">
        <w:t xml:space="preserve"> </w:t>
      </w:r>
    </w:p>
    <w:p w:rsidR="00DF17E9" w:rsidRDefault="00DF17E9" w:rsidP="00793DAC">
      <w:r>
        <w:rPr>
          <w:b/>
        </w:rPr>
        <w:t>C</w:t>
      </w:r>
      <w:r w:rsidRPr="00013CBA">
        <w:rPr>
          <w:b/>
        </w:rPr>
        <w:t>apital asset charge</w:t>
      </w:r>
      <w:r w:rsidRPr="00013CBA">
        <w:t xml:space="preserve"> </w:t>
      </w:r>
      <w:r>
        <w:t>is a levy on controlled non</w:t>
      </w:r>
      <w:r>
        <w:noBreakHyphen/>
      </w:r>
      <w:r w:rsidRPr="00D35A06">
        <w:t xml:space="preserve">current physical assets of State government departments and some public non-financial </w:t>
      </w:r>
      <w:r w:rsidRPr="00D35A06">
        <w:lastRenderedPageBreak/>
        <w:t>corporations</w:t>
      </w:r>
      <w:r>
        <w:t xml:space="preserve">. This </w:t>
      </w:r>
      <w:r w:rsidRPr="00013CBA">
        <w:t>represents the opportunity cost of capital used in service delivery. The charge is calculated on the budgeted carrying amount of applicable non-financial physical assets.</w:t>
      </w:r>
      <w:r>
        <w:t xml:space="preserve"> At a general government level, capital asset charge is levied on the PNFC entities. </w:t>
      </w:r>
    </w:p>
    <w:p w:rsidR="00DF17E9" w:rsidRDefault="00DF17E9" w:rsidP="00793DAC">
      <w:pPr>
        <w:sectPr w:rsidR="00DF17E9" w:rsidSect="00B47818">
          <w:headerReference w:type="default" r:id="rId91"/>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Heading2"/>
        <w:rPr>
          <w:bCs/>
          <w:lang w:val="en-US"/>
        </w:rPr>
      </w:pPr>
      <w:bookmarkStart w:id="23" w:name="_Toc450733985"/>
      <w:bookmarkStart w:id="24" w:name="_Toc459975955"/>
      <w:r w:rsidRPr="00FD2984">
        <w:lastRenderedPageBreak/>
        <w:t>Grant revenue</w:t>
      </w:r>
      <w:r>
        <w:tab/>
      </w:r>
      <w:r w:rsidRPr="007A7975">
        <w:rPr>
          <w:rStyle w:val="TableUnitsChar"/>
        </w:rPr>
        <w:t>($ million)</w:t>
      </w:r>
      <w:bookmarkEnd w:id="23"/>
      <w:bookmarkEnd w:id="24"/>
    </w:p>
    <w:tbl>
      <w:tblPr>
        <w:tblStyle w:val="TableDTFGeneral"/>
        <w:tblW w:w="9661" w:type="dxa"/>
        <w:tblLayout w:type="fixed"/>
        <w:tblLook w:val="02A0" w:firstRow="1" w:lastRow="0" w:firstColumn="1" w:lastColumn="0" w:noHBand="1" w:noVBand="0"/>
      </w:tblPr>
      <w:tblGrid>
        <w:gridCol w:w="6009"/>
        <w:gridCol w:w="907"/>
        <w:gridCol w:w="907"/>
        <w:gridCol w:w="9"/>
        <w:gridCol w:w="898"/>
        <w:gridCol w:w="931"/>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AE50D6" w:rsidRPr="007C7769" w:rsidRDefault="00AE50D6" w:rsidP="00AE50D6">
            <w:pPr>
              <w:jc w:val="center"/>
              <w:rPr>
                <w:color w:val="FFFFFF"/>
              </w:rPr>
            </w:pPr>
            <w:r w:rsidRPr="007C7769">
              <w:rPr>
                <w:color w:val="FFFFFF"/>
              </w:rPr>
              <w:t xml:space="preserve">State of Victoria </w:t>
            </w:r>
          </w:p>
        </w:tc>
        <w:tc>
          <w:tcPr>
            <w:tcW w:w="1829"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Pr>
                <w:color w:val="FFFFFF"/>
              </w:rPr>
              <w:br/>
            </w:r>
            <w:r w:rsidRPr="007C7769">
              <w:rPr>
                <w:color w:val="FFFFFF"/>
              </w:rPr>
              <w:t xml:space="preserve">government sector </w:t>
            </w:r>
          </w:p>
        </w:tc>
      </w:tr>
      <w:tr w:rsidR="00DF17E9"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FFFFFF"/>
              </w:rPr>
            </w:pPr>
            <w:r w:rsidRPr="007C7769">
              <w:rPr>
                <w:color w:val="FFFFFF"/>
              </w:rPr>
              <w:t>2016</w:t>
            </w:r>
          </w:p>
        </w:tc>
        <w:tc>
          <w:tcPr>
            <w:tcW w:w="931"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General purpose grants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12 960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11 984</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12 960</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11 984</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Specific purpose grants for on-passing</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rPr>
                <w:color w:val="000000"/>
              </w:rPr>
            </w:pPr>
            <w:r w:rsidRPr="007C7769">
              <w:rPr>
                <w:color w:val="000000"/>
              </w:rPr>
              <w:t>3 097</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3 492</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pPr>
              <w:rPr>
                <w:color w:val="000000"/>
              </w:rPr>
            </w:pPr>
            <w:r w:rsidRPr="007C7769">
              <w:rPr>
                <w:color w:val="000000"/>
              </w:rPr>
              <w:t>3 097</w:t>
            </w:r>
          </w:p>
        </w:tc>
        <w:tc>
          <w:tcPr>
            <w:tcW w:w="93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3 492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Specific purpose grants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rPr>
                <w:color w:val="000000"/>
              </w:rPr>
            </w:pPr>
            <w:r w:rsidRPr="007C7769">
              <w:rPr>
                <w:color w:val="000000"/>
              </w:rPr>
              <w:t>9 176</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8 895</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pPr>
              <w:rPr>
                <w:color w:val="000000"/>
              </w:rPr>
            </w:pPr>
            <w:r w:rsidRPr="007C7769">
              <w:rPr>
                <w:color w:val="000000"/>
              </w:rPr>
              <w:t>9 169</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8 890</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nil"/>
            </w:tcBorders>
          </w:tcPr>
          <w:p w:rsidR="00DF17E9" w:rsidRPr="007C7769" w:rsidRDefault="00DF17E9" w:rsidP="00044843">
            <w:pPr>
              <w:ind w:left="0" w:firstLine="0"/>
              <w:rPr>
                <w:color w:val="000000"/>
              </w:rPr>
            </w:pPr>
            <w:r w:rsidRPr="007C7769">
              <w:rPr>
                <w:b/>
                <w:color w:val="000000"/>
              </w:rPr>
              <w:t>Total</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7C7769" w:rsidRDefault="00DF17E9" w:rsidP="00044843">
            <w:pPr>
              <w:rPr>
                <w:color w:val="000000"/>
              </w:rPr>
            </w:pPr>
            <w:r w:rsidRPr="007C7769">
              <w:rPr>
                <w:b/>
                <w:color w:val="000000"/>
              </w:rPr>
              <w:t>25 234</w:t>
            </w:r>
          </w:p>
        </w:tc>
        <w:tc>
          <w:tcPr>
            <w:tcW w:w="907" w:type="dxa"/>
            <w:tcBorders>
              <w:top w:val="single" w:sz="6" w:space="0" w:color="auto"/>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24 371</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nil"/>
            </w:tcBorders>
          </w:tcPr>
          <w:p w:rsidR="00DF17E9" w:rsidRPr="007C7769" w:rsidRDefault="00DF17E9" w:rsidP="00044843">
            <w:pPr>
              <w:rPr>
                <w:color w:val="000000"/>
              </w:rPr>
            </w:pPr>
            <w:r w:rsidRPr="007C7769">
              <w:rPr>
                <w:b/>
                <w:color w:val="000000"/>
              </w:rPr>
              <w:t>25 226</w:t>
            </w:r>
          </w:p>
        </w:tc>
        <w:tc>
          <w:tcPr>
            <w:tcW w:w="931" w:type="dxa"/>
            <w:tcBorders>
              <w:top w:val="single" w:sz="6" w:space="0" w:color="auto"/>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24 367</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Other contributions and grants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8</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color w:val="000000"/>
              </w:rPr>
              <w:t>180</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136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grant revenue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25 241</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24 377</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7769" w:rsidRDefault="00DF17E9" w:rsidP="00044843">
            <w:pPr>
              <w:rPr>
                <w:color w:val="000000"/>
              </w:rPr>
            </w:pPr>
            <w:r w:rsidRPr="007C7769">
              <w:rPr>
                <w:b/>
                <w:color w:val="000000"/>
              </w:rPr>
              <w:t>25 406</w:t>
            </w:r>
          </w:p>
        </w:tc>
        <w:tc>
          <w:tcPr>
            <w:tcW w:w="931"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24 503</w:t>
            </w:r>
          </w:p>
        </w:tc>
      </w:tr>
    </w:tbl>
    <w:p w:rsidR="00DF17E9" w:rsidRDefault="00DF17E9" w:rsidP="007A7975">
      <w:pPr>
        <w:spacing w:line="240" w:lineRule="auto"/>
      </w:pPr>
    </w:p>
    <w:p w:rsidR="00DF17E9" w:rsidRDefault="00DF17E9" w:rsidP="00B47818">
      <w:pPr>
        <w:sectPr w:rsidR="00DF17E9" w:rsidSect="00573F75">
          <w:type w:val="continuous"/>
          <w:pgSz w:w="11906" w:h="16838" w:code="9"/>
          <w:pgMar w:top="1134" w:right="1134" w:bottom="1134" w:left="1134" w:header="624" w:footer="567" w:gutter="0"/>
          <w:cols w:space="708"/>
          <w:docGrid w:linePitch="360"/>
        </w:sectPr>
      </w:pPr>
    </w:p>
    <w:p w:rsidR="00DF17E9" w:rsidRDefault="00DF17E9" w:rsidP="00B47818">
      <w:r w:rsidRPr="00D0140C">
        <w:lastRenderedPageBreak/>
        <w:t xml:space="preserve">Grants mainly comprise contributions </w:t>
      </w:r>
      <w:r>
        <w:t>from</w:t>
      </w:r>
      <w:r w:rsidRPr="00D0140C">
        <w:t xml:space="preserve"> the Commonwealth to assist the State in meeting general or specific service delivery obligations, primarily for the purpose of aiding in the financing of the operations of the recipient, capital purposes and/or for on passing to other recipients. Grants also include grants from other jurisdictions. Revenue from grants is recognised when the State obtain</w:t>
      </w:r>
      <w:r>
        <w:t>s control over the contribution.</w:t>
      </w:r>
      <w:r w:rsidR="009300BD">
        <w:t xml:space="preserve"> </w:t>
      </w:r>
      <w:r>
        <w:t>This is generally when the cash is received.</w:t>
      </w:r>
    </w:p>
    <w:p w:rsidR="00DF17E9" w:rsidRDefault="00DF17E9" w:rsidP="00B47818">
      <w:r w:rsidRPr="00D0140C">
        <w:rPr>
          <w:b/>
        </w:rPr>
        <w:t xml:space="preserve">Grant </w:t>
      </w:r>
      <w:r>
        <w:rPr>
          <w:b/>
        </w:rPr>
        <w:t>revenue</w:t>
      </w:r>
      <w:r w:rsidRPr="00D0140C">
        <w:t xml:space="preserve"> arises from transactions in which a party provides goods, services</w:t>
      </w:r>
      <w:r>
        <w:t xml:space="preserve"> </w:t>
      </w:r>
      <w:r w:rsidRPr="00D0140C">
        <w:t>or labour, asset</w:t>
      </w:r>
      <w:r>
        <w:t xml:space="preserve">s (or extinguishes a liability) </w:t>
      </w:r>
      <w:r w:rsidRPr="00D0140C">
        <w:t xml:space="preserve">to the State or general government sector without receiving approximately equal value in return. While grants to governments may </w:t>
      </w:r>
      <w:r>
        <w:t>provide</w:t>
      </w:r>
      <w:r w:rsidRPr="00D0140C">
        <w:t xml:space="preserve"> some goods or services to the transferor, </w:t>
      </w:r>
      <w:r>
        <w:t xml:space="preserve">generally </w:t>
      </w:r>
      <w:r w:rsidRPr="00D0140C">
        <w:t xml:space="preserve">they do not give the transferor </w:t>
      </w:r>
      <w:r w:rsidRPr="00D0140C">
        <w:lastRenderedPageBreak/>
        <w:t>a claim to receive benefits directly of approximately equal value.</w:t>
      </w:r>
    </w:p>
    <w:p w:rsidR="00DF17E9" w:rsidRDefault="00DF17E9" w:rsidP="00B47818">
      <w:r w:rsidRPr="00D0140C">
        <w:t>For this reason, grants are referred to by the AAS as ‘involuntary</w:t>
      </w:r>
      <w:r w:rsidR="00905268">
        <w:t xml:space="preserve"> transfers’ and are termed ‘non</w:t>
      </w:r>
      <w:r w:rsidR="00905268">
        <w:noBreakHyphen/>
      </w:r>
      <w:r w:rsidRPr="00D0140C">
        <w:t xml:space="preserve">reciprocal’ transfers. </w:t>
      </w:r>
    </w:p>
    <w:p w:rsidR="00DF17E9" w:rsidRPr="00D0140C" w:rsidRDefault="00DF17E9" w:rsidP="00A06A62">
      <w:r>
        <w:t>G</w:t>
      </w:r>
      <w:r w:rsidRPr="00D0140C">
        <w:t xml:space="preserve">rants can be paid as </w:t>
      </w:r>
      <w:r w:rsidRPr="00E40544">
        <w:rPr>
          <w:b/>
        </w:rPr>
        <w:t>general purpose grants</w:t>
      </w:r>
      <w:r w:rsidRPr="009A308B">
        <w:t>,</w:t>
      </w:r>
      <w:r w:rsidRPr="00D0140C">
        <w:t xml:space="preserve"> which refers to grants </w:t>
      </w:r>
      <w:r>
        <w:t xml:space="preserve">that </w:t>
      </w:r>
      <w:r w:rsidRPr="00D0140C">
        <w:t xml:space="preserve">are not subject to conditions regarding their </w:t>
      </w:r>
      <w:r>
        <w:t xml:space="preserve">specific </w:t>
      </w:r>
      <w:r w:rsidRPr="00D0140C">
        <w:t xml:space="preserve">use. Alternatively, they may be paid as </w:t>
      </w:r>
      <w:r w:rsidRPr="00E40544">
        <w:rPr>
          <w:b/>
        </w:rPr>
        <w:t>specific purpose grants</w:t>
      </w:r>
      <w:r w:rsidRPr="009A308B">
        <w:t>,</w:t>
      </w:r>
      <w:r w:rsidRPr="00D0140C">
        <w:t xml:space="preserve"> which are paid for a particular purpose and/or have conditions attached regarding their use. </w:t>
      </w:r>
    </w:p>
    <w:p w:rsidR="00DF17E9" w:rsidRDefault="00DF17E9" w:rsidP="00A06A62">
      <w:r w:rsidRPr="00D0140C">
        <w:rPr>
          <w:b/>
        </w:rPr>
        <w:t>Grants for on passing</w:t>
      </w:r>
      <w:r w:rsidRPr="00D0140C">
        <w:t xml:space="preserve"> are grants paid to one ins</w:t>
      </w:r>
      <w:r>
        <w:t>titutional sector (e.g. a state</w:t>
      </w:r>
      <w:r>
        <w:noBreakHyphen/>
      </w:r>
      <w:r w:rsidRPr="00D0140C">
        <w:t>based general government entity) to be passed on to another institutional sector (e.g. local government or a private non-profit institution).</w:t>
      </w:r>
    </w:p>
    <w:p w:rsidR="00DF17E9" w:rsidRDefault="00DF17E9" w:rsidP="007A7975">
      <w:pPr>
        <w:spacing w:line="240" w:lineRule="auto"/>
      </w:pPr>
      <w:r>
        <w:br w:type="page"/>
      </w:r>
    </w:p>
    <w:p w:rsidR="00DF17E9" w:rsidRDefault="00DF17E9" w:rsidP="007A7975">
      <w:pPr>
        <w:spacing w:line="240" w:lineRule="auto"/>
        <w:sectPr w:rsidR="00DF17E9" w:rsidSect="00B47818">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Heading2"/>
        <w:rPr>
          <w:bCs/>
          <w:lang w:val="en-US"/>
        </w:rPr>
      </w:pPr>
      <w:bookmarkStart w:id="25" w:name="_Toc450733984"/>
      <w:bookmarkStart w:id="26" w:name="_Toc459975956"/>
      <w:r w:rsidRPr="00FD2984">
        <w:lastRenderedPageBreak/>
        <w:t>Other revenue</w:t>
      </w:r>
      <w:r w:rsidRPr="006344F5">
        <w:tab/>
      </w:r>
      <w:r w:rsidRPr="006344F5">
        <w:rPr>
          <w:rStyle w:val="TableUnitsChar"/>
        </w:rPr>
        <w:t>($ million)</w:t>
      </w:r>
      <w:bookmarkEnd w:id="25"/>
      <w:bookmarkEnd w:id="26"/>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AE50D6" w:rsidRPr="007C7769" w:rsidRDefault="00AE50D6" w:rsidP="00AE50D6">
            <w:pPr>
              <w:jc w:val="center"/>
              <w:rPr>
                <w:color w:val="FFFFFF"/>
              </w:rPr>
            </w:pPr>
            <w:r w:rsidRPr="007C7769">
              <w:rPr>
                <w:color w:val="FFFFFF"/>
              </w:rPr>
              <w:t xml:space="preserve">State of Victoria </w:t>
            </w:r>
          </w:p>
        </w:tc>
        <w:tc>
          <w:tcPr>
            <w:tcW w:w="1814"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Pr>
                <w:color w:val="FFFFFF"/>
              </w:rPr>
              <w:br/>
            </w:r>
            <w:r w:rsidRPr="007C7769">
              <w:rPr>
                <w:color w:val="FFFFFF"/>
              </w:rPr>
              <w:t xml:space="preserve">government sector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Fair value of assets received free of charge or for nominal consideration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362</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277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143</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Fines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781</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718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776</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Royalties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58</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49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Donations and gifts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343</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317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281</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266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Other non-property rental</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95</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29</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Other miscellaneous revenue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rPr>
                <w:color w:val="000000"/>
              </w:rPr>
            </w:pPr>
            <w:r w:rsidRPr="007C7769">
              <w:rPr>
                <w:color w:val="000000"/>
              </w:rPr>
              <w:t>2 197</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1 632</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rPr>
                <w:color w:val="000000"/>
              </w:rPr>
            </w:pPr>
            <w:r w:rsidRPr="007C7769">
              <w:rPr>
                <w:color w:val="000000"/>
              </w:rPr>
              <w:t>1 830</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1 338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other revenue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3 835</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3 088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3 108</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2 508</w:t>
            </w:r>
          </w:p>
        </w:tc>
      </w:tr>
    </w:tbl>
    <w:p w:rsidR="00DF17E9" w:rsidRDefault="00DF17E9" w:rsidP="00B47818"/>
    <w:p w:rsidR="00DF17E9" w:rsidRDefault="00DF17E9" w:rsidP="00B47818">
      <w:pPr>
        <w:sectPr w:rsidR="00DF17E9" w:rsidSect="001976DE">
          <w:type w:val="continuous"/>
          <w:pgSz w:w="11906" w:h="16838" w:code="9"/>
          <w:pgMar w:top="1134" w:right="1134" w:bottom="1134" w:left="1134" w:header="624" w:footer="567" w:gutter="0"/>
          <w:cols w:space="708"/>
          <w:docGrid w:linePitch="360"/>
        </w:sectPr>
      </w:pPr>
    </w:p>
    <w:p w:rsidR="00DF17E9" w:rsidRDefault="00DF17E9" w:rsidP="00B47818">
      <w:r>
        <w:lastRenderedPageBreak/>
        <w:t>Other revenues come from a variety of miscellaneous sources, as the above table summarises.</w:t>
      </w:r>
    </w:p>
    <w:p w:rsidR="00DF17E9" w:rsidRPr="00D0140C" w:rsidRDefault="00DF17E9" w:rsidP="00B47818">
      <w:r w:rsidRPr="00075BF8">
        <w:rPr>
          <w:b/>
        </w:rPr>
        <w:t>Resources received free of charge or for nominal consideration</w:t>
      </w:r>
      <w:r w:rsidRPr="00D0140C">
        <w:t xml:space="preserve"> are recognised at fair value when the State obtains control over them, irrespective of whether these contributions are subject to restrictions or conditions over their use. </w:t>
      </w:r>
    </w:p>
    <w:p w:rsidR="00DF17E9" w:rsidRDefault="00DF17E9" w:rsidP="00B47818">
      <w:r w:rsidRPr="00D0140C">
        <w:t>Contributions in the form of services are only recognised when a fair value can be reliably determined and the services would have been purchased if not received as a donation.</w:t>
      </w:r>
    </w:p>
    <w:p w:rsidR="00DF17E9" w:rsidRPr="005851B1" w:rsidRDefault="00DF17E9" w:rsidP="00B47818">
      <w:r w:rsidRPr="00075BF8">
        <w:rPr>
          <w:b/>
        </w:rPr>
        <w:t>Fines</w:t>
      </w:r>
      <w:r w:rsidRPr="00823F66">
        <w:t xml:space="preserve"> are collected from road safety cameras, toll road evasions, police on the spot, court and other (non-traffic) statutory infringements. Revenue is recognised at the time the notice of the fine is issued.</w:t>
      </w:r>
    </w:p>
    <w:p w:rsidR="00DF17E9" w:rsidRDefault="00DF17E9" w:rsidP="00B47818">
      <w:r>
        <w:br w:type="column"/>
      </w:r>
      <w:r w:rsidRPr="00BB5288">
        <w:lastRenderedPageBreak/>
        <w:t xml:space="preserve">The majority of the </w:t>
      </w:r>
      <w:r w:rsidRPr="00075BF8">
        <w:rPr>
          <w:b/>
        </w:rPr>
        <w:t>other miscellaneous revenue</w:t>
      </w:r>
      <w:r w:rsidRPr="00BB5288">
        <w:t xml:space="preserve"> relates to</w:t>
      </w:r>
      <w:r>
        <w:t>:</w:t>
      </w:r>
    </w:p>
    <w:p w:rsidR="00DF17E9" w:rsidRDefault="00DF17E9" w:rsidP="003E338C">
      <w:pPr>
        <w:pStyle w:val="ListBullet"/>
      </w:pPr>
      <w:r>
        <w:t xml:space="preserve">Schools revenue comprising </w:t>
      </w:r>
      <w:r w:rsidRPr="00BF529F">
        <w:t>locally raised funds from school fetes, fundraising events, and volunta</w:t>
      </w:r>
      <w:r>
        <w:t>ry contributions made by parents, recognised on a cash basis;</w:t>
      </w:r>
    </w:p>
    <w:p w:rsidR="00DF17E9" w:rsidRDefault="00DF17E9" w:rsidP="00FC1268">
      <w:pPr>
        <w:pStyle w:val="ListBullet"/>
      </w:pPr>
      <w:r>
        <w:t>research funding</w:t>
      </w:r>
      <w:r w:rsidRPr="00BF529F">
        <w:t xml:space="preserve"> from </w:t>
      </w:r>
      <w:r>
        <w:t>non-government organisations</w:t>
      </w:r>
      <w:r w:rsidRPr="00BF529F">
        <w:t xml:space="preserve"> and non-salary cost recovery from </w:t>
      </w:r>
      <w:r>
        <w:t>external organisations in the health sector; and</w:t>
      </w:r>
    </w:p>
    <w:p w:rsidR="00DF17E9" w:rsidRPr="001A510C" w:rsidRDefault="00DF17E9" w:rsidP="00FC1268">
      <w:pPr>
        <w:pStyle w:val="ListBullet"/>
      </w:pPr>
      <w:r>
        <w:t>the one-off revenue from Tatts in 2015-16 following the decision by the High Court of Australia to overturn the Court of Appeal’s decision relating to Tatts’ ‘Gambling Licences’ proceedings.</w:t>
      </w:r>
      <w:bookmarkEnd w:id="14"/>
    </w:p>
    <w:p w:rsidR="00DF17E9" w:rsidRDefault="00DF17E9" w:rsidP="00B47818">
      <w:pPr>
        <w:sectPr w:rsidR="00DF17E9" w:rsidSect="00B47818">
          <w:headerReference w:type="even" r:id="rId92"/>
          <w:headerReference w:type="default" r:id="rId93"/>
          <w:footerReference w:type="even" r:id="rId94"/>
          <w:footerReference w:type="default" r:id="rId95"/>
          <w:type w:val="continuous"/>
          <w:pgSz w:w="11906" w:h="16838" w:code="9"/>
          <w:pgMar w:top="1134" w:right="1134" w:bottom="1134" w:left="1134" w:header="624" w:footer="567" w:gutter="0"/>
          <w:cols w:num="2" w:space="708"/>
          <w:docGrid w:linePitch="360"/>
        </w:sectPr>
      </w:pPr>
    </w:p>
    <w:p w:rsidR="00DF17E9" w:rsidRDefault="00DF17E9" w:rsidP="00CE30BD">
      <w:pPr>
        <w:pStyle w:val="Heading1"/>
      </w:pPr>
      <w:bookmarkStart w:id="27" w:name="_Toc462865841"/>
      <w:r w:rsidRPr="00CE30BD">
        <w:lastRenderedPageBreak/>
        <w:t>How funds</w:t>
      </w:r>
      <w:r>
        <w:t xml:space="preserve"> are spent</w:t>
      </w:r>
      <w:bookmarkEnd w:id="27"/>
    </w:p>
    <w:p w:rsidR="00DF17E9" w:rsidRPr="00CE30BD" w:rsidRDefault="00DF17E9" w:rsidP="00CE30BD">
      <w:pPr>
        <w:sectPr w:rsidR="00DF17E9" w:rsidRPr="00CE30BD" w:rsidSect="00CE30BD">
          <w:headerReference w:type="even" r:id="rId96"/>
          <w:headerReference w:type="default" r:id="rId97"/>
          <w:pgSz w:w="11906" w:h="16838" w:code="9"/>
          <w:pgMar w:top="1134" w:right="1134" w:bottom="1134" w:left="1134" w:header="624" w:footer="567" w:gutter="0"/>
          <w:cols w:space="708"/>
          <w:docGrid w:linePitch="360"/>
        </w:sectPr>
      </w:pPr>
    </w:p>
    <w:p w:rsidR="00DF17E9" w:rsidRPr="00635722" w:rsidRDefault="00DF17E9" w:rsidP="009F6886">
      <w:pPr>
        <w:pStyle w:val="Subheadingunderline"/>
      </w:pPr>
      <w:bookmarkStart w:id="28" w:name="Section_03"/>
      <w:r w:rsidRPr="00635722">
        <w:lastRenderedPageBreak/>
        <w:t xml:space="preserve">Introduction </w:t>
      </w:r>
    </w:p>
    <w:p w:rsidR="00DF17E9" w:rsidRDefault="00DF17E9" w:rsidP="008976C2">
      <w:r>
        <w:t xml:space="preserve">This section </w:t>
      </w:r>
      <w:r w:rsidRPr="009F6886">
        <w:t>account</w:t>
      </w:r>
      <w:r>
        <w:t>s for</w:t>
      </w:r>
      <w:r w:rsidRPr="009F6886">
        <w:t xml:space="preserve"> </w:t>
      </w:r>
      <w:r>
        <w:t xml:space="preserve">the major components of expenditure incurred by the State towards </w:t>
      </w:r>
      <w:r w:rsidRPr="009F6886">
        <w:t>the</w:t>
      </w:r>
      <w:r>
        <w:t xml:space="preserve"> operating activities (</w:t>
      </w:r>
      <w:r w:rsidRPr="009F6886">
        <w:t>expenses from transactions</w:t>
      </w:r>
      <w:r>
        <w:t>)</w:t>
      </w:r>
      <w:r w:rsidRPr="009F6886">
        <w:t xml:space="preserve"> and </w:t>
      </w:r>
      <w:r>
        <w:t xml:space="preserve">on </w:t>
      </w:r>
      <w:r w:rsidRPr="009F6886">
        <w:t>capital or infrastructure projects du</w:t>
      </w:r>
      <w:r>
        <w:t>ring the year, as well as any related obligations outstanding as at 30 June 2016.</w:t>
      </w:r>
    </w:p>
    <w:p w:rsidR="00DF17E9" w:rsidRPr="00E40EDA" w:rsidRDefault="00DF17E9" w:rsidP="005B4B78">
      <w:pPr>
        <w:pStyle w:val="Subheadingunderline"/>
      </w:pPr>
      <w:r>
        <w:br w:type="column"/>
      </w:r>
      <w:r w:rsidRPr="00FD2984">
        <w:lastRenderedPageBreak/>
        <w:t>Structure</w:t>
      </w:r>
    </w:p>
    <w:p w:rsidR="00DF17E9" w:rsidRDefault="00DF17E9">
      <w:pPr>
        <w:pStyle w:val="TOC9"/>
        <w:rPr>
          <w:rFonts w:eastAsiaTheme="minorEastAsia"/>
          <w:noProof/>
          <w:sz w:val="22"/>
          <w:lang w:eastAsia="en-AU"/>
        </w:rPr>
      </w:pPr>
      <w:r>
        <w:rPr>
          <w:b/>
          <w:noProof/>
        </w:rPr>
        <w:fldChar w:fldCharType="begin"/>
      </w:r>
      <w:r>
        <w:rPr>
          <w:b/>
          <w:noProof/>
        </w:rPr>
        <w:instrText xml:space="preserve"> TOC \h \z \t "Heading 2,</w:instrText>
      </w:r>
      <w:r>
        <w:rPr>
          <w:noProof/>
        </w:rPr>
        <w:instrText>9</w:instrText>
      </w:r>
      <w:r>
        <w:rPr>
          <w:b/>
          <w:noProof/>
        </w:rPr>
        <w:instrText>" \b "Section_0</w:instrText>
      </w:r>
      <w:r>
        <w:rPr>
          <w:noProof/>
        </w:rPr>
        <w:instrText>3</w:instrText>
      </w:r>
      <w:r>
        <w:rPr>
          <w:b/>
          <w:noProof/>
        </w:rPr>
        <w:instrText>"</w:instrText>
      </w:r>
      <w:r>
        <w:rPr>
          <w:b/>
          <w:noProof/>
        </w:rPr>
        <w:fldChar w:fldCharType="separate"/>
      </w:r>
      <w:hyperlink w:anchor="_Toc459976042" w:history="1">
        <w:r w:rsidRPr="00A70E63">
          <w:rPr>
            <w:rStyle w:val="Hyperlink"/>
            <w:noProof/>
            <w14:scene3d>
              <w14:camera w14:prst="orthographicFront"/>
              <w14:lightRig w14:rig="threePt" w14:dir="t">
                <w14:rot w14:lat="0" w14:lon="0" w14:rev="0"/>
              </w14:lightRig>
            </w14:scene3d>
          </w:rPr>
          <w:t>3.1</w:t>
        </w:r>
        <w:r>
          <w:rPr>
            <w:rFonts w:eastAsiaTheme="minorEastAsia"/>
            <w:noProof/>
            <w:sz w:val="22"/>
            <w:lang w:eastAsia="en-AU"/>
          </w:rPr>
          <w:tab/>
        </w:r>
        <w:r w:rsidRPr="00A70E63">
          <w:rPr>
            <w:rStyle w:val="Hyperlink"/>
            <w:noProof/>
          </w:rPr>
          <w:t>Employee expenses and provision for outstanding employee benefits</w:t>
        </w:r>
        <w:r>
          <w:rPr>
            <w:noProof/>
            <w:webHidden/>
          </w:rPr>
          <w:tab/>
        </w:r>
        <w:r>
          <w:rPr>
            <w:noProof/>
            <w:webHidden/>
          </w:rPr>
          <w:fldChar w:fldCharType="begin"/>
        </w:r>
        <w:r>
          <w:rPr>
            <w:noProof/>
            <w:webHidden/>
          </w:rPr>
          <w:instrText xml:space="preserve"> PAGEREF _Toc459976042 \h </w:instrText>
        </w:r>
        <w:r>
          <w:rPr>
            <w:noProof/>
            <w:webHidden/>
          </w:rPr>
        </w:r>
        <w:r>
          <w:rPr>
            <w:noProof/>
            <w:webHidden/>
          </w:rPr>
          <w:fldChar w:fldCharType="separate"/>
        </w:r>
        <w:r w:rsidR="00E3704D">
          <w:rPr>
            <w:noProof/>
            <w:webHidden/>
          </w:rPr>
          <w:t>41</w:t>
        </w:r>
        <w:r>
          <w:rPr>
            <w:noProof/>
            <w:webHidden/>
          </w:rPr>
          <w:fldChar w:fldCharType="end"/>
        </w:r>
      </w:hyperlink>
    </w:p>
    <w:p w:rsidR="00DF17E9" w:rsidRDefault="003A3C3D">
      <w:pPr>
        <w:pStyle w:val="TOC9"/>
        <w:rPr>
          <w:rFonts w:eastAsiaTheme="minorEastAsia"/>
          <w:noProof/>
          <w:sz w:val="22"/>
          <w:lang w:eastAsia="en-AU"/>
        </w:rPr>
      </w:pPr>
      <w:hyperlink w:anchor="_Toc459976043" w:history="1">
        <w:r w:rsidR="00DF17E9" w:rsidRPr="00A70E63">
          <w:rPr>
            <w:rStyle w:val="Hyperlink"/>
            <w:noProof/>
          </w:rPr>
          <w:t>3.2</w:t>
        </w:r>
        <w:r w:rsidR="00DF17E9">
          <w:rPr>
            <w:rFonts w:eastAsiaTheme="minorEastAsia"/>
            <w:noProof/>
            <w:sz w:val="22"/>
            <w:lang w:eastAsia="en-AU"/>
          </w:rPr>
          <w:tab/>
        </w:r>
        <w:r w:rsidR="00DF17E9" w:rsidRPr="00A70E63">
          <w:rPr>
            <w:rStyle w:val="Hyperlink"/>
            <w:noProof/>
          </w:rPr>
          <w:t>Superannuation interest expense and other superannuation expenses</w:t>
        </w:r>
        <w:r w:rsidR="00DF17E9">
          <w:rPr>
            <w:noProof/>
            <w:webHidden/>
          </w:rPr>
          <w:tab/>
        </w:r>
        <w:r w:rsidR="00DF17E9">
          <w:rPr>
            <w:noProof/>
            <w:webHidden/>
          </w:rPr>
          <w:fldChar w:fldCharType="begin"/>
        </w:r>
        <w:r w:rsidR="00DF17E9">
          <w:rPr>
            <w:noProof/>
            <w:webHidden/>
          </w:rPr>
          <w:instrText xml:space="preserve"> PAGEREF _Toc459976043 \h </w:instrText>
        </w:r>
        <w:r w:rsidR="00DF17E9">
          <w:rPr>
            <w:noProof/>
            <w:webHidden/>
          </w:rPr>
        </w:r>
        <w:r w:rsidR="00DF17E9">
          <w:rPr>
            <w:noProof/>
            <w:webHidden/>
          </w:rPr>
          <w:fldChar w:fldCharType="separate"/>
        </w:r>
        <w:r w:rsidR="00E3704D">
          <w:rPr>
            <w:noProof/>
            <w:webHidden/>
          </w:rPr>
          <w:t>42</w:t>
        </w:r>
        <w:r w:rsidR="00DF17E9">
          <w:rPr>
            <w:noProof/>
            <w:webHidden/>
          </w:rPr>
          <w:fldChar w:fldCharType="end"/>
        </w:r>
      </w:hyperlink>
    </w:p>
    <w:p w:rsidR="00DF17E9" w:rsidRDefault="003A3C3D">
      <w:pPr>
        <w:pStyle w:val="TOC9"/>
        <w:rPr>
          <w:rFonts w:eastAsiaTheme="minorEastAsia"/>
          <w:noProof/>
          <w:sz w:val="22"/>
          <w:lang w:eastAsia="en-AU"/>
        </w:rPr>
      </w:pPr>
      <w:hyperlink w:anchor="_Toc459976044" w:history="1">
        <w:r w:rsidR="00DF17E9" w:rsidRPr="00A70E63">
          <w:rPr>
            <w:rStyle w:val="Hyperlink"/>
            <w:noProof/>
            <w:lang w:val="en-US"/>
            <w14:scene3d>
              <w14:camera w14:prst="orthographicFront"/>
              <w14:lightRig w14:rig="threePt" w14:dir="t">
                <w14:rot w14:lat="0" w14:lon="0" w14:rev="0"/>
              </w14:lightRig>
            </w14:scene3d>
          </w:rPr>
          <w:t>3.3</w:t>
        </w:r>
        <w:r w:rsidR="00DF17E9">
          <w:rPr>
            <w:rFonts w:eastAsiaTheme="minorEastAsia"/>
            <w:noProof/>
            <w:sz w:val="22"/>
            <w:lang w:eastAsia="en-AU"/>
          </w:rPr>
          <w:tab/>
        </w:r>
        <w:r w:rsidR="00DF17E9" w:rsidRPr="00A70E63">
          <w:rPr>
            <w:rStyle w:val="Hyperlink"/>
            <w:noProof/>
          </w:rPr>
          <w:t>Grant expense</w:t>
        </w:r>
        <w:r w:rsidR="00DF17E9">
          <w:rPr>
            <w:noProof/>
            <w:webHidden/>
          </w:rPr>
          <w:tab/>
        </w:r>
        <w:r w:rsidR="00DF17E9">
          <w:rPr>
            <w:noProof/>
            <w:webHidden/>
          </w:rPr>
          <w:fldChar w:fldCharType="begin"/>
        </w:r>
        <w:r w:rsidR="00DF17E9">
          <w:rPr>
            <w:noProof/>
            <w:webHidden/>
          </w:rPr>
          <w:instrText xml:space="preserve"> PAGEREF _Toc459976044 \h </w:instrText>
        </w:r>
        <w:r w:rsidR="00DF17E9">
          <w:rPr>
            <w:noProof/>
            <w:webHidden/>
          </w:rPr>
        </w:r>
        <w:r w:rsidR="00DF17E9">
          <w:rPr>
            <w:noProof/>
            <w:webHidden/>
          </w:rPr>
          <w:fldChar w:fldCharType="separate"/>
        </w:r>
        <w:r w:rsidR="00E3704D">
          <w:rPr>
            <w:noProof/>
            <w:webHidden/>
          </w:rPr>
          <w:t>44</w:t>
        </w:r>
        <w:r w:rsidR="00DF17E9">
          <w:rPr>
            <w:noProof/>
            <w:webHidden/>
          </w:rPr>
          <w:fldChar w:fldCharType="end"/>
        </w:r>
      </w:hyperlink>
    </w:p>
    <w:p w:rsidR="00DF17E9" w:rsidRDefault="003A3C3D">
      <w:pPr>
        <w:pStyle w:val="TOC9"/>
        <w:rPr>
          <w:rFonts w:eastAsiaTheme="minorEastAsia"/>
          <w:noProof/>
          <w:sz w:val="22"/>
          <w:lang w:eastAsia="en-AU"/>
        </w:rPr>
      </w:pPr>
      <w:hyperlink w:anchor="_Toc459976045" w:history="1">
        <w:r w:rsidR="00DF17E9" w:rsidRPr="00A70E63">
          <w:rPr>
            <w:rStyle w:val="Hyperlink"/>
            <w:noProof/>
            <w:lang w:val="en-US"/>
            <w14:scene3d>
              <w14:camera w14:prst="orthographicFront"/>
              <w14:lightRig w14:rig="threePt" w14:dir="t">
                <w14:rot w14:lat="0" w14:lon="0" w14:rev="0"/>
              </w14:lightRig>
            </w14:scene3d>
          </w:rPr>
          <w:t>3.4</w:t>
        </w:r>
        <w:r w:rsidR="00DF17E9">
          <w:rPr>
            <w:rFonts w:eastAsiaTheme="minorEastAsia"/>
            <w:noProof/>
            <w:sz w:val="22"/>
            <w:lang w:eastAsia="en-AU"/>
          </w:rPr>
          <w:tab/>
        </w:r>
        <w:r w:rsidR="00DF17E9" w:rsidRPr="00A70E63">
          <w:rPr>
            <w:rStyle w:val="Hyperlink"/>
            <w:noProof/>
          </w:rPr>
          <w:t>Other operating expenses</w:t>
        </w:r>
        <w:r w:rsidR="00DF17E9">
          <w:rPr>
            <w:noProof/>
            <w:webHidden/>
          </w:rPr>
          <w:tab/>
        </w:r>
        <w:r w:rsidR="00DF17E9">
          <w:rPr>
            <w:noProof/>
            <w:webHidden/>
          </w:rPr>
          <w:fldChar w:fldCharType="begin"/>
        </w:r>
        <w:r w:rsidR="00DF17E9">
          <w:rPr>
            <w:noProof/>
            <w:webHidden/>
          </w:rPr>
          <w:instrText xml:space="preserve"> PAGEREF _Toc459976045 \h </w:instrText>
        </w:r>
        <w:r w:rsidR="00DF17E9">
          <w:rPr>
            <w:noProof/>
            <w:webHidden/>
          </w:rPr>
        </w:r>
        <w:r w:rsidR="00DF17E9">
          <w:rPr>
            <w:noProof/>
            <w:webHidden/>
          </w:rPr>
          <w:fldChar w:fldCharType="separate"/>
        </w:r>
        <w:r w:rsidR="00E3704D">
          <w:rPr>
            <w:noProof/>
            <w:webHidden/>
          </w:rPr>
          <w:t>44</w:t>
        </w:r>
        <w:r w:rsidR="00DF17E9">
          <w:rPr>
            <w:noProof/>
            <w:webHidden/>
          </w:rPr>
          <w:fldChar w:fldCharType="end"/>
        </w:r>
      </w:hyperlink>
    </w:p>
    <w:p w:rsidR="00DF17E9" w:rsidRDefault="003A3C3D">
      <w:pPr>
        <w:pStyle w:val="TOC9"/>
        <w:rPr>
          <w:rFonts w:eastAsiaTheme="minorEastAsia"/>
          <w:noProof/>
          <w:sz w:val="22"/>
          <w:lang w:eastAsia="en-AU"/>
        </w:rPr>
      </w:pPr>
      <w:hyperlink w:anchor="_Toc459976046" w:history="1">
        <w:r w:rsidR="00DF17E9" w:rsidRPr="00A70E63">
          <w:rPr>
            <w:rStyle w:val="Hyperlink"/>
            <w:noProof/>
            <w14:scene3d>
              <w14:camera w14:prst="orthographicFront"/>
              <w14:lightRig w14:rig="threePt" w14:dir="t">
                <w14:rot w14:lat="0" w14:lon="0" w14:rev="0"/>
              </w14:lightRig>
            </w14:scene3d>
          </w:rPr>
          <w:t>3.5</w:t>
        </w:r>
        <w:r w:rsidR="00DF17E9">
          <w:rPr>
            <w:rFonts w:eastAsiaTheme="minorEastAsia"/>
            <w:noProof/>
            <w:sz w:val="22"/>
            <w:lang w:eastAsia="en-AU"/>
          </w:rPr>
          <w:tab/>
        </w:r>
        <w:r w:rsidR="00DF17E9" w:rsidRPr="00A70E63">
          <w:rPr>
            <w:rStyle w:val="Hyperlink"/>
            <w:noProof/>
          </w:rPr>
          <w:t>Total operating expenses and purchases of non</w:t>
        </w:r>
        <w:r w:rsidR="00DF17E9">
          <w:rPr>
            <w:rStyle w:val="Hyperlink"/>
            <w:noProof/>
          </w:rPr>
          <w:t>-financial assets by department</w:t>
        </w:r>
        <w:r w:rsidR="00DF17E9">
          <w:rPr>
            <w:noProof/>
            <w:webHidden/>
          </w:rPr>
          <w:tab/>
        </w:r>
        <w:r w:rsidR="00DF17E9">
          <w:rPr>
            <w:noProof/>
            <w:webHidden/>
          </w:rPr>
          <w:fldChar w:fldCharType="begin"/>
        </w:r>
        <w:r w:rsidR="00DF17E9">
          <w:rPr>
            <w:noProof/>
            <w:webHidden/>
          </w:rPr>
          <w:instrText xml:space="preserve"> PAGEREF _Toc459976046 \h </w:instrText>
        </w:r>
        <w:r w:rsidR="00DF17E9">
          <w:rPr>
            <w:noProof/>
            <w:webHidden/>
          </w:rPr>
        </w:r>
        <w:r w:rsidR="00DF17E9">
          <w:rPr>
            <w:noProof/>
            <w:webHidden/>
          </w:rPr>
          <w:fldChar w:fldCharType="separate"/>
        </w:r>
        <w:r w:rsidR="00E3704D">
          <w:rPr>
            <w:noProof/>
            <w:webHidden/>
          </w:rPr>
          <w:t>46</w:t>
        </w:r>
        <w:r w:rsidR="00DF17E9">
          <w:rPr>
            <w:noProof/>
            <w:webHidden/>
          </w:rPr>
          <w:fldChar w:fldCharType="end"/>
        </w:r>
      </w:hyperlink>
    </w:p>
    <w:p w:rsidR="00DF17E9" w:rsidRDefault="003A3C3D">
      <w:pPr>
        <w:pStyle w:val="TOC9"/>
        <w:rPr>
          <w:rFonts w:eastAsiaTheme="minorEastAsia"/>
          <w:noProof/>
          <w:sz w:val="22"/>
          <w:lang w:eastAsia="en-AU"/>
        </w:rPr>
      </w:pPr>
      <w:hyperlink w:anchor="_Toc459976047" w:history="1">
        <w:r w:rsidR="00DF17E9" w:rsidRPr="00A70E63">
          <w:rPr>
            <w:rStyle w:val="Hyperlink"/>
            <w:noProof/>
            <w14:scene3d>
              <w14:camera w14:prst="orthographicFront"/>
              <w14:lightRig w14:rig="threePt" w14:dir="t">
                <w14:rot w14:lat="0" w14:lon="0" w14:rev="0"/>
              </w14:lightRig>
            </w14:scene3d>
          </w:rPr>
          <w:t>3.6</w:t>
        </w:r>
        <w:r w:rsidR="00DF17E9">
          <w:rPr>
            <w:rFonts w:eastAsiaTheme="minorEastAsia"/>
            <w:noProof/>
            <w:sz w:val="22"/>
            <w:lang w:eastAsia="en-AU"/>
          </w:rPr>
          <w:tab/>
        </w:r>
        <w:r w:rsidR="00DF17E9" w:rsidRPr="00A70E63">
          <w:rPr>
            <w:rStyle w:val="Hyperlink"/>
            <w:noProof/>
          </w:rPr>
          <w:t>Government purpose classification disclosure</w:t>
        </w:r>
        <w:r w:rsidR="00DF17E9">
          <w:rPr>
            <w:noProof/>
            <w:webHidden/>
          </w:rPr>
          <w:tab/>
        </w:r>
        <w:r w:rsidR="00DF17E9">
          <w:rPr>
            <w:noProof/>
            <w:webHidden/>
          </w:rPr>
          <w:fldChar w:fldCharType="begin"/>
        </w:r>
        <w:r w:rsidR="00DF17E9">
          <w:rPr>
            <w:noProof/>
            <w:webHidden/>
          </w:rPr>
          <w:instrText xml:space="preserve"> PAGEREF _Toc459976047 \h </w:instrText>
        </w:r>
        <w:r w:rsidR="00DF17E9">
          <w:rPr>
            <w:noProof/>
            <w:webHidden/>
          </w:rPr>
        </w:r>
        <w:r w:rsidR="00DF17E9">
          <w:rPr>
            <w:noProof/>
            <w:webHidden/>
          </w:rPr>
          <w:fldChar w:fldCharType="separate"/>
        </w:r>
        <w:r w:rsidR="00E3704D">
          <w:rPr>
            <w:noProof/>
            <w:webHidden/>
          </w:rPr>
          <w:t>47</w:t>
        </w:r>
        <w:r w:rsidR="00DF17E9">
          <w:rPr>
            <w:noProof/>
            <w:webHidden/>
          </w:rPr>
          <w:fldChar w:fldCharType="end"/>
        </w:r>
      </w:hyperlink>
    </w:p>
    <w:p w:rsidR="00DF17E9" w:rsidRPr="00E40EDA" w:rsidRDefault="00DF17E9" w:rsidP="009F6886">
      <w:pPr>
        <w:pStyle w:val="TOC9"/>
      </w:pPr>
      <w:r>
        <w:rPr>
          <w:b/>
          <w:noProof/>
          <w:spacing w:val="-2"/>
          <w:sz w:val="22"/>
          <w:szCs w:val="19"/>
        </w:rPr>
        <w:fldChar w:fldCharType="end"/>
      </w:r>
    </w:p>
    <w:p w:rsidR="00DF17E9" w:rsidRDefault="00DF17E9" w:rsidP="00F65220">
      <w:pPr>
        <w:pStyle w:val="TOC9"/>
        <w:pBdr>
          <w:bottom w:val="single" w:sz="6" w:space="1" w:color="0063A6" w:themeColor="accent1"/>
        </w:pBdr>
        <w:sectPr w:rsidR="00DF17E9" w:rsidSect="00CE30BD">
          <w:headerReference w:type="even" r:id="rId98"/>
          <w:headerReference w:type="default" r:id="rId99"/>
          <w:type w:val="continuous"/>
          <w:pgSz w:w="11906" w:h="16838" w:code="9"/>
          <w:pgMar w:top="1134" w:right="1134" w:bottom="1134" w:left="1134" w:header="624" w:footer="567" w:gutter="0"/>
          <w:cols w:num="2" w:space="708"/>
          <w:docGrid w:linePitch="360"/>
        </w:sectPr>
      </w:pPr>
    </w:p>
    <w:p w:rsidR="00DF17E9" w:rsidRPr="00971589" w:rsidRDefault="00DF17E9" w:rsidP="00601D91">
      <w:pPr>
        <w:pStyle w:val="Heading2"/>
        <w:pBdr>
          <w:top w:val="single" w:sz="6" w:space="1" w:color="0063A6" w:themeColor="accent1"/>
        </w:pBdr>
      </w:pPr>
      <w:bookmarkStart w:id="29" w:name="_Toc459976042"/>
      <w:r w:rsidRPr="00971589">
        <w:lastRenderedPageBreak/>
        <w:t xml:space="preserve">Employee expenses and </w:t>
      </w:r>
      <w:r>
        <w:t xml:space="preserve">provision for outstanding employee </w:t>
      </w:r>
      <w:r w:rsidRPr="00971589">
        <w:t>benefits</w:t>
      </w:r>
      <w:bookmarkEnd w:id="29"/>
    </w:p>
    <w:p w:rsidR="00DF17E9" w:rsidRDefault="00DF17E9" w:rsidP="00B47818">
      <w:pPr>
        <w:pStyle w:val="Subheading"/>
        <w:sectPr w:rsidR="00DF17E9" w:rsidSect="00D75608">
          <w:headerReference w:type="even" r:id="rId100"/>
          <w:headerReference w:type="default" r:id="rId101"/>
          <w:type w:val="continuous"/>
          <w:pgSz w:w="11906" w:h="16838" w:code="9"/>
          <w:pgMar w:top="1134" w:right="1134" w:bottom="1134" w:left="1134" w:header="624" w:footer="567" w:gutter="0"/>
          <w:cols w:space="708"/>
          <w:docGrid w:linePitch="360"/>
        </w:sectPr>
      </w:pPr>
    </w:p>
    <w:p w:rsidR="00DF17E9" w:rsidRPr="00B47818" w:rsidRDefault="00DF17E9" w:rsidP="00B47818">
      <w:pPr>
        <w:pStyle w:val="Subheadingunderline"/>
      </w:pPr>
      <w:r w:rsidRPr="00B47818">
        <w:lastRenderedPageBreak/>
        <w:t xml:space="preserve">Employee expenses </w:t>
      </w:r>
      <w:r>
        <w:t>(</w:t>
      </w:r>
      <w:r w:rsidRPr="00B47818">
        <w:t>operating statement</w:t>
      </w:r>
      <w:r>
        <w:t>)</w:t>
      </w:r>
    </w:p>
    <w:p w:rsidR="00DF17E9" w:rsidRDefault="00DF17E9" w:rsidP="00B47818">
      <w:r w:rsidRPr="0015482F">
        <w:t>Employee expenses</w:t>
      </w:r>
      <w:r>
        <w:t xml:space="preserve"> in the operating statement are a major component of operating costs and </w:t>
      </w:r>
      <w:r w:rsidRPr="0015482F">
        <w:t>include all costs related to employment</w:t>
      </w:r>
      <w:r>
        <w:t>,</w:t>
      </w:r>
      <w:r w:rsidRPr="0015482F">
        <w:t xml:space="preserve"> including wages and salaries, fringe be</w:t>
      </w:r>
      <w:r>
        <w:t xml:space="preserve">nefits tax, leave entitlements and </w:t>
      </w:r>
      <w:r w:rsidRPr="0015482F">
        <w:t>redundancy payments</w:t>
      </w:r>
      <w:r>
        <w:t>. The majority of employee expenses in the operating statement are wages and salaries.</w:t>
      </w:r>
    </w:p>
    <w:p w:rsidR="00DF17E9" w:rsidRPr="00B47818" w:rsidRDefault="00DF17E9" w:rsidP="00F83077">
      <w:pPr>
        <w:pStyle w:val="Subheadingunderline"/>
        <w:spacing w:before="160"/>
      </w:pPr>
      <w:r>
        <w:br w:type="column"/>
      </w:r>
      <w:r w:rsidRPr="00B47818">
        <w:lastRenderedPageBreak/>
        <w:t xml:space="preserve">Employee benefits </w:t>
      </w:r>
      <w:r>
        <w:t>(</w:t>
      </w:r>
      <w:r w:rsidRPr="00B47818">
        <w:t>balance sheet</w:t>
      </w:r>
      <w:r>
        <w:t>)</w:t>
      </w:r>
    </w:p>
    <w:p w:rsidR="00DF17E9" w:rsidRDefault="00DF17E9" w:rsidP="006B6526">
      <w:r>
        <w:t xml:space="preserve">As part of annual operations, the State provides </w:t>
      </w:r>
      <w:r w:rsidRPr="0015482F">
        <w:t xml:space="preserve">for benefits accruing to employees </w:t>
      </w:r>
      <w:r>
        <w:t xml:space="preserve">but payable in future periods </w:t>
      </w:r>
      <w:r w:rsidRPr="0015482F">
        <w:t xml:space="preserve">in respect of wages and salaries, annual leave </w:t>
      </w:r>
      <w:r w:rsidRPr="00B47818">
        <w:t>a</w:t>
      </w:r>
      <w:r w:rsidRPr="0015482F">
        <w:t>nd long service leave</w:t>
      </w:r>
      <w:r>
        <w:t>,</w:t>
      </w:r>
      <w:r w:rsidRPr="0015482F">
        <w:t xml:space="preserve"> and related on</w:t>
      </w:r>
      <w:r>
        <w:t>-</w:t>
      </w:r>
      <w:r w:rsidRPr="0015482F">
        <w:t>costs for services rendered to the reporting date.</w:t>
      </w:r>
      <w:r>
        <w:t xml:space="preserve"> The table below shows the key components of this provision at 30 June. </w:t>
      </w:r>
    </w:p>
    <w:p w:rsidR="00DF17E9" w:rsidRDefault="00DF17E9" w:rsidP="00B47818"/>
    <w:p w:rsidR="00DF17E9" w:rsidRPr="00B47818" w:rsidRDefault="00DF17E9" w:rsidP="00B47818">
      <w:pPr>
        <w:sectPr w:rsidR="00DF17E9" w:rsidRPr="00B47818" w:rsidSect="00B47818">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Subheading"/>
        <w:rPr>
          <w:bCs/>
          <w:lang w:val="en-US"/>
        </w:rPr>
      </w:pPr>
      <w:r w:rsidRPr="00C844DD">
        <w:lastRenderedPageBreak/>
        <w:t xml:space="preserve">Total </w:t>
      </w:r>
      <w:r>
        <w:t xml:space="preserve">provision for </w:t>
      </w:r>
      <w:r w:rsidRPr="00C844DD">
        <w:t xml:space="preserve">employee benefits and on-costs </w:t>
      </w:r>
      <w:r>
        <w:t>at 30 June</w:t>
      </w:r>
      <w:r w:rsidRPr="00C844DD">
        <w:tab/>
      </w:r>
      <w:r w:rsidRPr="00F76BD1">
        <w:rPr>
          <w:rStyle w:val="TableUnitsChar"/>
        </w:rPr>
        <w:t>($ million)</w:t>
      </w:r>
    </w:p>
    <w:tbl>
      <w:tblPr>
        <w:tblStyle w:val="TableDTFGeneral"/>
        <w:tblW w:w="9661" w:type="dxa"/>
        <w:tblLayout w:type="fixed"/>
        <w:tblLook w:val="02A0" w:firstRow="1" w:lastRow="0" w:firstColumn="1" w:lastColumn="0" w:noHBand="1" w:noVBand="0"/>
      </w:tblPr>
      <w:tblGrid>
        <w:gridCol w:w="6009"/>
        <w:gridCol w:w="907"/>
        <w:gridCol w:w="907"/>
        <w:gridCol w:w="9"/>
        <w:gridCol w:w="898"/>
        <w:gridCol w:w="931"/>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AE50D6" w:rsidRPr="007C7769" w:rsidRDefault="00AE50D6" w:rsidP="00AE50D6">
            <w:pPr>
              <w:jc w:val="center"/>
              <w:rPr>
                <w:color w:val="FFFFFF"/>
              </w:rPr>
            </w:pPr>
            <w:r w:rsidRPr="007C7769">
              <w:rPr>
                <w:color w:val="FFFFFF"/>
              </w:rPr>
              <w:t xml:space="preserve">State of Victoria </w:t>
            </w:r>
          </w:p>
        </w:tc>
        <w:tc>
          <w:tcPr>
            <w:tcW w:w="1829"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sidRPr="007C7769">
              <w:rPr>
                <w:color w:val="FFFFFF"/>
              </w:rPr>
              <w:br/>
              <w:t xml:space="preserve">government sector </w:t>
            </w:r>
          </w:p>
        </w:tc>
      </w:tr>
      <w:tr w:rsidR="00DF17E9"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FFFFFF"/>
              </w:rPr>
            </w:pPr>
            <w:r w:rsidRPr="007C7769">
              <w:rPr>
                <w:color w:val="FFFFFF"/>
              </w:rPr>
              <w:t>2016</w:t>
            </w:r>
          </w:p>
        </w:tc>
        <w:tc>
          <w:tcPr>
            <w:tcW w:w="931"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Current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b/>
                <w:color w:val="000000"/>
              </w:rPr>
              <w:t xml:space="preserve"> </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Accrued salaries and wages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b/>
                <w:color w:val="000000"/>
              </w:rPr>
              <w:t>411</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318</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b/>
                <w:color w:val="000000"/>
              </w:rPr>
              <w:t>376</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288</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Other employee benefits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b/>
                <w:color w:val="000000"/>
              </w:rPr>
              <w:t>50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46</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b/>
                <w:color w:val="000000"/>
              </w:rPr>
              <w:t>24</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Annual leave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b/>
                <w:color w:val="000000"/>
              </w:rPr>
              <w:t xml:space="preserve"> </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Unconditional and expected to settle within 12 months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1 112</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1 072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1 011</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986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Unconditional and expected to settle after 12 months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208</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182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189</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153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Long service leave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b/>
                <w:color w:val="000000"/>
              </w:rPr>
              <w:t xml:space="preserve"> </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Unconditional and expected to settle within 12 months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781</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801</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693</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723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Unconditional and expected to settle after 12 months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 xml:space="preserve">2 </w:t>
            </w:r>
            <w:r w:rsidRPr="007C7769">
              <w:t>535</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2 260</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 xml:space="preserve">2 </w:t>
            </w:r>
            <w:r w:rsidRPr="007C7769">
              <w:t>414</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2 135</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On-costs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b/>
                <w:color w:val="000000"/>
              </w:rPr>
              <w:t xml:space="preserve"> </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Unconditional and expected to settle within 12 months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286</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233</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color w:val="000000"/>
              </w:rPr>
              <w:t>266</w:t>
            </w:r>
          </w:p>
        </w:tc>
        <w:tc>
          <w:tcPr>
            <w:tcW w:w="93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216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Unconditional and expected to settle after 12 months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403</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386</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color w:val="000000"/>
              </w:rPr>
              <w:t>374</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366</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7769" w:rsidRDefault="00DF17E9" w:rsidP="00044843">
            <w:pPr>
              <w:ind w:left="0" w:firstLine="0"/>
              <w:rPr>
                <w:color w:val="000000"/>
              </w:rPr>
            </w:pPr>
            <w:r w:rsidRPr="007C7769">
              <w:rPr>
                <w:b/>
                <w:color w:val="000000"/>
              </w:rPr>
              <w:t>Total current employee benefits and on-costs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r w:rsidRPr="007C7769">
              <w:rPr>
                <w:b/>
                <w:color w:val="000000"/>
              </w:rPr>
              <w:t>5 786</w:t>
            </w: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5 297</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7769" w:rsidRDefault="00DF17E9" w:rsidP="00044843">
            <w:pPr>
              <w:rPr>
                <w:color w:val="000000"/>
              </w:rPr>
            </w:pPr>
            <w:r w:rsidRPr="007C7769">
              <w:rPr>
                <w:b/>
                <w:color w:val="000000"/>
              </w:rPr>
              <w:t>5 347</w:t>
            </w:r>
          </w:p>
        </w:tc>
        <w:tc>
          <w:tcPr>
            <w:tcW w:w="931"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4 893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Non-current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b/>
                <w:color w:val="000000"/>
              </w:rPr>
              <w:t xml:space="preserve"> </w:t>
            </w:r>
          </w:p>
        </w:tc>
        <w:tc>
          <w:tcPr>
            <w:tcW w:w="93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Long service leave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753</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680</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color w:val="000000"/>
              </w:rPr>
              <w:t>694</w:t>
            </w:r>
          </w:p>
        </w:tc>
        <w:tc>
          <w:tcPr>
            <w:tcW w:w="93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623</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On-costs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108</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99</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color w:val="000000"/>
              </w:rPr>
              <w:t>97</w:t>
            </w:r>
          </w:p>
        </w:tc>
        <w:tc>
          <w:tcPr>
            <w:tcW w:w="93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88</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non-current employee benefits and on-costs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r w:rsidRPr="007C7769">
              <w:rPr>
                <w:b/>
                <w:color w:val="000000"/>
              </w:rPr>
              <w:t>861</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779</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7769" w:rsidRDefault="00DF17E9" w:rsidP="00044843">
            <w:r w:rsidRPr="007C7769">
              <w:rPr>
                <w:b/>
                <w:color w:val="000000"/>
              </w:rPr>
              <w:t>791</w:t>
            </w:r>
          </w:p>
        </w:tc>
        <w:tc>
          <w:tcPr>
            <w:tcW w:w="931"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712</w:t>
            </w:r>
          </w:p>
        </w:tc>
      </w:tr>
      <w:tr w:rsidR="00DF17E9" w:rsidRPr="007C7769" w:rsidTr="00AE50D6">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employee benefits and on-costs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6 647</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6 076</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7769" w:rsidRDefault="00DF17E9" w:rsidP="00044843">
            <w:pPr>
              <w:rPr>
                <w:color w:val="000000"/>
              </w:rPr>
            </w:pPr>
            <w:r w:rsidRPr="007C7769">
              <w:rPr>
                <w:b/>
                <w:color w:val="000000"/>
              </w:rPr>
              <w:t>6 137</w:t>
            </w:r>
          </w:p>
        </w:tc>
        <w:tc>
          <w:tcPr>
            <w:tcW w:w="931"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5 605</w:t>
            </w:r>
          </w:p>
        </w:tc>
      </w:tr>
    </w:tbl>
    <w:p w:rsidR="00DF17E9" w:rsidRDefault="00DF17E9" w:rsidP="008976C2"/>
    <w:p w:rsidR="00DF17E9" w:rsidRDefault="00DF17E9" w:rsidP="008976C2">
      <w:pPr>
        <w:sectPr w:rsidR="00DF17E9" w:rsidSect="00D75608">
          <w:type w:val="continuous"/>
          <w:pgSz w:w="11906" w:h="16838" w:code="9"/>
          <w:pgMar w:top="1134" w:right="1134" w:bottom="1134" w:left="1134" w:header="624" w:footer="567" w:gutter="0"/>
          <w:cols w:space="708"/>
          <w:docGrid w:linePitch="360"/>
        </w:sectPr>
      </w:pPr>
    </w:p>
    <w:p w:rsidR="00DF17E9" w:rsidRPr="0015482F" w:rsidRDefault="00DF17E9" w:rsidP="00CC3301">
      <w:pPr>
        <w:pStyle w:val="Subheadingunderline"/>
        <w:pBdr>
          <w:bottom w:val="none" w:sz="0" w:space="0" w:color="auto"/>
        </w:pBdr>
      </w:pPr>
      <w:r w:rsidRPr="0015482F">
        <w:lastRenderedPageBreak/>
        <w:t>Wages and salaries, annual leave and sick leave</w:t>
      </w:r>
    </w:p>
    <w:p w:rsidR="00DF17E9" w:rsidRDefault="00DF17E9" w:rsidP="006B6526">
      <w:r>
        <w:t>Liabilities for employee benefits are recognised in the provision for employee benefits and classified as current liabilities where the State does not have an unconditional right to defer settlement of these liabilities.</w:t>
      </w:r>
    </w:p>
    <w:p w:rsidR="00DF17E9" w:rsidRPr="0015482F" w:rsidRDefault="00DF17E9" w:rsidP="00CC3301">
      <w:pPr>
        <w:pStyle w:val="Subheadingunderline"/>
        <w:pBdr>
          <w:bottom w:val="none" w:sz="0" w:space="0" w:color="auto"/>
        </w:pBdr>
      </w:pPr>
      <w:r w:rsidRPr="0015482F">
        <w:t>Long service leave</w:t>
      </w:r>
    </w:p>
    <w:p w:rsidR="00DF17E9" w:rsidRDefault="00DF17E9" w:rsidP="006B6526">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rsidR="00DF17E9" w:rsidRDefault="00DF17E9" w:rsidP="006B6526">
      <w:r>
        <w:t>The components of this current LSL liability are measured at:</w:t>
      </w:r>
    </w:p>
    <w:p w:rsidR="00DF17E9" w:rsidRDefault="00DF17E9" w:rsidP="00D62134">
      <w:pPr>
        <w:pStyle w:val="ListBullet"/>
      </w:pPr>
      <w:r>
        <w:t>undiscounted value – if the State expects to wholly settle within 12 months; or</w:t>
      </w:r>
    </w:p>
    <w:p w:rsidR="00DF17E9" w:rsidRDefault="00DF17E9" w:rsidP="00D62134">
      <w:pPr>
        <w:pStyle w:val="ListBullet"/>
      </w:pPr>
      <w:r>
        <w:t>present value – if the State does not expect to wholly settle within 12 months.</w:t>
      </w:r>
    </w:p>
    <w:p w:rsidR="00F83077" w:rsidRDefault="00F83077" w:rsidP="00F83077"/>
    <w:p w:rsidR="00DF17E9" w:rsidRDefault="00DF17E9" w:rsidP="008976C2">
      <w:r>
        <w:br w:type="column"/>
      </w:r>
      <w:r>
        <w:lastRenderedPageBreak/>
        <w:t>Conditional LSL is disclosed as a non-current liability as there is a right to defer the settlement of the entitlement until the employee has completed the requisite years of service. This non</w:t>
      </w:r>
      <w:r>
        <w:noBreakHyphen/>
        <w:t>current LSL liability is measured at present value.</w:t>
      </w:r>
    </w:p>
    <w:p w:rsidR="00DF17E9" w:rsidRDefault="00DF17E9" w:rsidP="008976C2">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rsidR="00DF17E9" w:rsidRPr="0015482F" w:rsidRDefault="00DF17E9" w:rsidP="00CC3301">
      <w:pPr>
        <w:pStyle w:val="Subheadingunderline"/>
        <w:pBdr>
          <w:bottom w:val="none" w:sz="0" w:space="0" w:color="auto"/>
        </w:pBdr>
      </w:pPr>
      <w:r w:rsidRPr="0015482F">
        <w:t>On</w:t>
      </w:r>
      <w:r>
        <w:t>-</w:t>
      </w:r>
      <w:r w:rsidRPr="0015482F">
        <w:t>cost</w:t>
      </w:r>
      <w:r>
        <w:t>s</w:t>
      </w:r>
    </w:p>
    <w:p w:rsidR="00DF17E9" w:rsidRDefault="00DF17E9" w:rsidP="008976C2">
      <w:r>
        <w:t>Employee benefits on-costs such as payroll tax, workers compensation and superannuation are recognised separately as a component of the provision for employee benefits.</w:t>
      </w:r>
    </w:p>
    <w:p w:rsidR="00DF17E9" w:rsidRPr="005851B1" w:rsidRDefault="00DF17E9" w:rsidP="008976C2"/>
    <w:p w:rsidR="00DF17E9" w:rsidRDefault="00DF17E9" w:rsidP="008976C2">
      <w:pPr>
        <w:sectPr w:rsidR="00DF17E9" w:rsidSect="006B6526">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Subheading"/>
        <w:rPr>
          <w:rStyle w:val="TableUnitsChar"/>
          <w:bCs/>
          <w:lang w:val="en-US"/>
        </w:rPr>
      </w:pPr>
      <w:r w:rsidRPr="00963BD2">
        <w:lastRenderedPageBreak/>
        <w:t>Movements in provisions of on-costs</w:t>
      </w:r>
      <w:r w:rsidRPr="00963BD2">
        <w:tab/>
      </w:r>
      <w:r w:rsidRPr="00963BD2">
        <w:rPr>
          <w:rStyle w:val="TableUnitsChar"/>
        </w:rPr>
        <w:t>($ million)</w:t>
      </w: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AE50D6" w:rsidRPr="007C7769" w:rsidRDefault="00AE50D6" w:rsidP="00AE50D6">
            <w:pPr>
              <w:jc w:val="center"/>
              <w:rPr>
                <w:color w:val="FFFFFF"/>
              </w:rPr>
            </w:pPr>
            <w:r w:rsidRPr="007C7769">
              <w:rPr>
                <w:color w:val="FFFFFF"/>
              </w:rPr>
              <w:t xml:space="preserve">State of Victoria </w:t>
            </w:r>
          </w:p>
        </w:tc>
        <w:tc>
          <w:tcPr>
            <w:tcW w:w="1814"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Pr>
                <w:color w:val="FFFFFF"/>
              </w:rPr>
              <w:br/>
            </w:r>
            <w:r w:rsidRPr="007C7769">
              <w:rPr>
                <w:color w:val="FFFFFF"/>
              </w:rPr>
              <w:t xml:space="preserve">government sector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Opening balance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717</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683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670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635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Additional provisions recognised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174</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211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155</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200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Additions due to acquisitions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Reductions arising from payments/other sacrifices of future economic benefits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(110)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(169)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(102)</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(164)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Reductions resulting from re-measurement or settlement without cost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(5)</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(6)</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Unwind of discount and effect of changes in the discount rate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21</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19</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r w:rsidRPr="007C7769">
              <w:rPr>
                <w:b/>
                <w:color w:val="000000"/>
              </w:rPr>
              <w:t>798</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717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r w:rsidRPr="007C7769">
              <w:rPr>
                <w:b/>
                <w:color w:val="000000"/>
              </w:rPr>
              <w:t>736</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670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7769" w:rsidRDefault="00DF17E9" w:rsidP="00044843">
            <w:pPr>
              <w:ind w:left="0" w:firstLine="0"/>
              <w:rPr>
                <w:color w:val="000000"/>
              </w:rPr>
            </w:pPr>
            <w:r w:rsidRPr="007C7769">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Current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689</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618</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640</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582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12" w:space="0" w:color="auto"/>
            </w:tcBorders>
          </w:tcPr>
          <w:p w:rsidR="00DF17E9" w:rsidRPr="007C7769" w:rsidRDefault="00DF17E9" w:rsidP="00044843">
            <w:pPr>
              <w:ind w:left="0" w:firstLine="0"/>
              <w:rPr>
                <w:color w:val="000000"/>
              </w:rPr>
            </w:pPr>
            <w:r w:rsidRPr="007C7769">
              <w:rPr>
                <w:color w:val="000000"/>
              </w:rPr>
              <w:t>Non-current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7C7769" w:rsidRDefault="00DF17E9" w:rsidP="00044843">
            <w:r w:rsidRPr="007C7769">
              <w:rPr>
                <w:color w:val="000000"/>
              </w:rPr>
              <w:t>108</w:t>
            </w:r>
          </w:p>
        </w:tc>
        <w:tc>
          <w:tcPr>
            <w:tcW w:w="907" w:type="dxa"/>
            <w:tcBorders>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7C7769" w:rsidRDefault="00DF17E9" w:rsidP="00044843">
            <w:r w:rsidRPr="007C7769">
              <w:rPr>
                <w:color w:val="000000"/>
              </w:rPr>
              <w:t>97</w:t>
            </w:r>
          </w:p>
        </w:tc>
        <w:tc>
          <w:tcPr>
            <w:tcW w:w="907" w:type="dxa"/>
            <w:tcBorders>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88</w:t>
            </w:r>
          </w:p>
        </w:tc>
      </w:tr>
    </w:tbl>
    <w:p w:rsidR="00DF17E9" w:rsidRDefault="00DF17E9" w:rsidP="00E224A1"/>
    <w:p w:rsidR="00DF17E9" w:rsidRDefault="00DF17E9" w:rsidP="00E224A1">
      <w:pPr>
        <w:sectPr w:rsidR="00DF17E9" w:rsidSect="00D75608">
          <w:type w:val="continuous"/>
          <w:pgSz w:w="11906" w:h="16838" w:code="9"/>
          <w:pgMar w:top="1134" w:right="1134" w:bottom="1134" w:left="1134" w:header="624" w:footer="567" w:gutter="0"/>
          <w:cols w:space="708"/>
          <w:docGrid w:linePitch="360"/>
        </w:sectPr>
      </w:pPr>
    </w:p>
    <w:p w:rsidR="00DF17E9" w:rsidRDefault="00DF17E9" w:rsidP="00044843">
      <w:pPr>
        <w:pStyle w:val="Heading2"/>
        <w:numPr>
          <w:ilvl w:val="1"/>
          <w:numId w:val="17"/>
        </w:numPr>
      </w:pPr>
      <w:bookmarkStart w:id="30" w:name="_Toc459976043"/>
      <w:r w:rsidRPr="00971589">
        <w:lastRenderedPageBreak/>
        <w:t>Superannuation interest expense and other superannuation expenses</w:t>
      </w:r>
      <w:bookmarkEnd w:id="30"/>
    </w:p>
    <w:p w:rsidR="00DF17E9" w:rsidRPr="00BC7006" w:rsidRDefault="00DF17E9" w:rsidP="00E224A1">
      <w:pPr>
        <w:pStyle w:val="BodyText"/>
        <w:pBdr>
          <w:bottom w:val="single" w:sz="4" w:space="1" w:color="0063A6" w:themeColor="accent1"/>
        </w:pBdr>
        <w:rPr>
          <w:rFonts w:asciiTheme="majorHAnsi" w:hAnsiTheme="majorHAnsi"/>
          <w:b/>
          <w:spacing w:val="-2"/>
        </w:rPr>
      </w:pPr>
      <w:r w:rsidRPr="00BC7006">
        <w:rPr>
          <w:rFonts w:asciiTheme="majorHAnsi" w:hAnsiTheme="majorHAnsi"/>
          <w:b/>
          <w:spacing w:val="-2"/>
        </w:rPr>
        <w:t>Superannuation expense recogn</w:t>
      </w:r>
      <w:r>
        <w:rPr>
          <w:rFonts w:asciiTheme="majorHAnsi" w:hAnsiTheme="majorHAnsi"/>
          <w:b/>
          <w:spacing w:val="-2"/>
        </w:rPr>
        <w:t>ised in the operating statement</w:t>
      </w:r>
    </w:p>
    <w:p w:rsidR="00DF17E9" w:rsidRDefault="00DF17E9" w:rsidP="00E224A1">
      <w:r>
        <w:t>The State recognises the net superannuation expense from transactions on the following basis:</w:t>
      </w:r>
    </w:p>
    <w:p w:rsidR="00DF17E9" w:rsidRDefault="00DF17E9" w:rsidP="00044843">
      <w:pPr>
        <w:pStyle w:val="ListBullet"/>
        <w:numPr>
          <w:ilvl w:val="0"/>
          <w:numId w:val="16"/>
        </w:numPr>
        <w:ind w:left="397" w:hanging="397"/>
      </w:pPr>
      <w:r>
        <w:t xml:space="preserve">in relation to defined contribution (i.e. accumulation) superannuation plans, the associated expense is simply the employer contributions that are paid or payable in respect </w:t>
      </w:r>
      <w:r>
        <w:lastRenderedPageBreak/>
        <w:t>of employees who are members of these plans during the reporting period; and</w:t>
      </w:r>
    </w:p>
    <w:p w:rsidR="00DF17E9" w:rsidRDefault="00DF17E9" w:rsidP="00044843">
      <w:pPr>
        <w:pStyle w:val="ListBullet"/>
        <w:numPr>
          <w:ilvl w:val="0"/>
          <w:numId w:val="16"/>
        </w:numPr>
        <w:ind w:left="397" w:hanging="397"/>
      </w:pPr>
      <w:r>
        <w:t>for defined benefit plans, the superannuation expense reflects the employer financed component of defined benefits that are expected to accrue over the reporting period (i.e. service cost), along with the net superannuation interest expense.</w:t>
      </w:r>
    </w:p>
    <w:p w:rsidR="00DF17E9" w:rsidRDefault="00DF17E9">
      <w:r>
        <w:br w:type="page"/>
      </w:r>
    </w:p>
    <w:p w:rsidR="00DF17E9" w:rsidRDefault="00DF17E9" w:rsidP="00E224A1">
      <w:pPr>
        <w:pStyle w:val="BodyText"/>
      </w:pPr>
      <w:r>
        <w:lastRenderedPageBreak/>
        <w:t>The remeasurements of the net superannuation liability are recognised under ‘Other economic flows – other comprehensive income’ and consist of:</w:t>
      </w:r>
    </w:p>
    <w:p w:rsidR="00DF17E9" w:rsidRDefault="00DF17E9" w:rsidP="00044843">
      <w:pPr>
        <w:pStyle w:val="ListBullet"/>
        <w:numPr>
          <w:ilvl w:val="0"/>
          <w:numId w:val="16"/>
        </w:numPr>
        <w:ind w:left="397" w:hanging="397"/>
      </w:pPr>
      <w:r>
        <w:t xml:space="preserve">actuarial gains and losses which reflect the change in the defined obligation that has arisen due to differences between actual outcomes and the assumptions used to calculate the superannuation expense from transactions; </w:t>
      </w:r>
    </w:p>
    <w:p w:rsidR="00DF17E9" w:rsidRDefault="00DF17E9" w:rsidP="00044843">
      <w:pPr>
        <w:pStyle w:val="ListBullet"/>
        <w:numPr>
          <w:ilvl w:val="0"/>
          <w:numId w:val="16"/>
        </w:numPr>
        <w:ind w:left="397" w:hanging="397"/>
      </w:pPr>
      <w:r>
        <w:lastRenderedPageBreak/>
        <w:t>the return on plan assets, excluding amounts included in the net superannuation interest expense; and</w:t>
      </w:r>
    </w:p>
    <w:p w:rsidR="00DF17E9" w:rsidRDefault="00DF17E9" w:rsidP="00044843">
      <w:pPr>
        <w:pStyle w:val="ListBullet"/>
        <w:numPr>
          <w:ilvl w:val="0"/>
          <w:numId w:val="16"/>
        </w:numPr>
        <w:ind w:left="397" w:hanging="397"/>
      </w:pPr>
      <w:r>
        <w:t>the effect of any change in actuarial assumptions during the period.</w:t>
      </w:r>
    </w:p>
    <w:p w:rsidR="00DF17E9" w:rsidRDefault="00DF17E9" w:rsidP="00E224A1">
      <w:pPr>
        <w:pStyle w:val="ListBullet"/>
        <w:numPr>
          <w:ilvl w:val="0"/>
          <w:numId w:val="0"/>
        </w:numPr>
      </w:pPr>
      <w:r>
        <w:t xml:space="preserve">These remeasurements are fully recognised as other comprehensive income in the period in which they occur. For more details on the superannuation liabilities, please refer to Note 6.5 Superannuation. </w:t>
      </w:r>
    </w:p>
    <w:p w:rsidR="00DF17E9" w:rsidRDefault="00DF17E9" w:rsidP="00E224A1">
      <w:pPr>
        <w:pStyle w:val="BodyText"/>
      </w:pPr>
    </w:p>
    <w:p w:rsidR="00DF17E9" w:rsidRDefault="00DF17E9" w:rsidP="00E224A1">
      <w:pPr>
        <w:pStyle w:val="BodyText"/>
        <w:sectPr w:rsidR="00DF17E9" w:rsidSect="00706F04">
          <w:headerReference w:type="default" r:id="rId102"/>
          <w:footerReference w:type="even" r:id="rId103"/>
          <w:footerReference w:type="default" r:id="rId104"/>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Subheading"/>
        <w:rPr>
          <w:bCs/>
          <w:lang w:val="en-US"/>
        </w:rPr>
      </w:pPr>
      <w:r w:rsidRPr="00983AF0">
        <w:lastRenderedPageBreak/>
        <w:t>Superannuation expense recognised in the operating statement</w:t>
      </w:r>
      <w:r>
        <w:tab/>
      </w:r>
      <w:r w:rsidRPr="00983AF0">
        <w:rPr>
          <w:rStyle w:val="TableUnitsChar"/>
        </w:rPr>
        <w:t>($ million)</w:t>
      </w:r>
    </w:p>
    <w:tbl>
      <w:tblPr>
        <w:tblStyle w:val="TableDTFGeneral"/>
        <w:tblW w:w="9668" w:type="dxa"/>
        <w:tblLayout w:type="fixed"/>
        <w:tblLook w:val="02A0" w:firstRow="1" w:lastRow="0" w:firstColumn="1" w:lastColumn="0" w:noHBand="1" w:noVBand="0"/>
      </w:tblPr>
      <w:tblGrid>
        <w:gridCol w:w="7370"/>
        <w:gridCol w:w="1134"/>
        <w:gridCol w:w="1164"/>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98" w:type="dxa"/>
            <w:gridSpan w:val="2"/>
          </w:tcPr>
          <w:p w:rsidR="00AE50D6" w:rsidRPr="007C7769" w:rsidRDefault="00AE50D6" w:rsidP="00AE50D6">
            <w:pPr>
              <w:jc w:val="center"/>
              <w:rPr>
                <w:color w:val="FFFFFF"/>
              </w:rPr>
            </w:pPr>
            <w:r w:rsidRPr="007C7769">
              <w:rPr>
                <w:color w:val="FFFFFF"/>
              </w:rPr>
              <w:t xml:space="preserve">State of Victoria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pPr>
              <w:rPr>
                <w:color w:val="FFFFFF"/>
              </w:rPr>
            </w:pPr>
            <w:r w:rsidRPr="007C7769">
              <w:rPr>
                <w:color w:val="FFFFFF"/>
              </w:rPr>
              <w:t>2016</w:t>
            </w:r>
          </w:p>
        </w:tc>
        <w:tc>
          <w:tcPr>
            <w:tcW w:w="1164"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rPr>
                <w:color w:val="000000"/>
              </w:rPr>
            </w:pPr>
            <w:r w:rsidRPr="007C7769">
              <w:rPr>
                <w:b/>
                <w:color w:val="000000"/>
              </w:rPr>
              <w:t xml:space="preserve">Defined benefit plans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pPr>
              <w:rPr>
                <w:color w:val="000000"/>
              </w:rPr>
            </w:pPr>
            <w:r w:rsidRPr="007C7769">
              <w:rPr>
                <w:b/>
                <w:color w:val="000000"/>
              </w:rPr>
              <w:t xml:space="preserve"> </w:t>
            </w:r>
          </w:p>
        </w:tc>
        <w:tc>
          <w:tcPr>
            <w:tcW w:w="1164"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rPr>
                <w:color w:val="000000"/>
              </w:rPr>
            </w:pPr>
            <w:r w:rsidRPr="007C7769">
              <w:rPr>
                <w:color w:val="000000"/>
              </w:rPr>
              <w:t>Net superannuation interest expense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r w:rsidRPr="007C7769">
              <w:rPr>
                <w:color w:val="000000"/>
              </w:rPr>
              <w:t>880</w:t>
            </w:r>
          </w:p>
        </w:tc>
        <w:tc>
          <w:tcPr>
            <w:tcW w:w="1164"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1 041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rPr>
                <w:color w:val="000000"/>
              </w:rPr>
            </w:pPr>
            <w:r w:rsidRPr="007C7769">
              <w:rPr>
                <w:color w:val="000000"/>
              </w:rPr>
              <w:t xml:space="preserve">Current service cost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r w:rsidRPr="007C7769">
              <w:rPr>
                <w:color w:val="000000"/>
              </w:rPr>
              <w:t>778</w:t>
            </w:r>
          </w:p>
        </w:tc>
        <w:tc>
          <w:tcPr>
            <w:tcW w:w="1164"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735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rPr>
                <w:color w:val="000000"/>
              </w:rPr>
            </w:pPr>
            <w:r w:rsidRPr="007C7769">
              <w:rPr>
                <w:color w:val="000000"/>
              </w:rPr>
              <w:t>Remeasurements: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pPr>
              <w:rPr>
                <w:color w:val="000000"/>
              </w:rPr>
            </w:pPr>
            <w:r w:rsidRPr="007C7769">
              <w:rPr>
                <w:color w:val="000000"/>
              </w:rPr>
              <w:t xml:space="preserve"> </w:t>
            </w:r>
          </w:p>
        </w:tc>
        <w:tc>
          <w:tcPr>
            <w:tcW w:w="1164"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pPr>
            <w:r w:rsidRPr="007C7769">
              <w:rPr>
                <w:color w:val="000000"/>
              </w:rPr>
              <w:t xml:space="preserve">   Expected return on superannuation assets excluding interest income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r w:rsidRPr="007C7769">
              <w:rPr>
                <w:color w:val="000000"/>
              </w:rPr>
              <w:t>(787)</w:t>
            </w:r>
          </w:p>
        </w:tc>
        <w:tc>
          <w:tcPr>
            <w:tcW w:w="1164"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(630)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bottom w:val="nil"/>
            </w:tcBorders>
          </w:tcPr>
          <w:p w:rsidR="00DF17E9" w:rsidRPr="007C7769" w:rsidRDefault="00DF17E9" w:rsidP="00044843">
            <w:pPr>
              <w:ind w:left="0" w:firstLine="0"/>
            </w:pPr>
            <w:r w:rsidRPr="007C7769">
              <w:rPr>
                <w:color w:val="000000"/>
              </w:rPr>
              <w:t xml:space="preserve">   Other actuarial (gain)/loss on superannuation assets</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7769" w:rsidRDefault="00DF17E9" w:rsidP="00044843">
            <w:r w:rsidRPr="007C7769">
              <w:rPr>
                <w:color w:val="000000"/>
              </w:rPr>
              <w:t xml:space="preserve">1 </w:t>
            </w:r>
            <w:r w:rsidRPr="007C7769">
              <w:t>166</w:t>
            </w:r>
          </w:p>
        </w:tc>
        <w:tc>
          <w:tcPr>
            <w:tcW w:w="1164"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(497)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bottom w:val="single" w:sz="6" w:space="0" w:color="auto"/>
            </w:tcBorders>
          </w:tcPr>
          <w:p w:rsidR="00DF17E9" w:rsidRPr="007C7769" w:rsidRDefault="00DF17E9" w:rsidP="00044843">
            <w:pPr>
              <w:ind w:left="0" w:firstLine="0"/>
            </w:pPr>
            <w:r w:rsidRPr="007C7769">
              <w:rPr>
                <w:color w:val="000000"/>
              </w:rPr>
              <w:t xml:space="preserve">   Actuarial and other adjustments to unfunded superannuation liability</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7769" w:rsidRDefault="00DF17E9" w:rsidP="00044843">
            <w:pPr>
              <w:rPr>
                <w:color w:val="000000"/>
              </w:rPr>
            </w:pPr>
            <w:r w:rsidRPr="007C7769">
              <w:rPr>
                <w:color w:val="000000"/>
              </w:rPr>
              <w:t>2 867</w:t>
            </w:r>
          </w:p>
        </w:tc>
        <w:tc>
          <w:tcPr>
            <w:tcW w:w="1164"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571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tcBorders>
          </w:tcPr>
          <w:p w:rsidR="00DF17E9" w:rsidRPr="007C7769" w:rsidRDefault="00DF17E9" w:rsidP="00044843">
            <w:pPr>
              <w:ind w:left="0" w:firstLine="0"/>
              <w:rPr>
                <w:color w:val="000000"/>
              </w:rPr>
            </w:pPr>
            <w:r w:rsidRPr="007C7769">
              <w:rPr>
                <w:b/>
                <w:color w:val="000000"/>
              </w:rPr>
              <w:t>Total expense recognised in respect of defined benefit plans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DF17E9" w:rsidRPr="007C7769" w:rsidRDefault="00DF17E9" w:rsidP="00044843">
            <w:pPr>
              <w:rPr>
                <w:color w:val="000000"/>
              </w:rPr>
            </w:pPr>
            <w:r w:rsidRPr="007C7769">
              <w:rPr>
                <w:b/>
                <w:color w:val="000000"/>
              </w:rPr>
              <w:t>4 904</w:t>
            </w:r>
          </w:p>
        </w:tc>
        <w:tc>
          <w:tcPr>
            <w:tcW w:w="1164"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1 220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Pr>
          <w:p w:rsidR="00DF17E9" w:rsidRPr="007C7769" w:rsidRDefault="00DF17E9" w:rsidP="00044843">
            <w:pPr>
              <w:ind w:left="0" w:firstLine="0"/>
              <w:rPr>
                <w:color w:val="000000"/>
              </w:rPr>
            </w:pPr>
            <w:r w:rsidRPr="007C7769">
              <w:rPr>
                <w:b/>
                <w:color w:val="000000"/>
              </w:rPr>
              <w:t>Defined contribution plans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7769" w:rsidRDefault="00DF17E9" w:rsidP="00044843">
            <w:pPr>
              <w:rPr>
                <w:color w:val="000000"/>
              </w:rPr>
            </w:pPr>
            <w:r w:rsidRPr="007C7769">
              <w:rPr>
                <w:b/>
                <w:color w:val="000000"/>
              </w:rPr>
              <w:t xml:space="preserve"> </w:t>
            </w:r>
          </w:p>
        </w:tc>
        <w:tc>
          <w:tcPr>
            <w:tcW w:w="1164"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bottom w:val="nil"/>
            </w:tcBorders>
          </w:tcPr>
          <w:p w:rsidR="00DF17E9" w:rsidRPr="007C7769" w:rsidRDefault="00DF17E9" w:rsidP="00044843">
            <w:pPr>
              <w:ind w:left="0" w:firstLine="0"/>
              <w:rPr>
                <w:color w:val="000000"/>
              </w:rPr>
            </w:pPr>
            <w:r w:rsidRPr="007C7769">
              <w:rPr>
                <w:color w:val="000000"/>
              </w:rPr>
              <w:t xml:space="preserve">Employer contributions to defined contribution plans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7769" w:rsidRDefault="00DF17E9" w:rsidP="00044843">
            <w:pPr>
              <w:rPr>
                <w:color w:val="000000"/>
              </w:rPr>
            </w:pPr>
            <w:r w:rsidRPr="007C7769">
              <w:rPr>
                <w:color w:val="000000"/>
              </w:rPr>
              <w:t>1 386</w:t>
            </w:r>
          </w:p>
        </w:tc>
        <w:tc>
          <w:tcPr>
            <w:tcW w:w="1164"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1 293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bottom w:val="single" w:sz="6" w:space="0" w:color="auto"/>
            </w:tcBorders>
          </w:tcPr>
          <w:p w:rsidR="00DF17E9" w:rsidRPr="007C7769" w:rsidRDefault="00DF17E9" w:rsidP="00044843">
            <w:pPr>
              <w:ind w:left="0" w:firstLine="0"/>
              <w:rPr>
                <w:color w:val="000000"/>
              </w:rPr>
            </w:pPr>
            <w:r w:rsidRPr="007C7769">
              <w:rPr>
                <w:color w:val="000000"/>
              </w:rPr>
              <w:t>Other (including pensions)</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7769" w:rsidRDefault="00DF17E9" w:rsidP="00044843">
            <w:r w:rsidRPr="007C7769">
              <w:rPr>
                <w:color w:val="000000"/>
              </w:rPr>
              <w:t>90</w:t>
            </w:r>
          </w:p>
        </w:tc>
        <w:tc>
          <w:tcPr>
            <w:tcW w:w="1164"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expense recognised in respect of defined contribution plans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1 476</w:t>
            </w:r>
          </w:p>
        </w:tc>
        <w:tc>
          <w:tcPr>
            <w:tcW w:w="1164"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1 368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superannuation (gain)/expense recognised in operating statement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6 380</w:t>
            </w:r>
          </w:p>
        </w:tc>
        <w:tc>
          <w:tcPr>
            <w:tcW w:w="1164"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2 587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tcPr>
          <w:p w:rsidR="00DF17E9" w:rsidRPr="007C7769" w:rsidRDefault="00DF17E9" w:rsidP="00044843">
            <w:pPr>
              <w:ind w:left="0" w:firstLine="0"/>
              <w:rPr>
                <w:color w:val="000000"/>
              </w:rPr>
            </w:pPr>
            <w:r w:rsidRPr="007C7769">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1134" w:type="dxa"/>
            <w:tcBorders>
              <w:top w:val="single" w:sz="12" w:space="0" w:color="auto"/>
            </w:tcBorders>
          </w:tcPr>
          <w:p w:rsidR="00DF17E9" w:rsidRPr="007C7769" w:rsidRDefault="00DF17E9" w:rsidP="00044843">
            <w:pPr>
              <w:rPr>
                <w:color w:val="000000"/>
              </w:rPr>
            </w:pPr>
            <w:r w:rsidRPr="007C7769">
              <w:rPr>
                <w:b/>
                <w:color w:val="000000"/>
              </w:rPr>
              <w:t xml:space="preserve"> </w:t>
            </w:r>
          </w:p>
        </w:tc>
        <w:tc>
          <w:tcPr>
            <w:tcW w:w="1164" w:type="dxa"/>
            <w:tcBorders>
              <w:top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bottom w:val="nil"/>
            </w:tcBorders>
          </w:tcPr>
          <w:p w:rsidR="00DF17E9" w:rsidRPr="007C7769" w:rsidRDefault="00DF17E9" w:rsidP="00044843">
            <w:pPr>
              <w:ind w:left="0" w:firstLine="0"/>
              <w:rPr>
                <w:color w:val="000000"/>
              </w:rPr>
            </w:pPr>
            <w:r w:rsidRPr="007C7769">
              <w:rPr>
                <w:color w:val="000000"/>
              </w:rPr>
              <w:t>Net superannuation interest expense</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7769" w:rsidRDefault="00DF17E9" w:rsidP="00044843">
            <w:r w:rsidRPr="007C7769">
              <w:rPr>
                <w:color w:val="000000"/>
              </w:rPr>
              <w:t>880</w:t>
            </w:r>
          </w:p>
        </w:tc>
        <w:tc>
          <w:tcPr>
            <w:tcW w:w="1164"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1 041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bottom w:val="single" w:sz="6" w:space="0" w:color="auto"/>
            </w:tcBorders>
          </w:tcPr>
          <w:p w:rsidR="00DF17E9" w:rsidRPr="007C7769" w:rsidRDefault="00DF17E9" w:rsidP="00044843">
            <w:pPr>
              <w:ind w:left="0" w:firstLine="0"/>
              <w:rPr>
                <w:color w:val="000000"/>
              </w:rPr>
            </w:pPr>
            <w:r w:rsidRPr="007C7769">
              <w:rPr>
                <w:color w:val="000000"/>
              </w:rPr>
              <w:t>Other superannuation</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7769" w:rsidRDefault="00DF17E9" w:rsidP="00044843">
            <w:pPr>
              <w:rPr>
                <w:color w:val="000000"/>
              </w:rPr>
            </w:pPr>
            <w:r w:rsidRPr="007C7769">
              <w:rPr>
                <w:color w:val="000000"/>
              </w:rPr>
              <w:t>2 254</w:t>
            </w:r>
          </w:p>
        </w:tc>
        <w:tc>
          <w:tcPr>
            <w:tcW w:w="1164"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2 103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Superannuation expense from transactions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3 134</w:t>
            </w:r>
          </w:p>
        </w:tc>
        <w:tc>
          <w:tcPr>
            <w:tcW w:w="1164"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3 144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Remeasurement recognised in other comprehensive income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3 246</w:t>
            </w:r>
          </w:p>
        </w:tc>
        <w:tc>
          <w:tcPr>
            <w:tcW w:w="1164"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(556)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superannuation costs recognised in operating statement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6 380</w:t>
            </w:r>
          </w:p>
        </w:tc>
        <w:tc>
          <w:tcPr>
            <w:tcW w:w="1164"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2 587</w:t>
            </w:r>
          </w:p>
        </w:tc>
      </w:tr>
    </w:tbl>
    <w:p w:rsidR="00DF17E9" w:rsidRPr="005851B1" w:rsidRDefault="00DF17E9" w:rsidP="00E224A1">
      <w:pPr>
        <w:pStyle w:val="BodyText"/>
      </w:pPr>
    </w:p>
    <w:p w:rsidR="00DF17E9" w:rsidRDefault="00DF17E9" w:rsidP="00E224A1">
      <w:pPr>
        <w:sectPr w:rsidR="00DF17E9" w:rsidSect="00706F04">
          <w:headerReference w:type="even" r:id="rId105"/>
          <w:headerReference w:type="default" r:id="rId106"/>
          <w:footerReference w:type="even" r:id="rId107"/>
          <w:footerReference w:type="default" r:id="rId108"/>
          <w:type w:val="continuous"/>
          <w:pgSz w:w="11906" w:h="16838" w:code="9"/>
          <w:pgMar w:top="1134" w:right="1134" w:bottom="1134" w:left="1134" w:header="624" w:footer="567" w:gutter="0"/>
          <w:cols w:space="708"/>
          <w:docGrid w:linePitch="360"/>
        </w:sectPr>
      </w:pPr>
    </w:p>
    <w:p w:rsidR="00DF17E9" w:rsidRPr="00140A80" w:rsidRDefault="00DF17E9" w:rsidP="00E224A1">
      <w:pPr>
        <w:pStyle w:val="HighlightBoxText"/>
      </w:pPr>
      <w:r>
        <w:rPr>
          <w:b/>
        </w:rPr>
        <w:lastRenderedPageBreak/>
        <w:t>Net s</w:t>
      </w:r>
      <w:r w:rsidRPr="00140A80">
        <w:rPr>
          <w:b/>
        </w:rPr>
        <w:t>uperannuation interest expense</w:t>
      </w:r>
      <w:r w:rsidRPr="00140A80">
        <w:t xml:space="preserve"> </w:t>
      </w:r>
      <w:r>
        <w:t>is the change during the period in the net defined benefit liability that arises from the passage of time</w:t>
      </w:r>
      <w:r w:rsidRPr="00916484">
        <w:t>. This is effectively calculated by applying the discount rate (a long-term Government bond yield) to the net superannuation liability without reference to the expected rate of investment return on plan assets.</w:t>
      </w:r>
    </w:p>
    <w:p w:rsidR="00DF17E9" w:rsidRDefault="00DF17E9" w:rsidP="00E224A1">
      <w:pPr>
        <w:pStyle w:val="HighlightBoxText"/>
      </w:pPr>
      <w:r w:rsidRPr="00140A80">
        <w:rPr>
          <w:b/>
        </w:rPr>
        <w:lastRenderedPageBreak/>
        <w:t>Other superannuation</w:t>
      </w:r>
      <w:r w:rsidRPr="00140A80">
        <w:t xml:space="preserve"> includes all superannuation expenses from transactions except</w:t>
      </w:r>
      <w:r>
        <w:t xml:space="preserve"> the net superannuation interest expense. It</w:t>
      </w:r>
      <w:r w:rsidRPr="00140A80">
        <w:t xml:space="preserve"> includes current service cost, which is the increase in entitlements associated with the employment</w:t>
      </w:r>
      <w:r>
        <w:t xml:space="preserve"> services provided </w:t>
      </w:r>
      <w:r w:rsidRPr="00140A80">
        <w:t>in the current period</w:t>
      </w:r>
      <w:r w:rsidRPr="00B2466A">
        <w:t>, and employer contributions to defined contribution plans.</w:t>
      </w:r>
    </w:p>
    <w:p w:rsidR="00DF17E9" w:rsidRDefault="00DF17E9" w:rsidP="008976C2"/>
    <w:p w:rsidR="00DF17E9" w:rsidRDefault="00DF17E9" w:rsidP="008976C2">
      <w:pPr>
        <w:sectPr w:rsidR="00DF17E9" w:rsidSect="00983AF0">
          <w:type w:val="continuous"/>
          <w:pgSz w:w="11906" w:h="16838" w:code="9"/>
          <w:pgMar w:top="1134" w:right="1134" w:bottom="1134" w:left="1134" w:header="624" w:footer="567" w:gutter="0"/>
          <w:cols w:num="2" w:space="708"/>
          <w:docGrid w:linePitch="360"/>
        </w:sectPr>
      </w:pPr>
    </w:p>
    <w:p w:rsidR="00DF17E9" w:rsidRDefault="00DF17E9">
      <w:pPr>
        <w:rPr>
          <w:rFonts w:asciiTheme="majorHAnsi" w:eastAsiaTheme="majorEastAsia" w:hAnsiTheme="majorHAnsi" w:cstheme="majorBidi"/>
          <w:b/>
          <w:spacing w:val="-2"/>
          <w:sz w:val="24"/>
          <w:szCs w:val="26"/>
        </w:rPr>
      </w:pPr>
      <w:r>
        <w:lastRenderedPageBreak/>
        <w:br w:type="page"/>
      </w:r>
    </w:p>
    <w:p w:rsidR="00DF17E9" w:rsidRPr="007C7769" w:rsidRDefault="00DF17E9" w:rsidP="00044843">
      <w:pPr>
        <w:pStyle w:val="Heading2"/>
        <w:rPr>
          <w:bCs/>
          <w:lang w:val="en-US"/>
        </w:rPr>
      </w:pPr>
      <w:bookmarkStart w:id="31" w:name="_Toc459976044"/>
      <w:r w:rsidRPr="00FD2984">
        <w:lastRenderedPageBreak/>
        <w:t>Grant expense</w:t>
      </w:r>
      <w:r>
        <w:tab/>
      </w:r>
      <w:r w:rsidRPr="00C708BA">
        <w:rPr>
          <w:sz w:val="19"/>
          <w:szCs w:val="19"/>
        </w:rPr>
        <w:t>($ million)</w:t>
      </w:r>
      <w:bookmarkEnd w:id="31"/>
    </w:p>
    <w:tbl>
      <w:tblPr>
        <w:tblStyle w:val="TableDTFGeneral"/>
        <w:tblW w:w="9668" w:type="dxa"/>
        <w:tblLayout w:type="fixed"/>
        <w:tblLook w:val="02A0" w:firstRow="1" w:lastRow="0" w:firstColumn="1" w:lastColumn="0" w:noHBand="1" w:noVBand="0"/>
      </w:tblPr>
      <w:tblGrid>
        <w:gridCol w:w="6009"/>
        <w:gridCol w:w="907"/>
        <w:gridCol w:w="907"/>
        <w:gridCol w:w="9"/>
        <w:gridCol w:w="898"/>
        <w:gridCol w:w="938"/>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AE50D6" w:rsidRPr="007C7769" w:rsidRDefault="00AE50D6" w:rsidP="00AE50D6">
            <w:pPr>
              <w:jc w:val="center"/>
              <w:rPr>
                <w:color w:val="FFFFFF"/>
              </w:rPr>
            </w:pPr>
            <w:r w:rsidRPr="007C7769">
              <w:rPr>
                <w:color w:val="FFFFFF"/>
              </w:rPr>
              <w:t xml:space="preserve">State of Victoria </w:t>
            </w:r>
          </w:p>
        </w:tc>
        <w:tc>
          <w:tcPr>
            <w:tcW w:w="1836"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Pr>
                <w:color w:val="FFFFFF"/>
              </w:rPr>
              <w:br/>
            </w:r>
            <w:r w:rsidRPr="007C7769">
              <w:rPr>
                <w:color w:val="FFFFFF"/>
              </w:rPr>
              <w:t xml:space="preserve">government sector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FFFFFF"/>
              </w:rPr>
            </w:pPr>
            <w:r w:rsidRPr="007C7769">
              <w:rPr>
                <w:color w:val="FFFFFF"/>
              </w:rPr>
              <w:t>2016</w:t>
            </w:r>
          </w:p>
        </w:tc>
        <w:tc>
          <w:tcPr>
            <w:tcW w:w="938"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b/>
                <w:color w:val="000000"/>
              </w:rPr>
              <w:t>Current grant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b/>
                <w:color w:val="000000"/>
              </w:rPr>
              <w:t xml:space="preserve"> </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b/>
                <w:color w:val="000000"/>
              </w:rPr>
              <w:t xml:space="preserve"> </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Commonwealth Government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279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224</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278</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223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Local government (including grants for on-passing)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597</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1 103</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597</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1 103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Private sector and not-for-profit on-passing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2 790</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2 644</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2 790</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2 644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Other private sector and not-for-profit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1 596</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1 568</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1 551</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1 534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Grants within the Victorian Government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rPr>
                <w:color w:val="000000"/>
              </w:rPr>
            </w:pPr>
            <w:r w:rsidRPr="007C7769">
              <w:rPr>
                <w:color w:val="000000"/>
              </w:rPr>
              <w:t>..</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pPr>
              <w:rPr>
                <w:color w:val="000000"/>
              </w:rPr>
            </w:pPr>
            <w:r w:rsidRPr="007C7769">
              <w:rPr>
                <w:color w:val="000000"/>
              </w:rPr>
              <w:t>3 006</w:t>
            </w:r>
          </w:p>
        </w:tc>
        <w:tc>
          <w:tcPr>
            <w:tcW w:w="938"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2 772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Grants to other state governments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42</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44</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color w:val="000000"/>
              </w:rPr>
              <w:t>42</w:t>
            </w:r>
          </w:p>
        </w:tc>
        <w:tc>
          <w:tcPr>
            <w:tcW w:w="938"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current grant expense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pPr>
              <w:rPr>
                <w:color w:val="000000"/>
              </w:rPr>
            </w:pPr>
            <w:r w:rsidRPr="007C7769">
              <w:rPr>
                <w:b/>
                <w:color w:val="000000"/>
              </w:rPr>
              <w:t>5 303</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5 583</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7769" w:rsidRDefault="00DF17E9" w:rsidP="00044843">
            <w:pPr>
              <w:rPr>
                <w:color w:val="000000"/>
              </w:rPr>
            </w:pPr>
            <w:r w:rsidRPr="007C7769">
              <w:rPr>
                <w:b/>
                <w:color w:val="000000"/>
              </w:rPr>
              <w:t>8 263</w:t>
            </w:r>
          </w:p>
        </w:tc>
        <w:tc>
          <w:tcPr>
            <w:tcW w:w="938"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8 319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7769" w:rsidRDefault="00DF17E9" w:rsidP="00044843">
            <w:pPr>
              <w:ind w:left="0" w:firstLine="0"/>
              <w:rPr>
                <w:color w:val="000000"/>
              </w:rPr>
            </w:pPr>
            <w:r w:rsidRPr="007C7769">
              <w:rPr>
                <w:b/>
                <w:color w:val="000000"/>
              </w:rPr>
              <w:t>Capital grant expense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07"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7769" w:rsidRDefault="00DF17E9" w:rsidP="00044843">
            <w:pPr>
              <w:rPr>
                <w:color w:val="000000"/>
              </w:rPr>
            </w:pPr>
            <w:r w:rsidRPr="007C7769">
              <w:rPr>
                <w:b/>
                <w:color w:val="000000"/>
              </w:rPr>
              <w:t xml:space="preserve"> </w:t>
            </w:r>
          </w:p>
        </w:tc>
        <w:tc>
          <w:tcPr>
            <w:tcW w:w="938" w:type="dxa"/>
            <w:tcBorders>
              <w:top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Local government (including grants for on-passing)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Private sector and not-for-profit on-passing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192</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142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191</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138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Other private sector and not-for-profit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Grants within the Victorian Government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rPr>
                <w:color w:val="000000"/>
              </w:rPr>
            </w:pPr>
            <w:r w:rsidRPr="007C7769">
              <w:rPr>
                <w:color w:val="000000"/>
              </w:rPr>
              <w:t>..</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color w:val="000000"/>
              </w:rPr>
              <w:t>2</w:t>
            </w:r>
          </w:p>
        </w:tc>
        <w:tc>
          <w:tcPr>
            <w:tcW w:w="938"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Other grants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161</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81</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r w:rsidRPr="007C7769">
              <w:rPr>
                <w:color w:val="000000"/>
              </w:rPr>
              <w:t>109</w:t>
            </w:r>
          </w:p>
        </w:tc>
        <w:tc>
          <w:tcPr>
            <w:tcW w:w="938"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7769" w:rsidRDefault="00DF17E9" w:rsidP="00044843">
            <w:pPr>
              <w:ind w:left="0" w:firstLine="0"/>
              <w:rPr>
                <w:color w:val="000000"/>
              </w:rPr>
            </w:pPr>
            <w:r w:rsidRPr="007C7769">
              <w:rPr>
                <w:b/>
                <w:color w:val="000000"/>
              </w:rPr>
              <w:t>Total capital grant expense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7769" w:rsidRDefault="00DF17E9" w:rsidP="00044843">
            <w:r w:rsidRPr="007C7769">
              <w:rPr>
                <w:b/>
                <w:color w:val="000000"/>
              </w:rPr>
              <w:t>353</w:t>
            </w:r>
          </w:p>
        </w:tc>
        <w:tc>
          <w:tcPr>
            <w:tcW w:w="907"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238</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7769" w:rsidRDefault="00DF17E9" w:rsidP="00044843">
            <w:r w:rsidRPr="007C7769">
              <w:rPr>
                <w:b/>
                <w:color w:val="000000"/>
              </w:rPr>
              <w:t>301</w:t>
            </w:r>
          </w:p>
        </w:tc>
        <w:tc>
          <w:tcPr>
            <w:tcW w:w="938" w:type="dxa"/>
            <w:tcBorders>
              <w:top w:val="single" w:sz="6" w:space="0" w:color="auto"/>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b/>
                <w:color w:val="000000"/>
              </w:rPr>
              <w:t>210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grant expense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5 657</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5 822</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7769" w:rsidRDefault="00DF17E9" w:rsidP="00044843">
            <w:pPr>
              <w:rPr>
                <w:color w:val="000000"/>
              </w:rPr>
            </w:pPr>
            <w:r w:rsidRPr="007C7769">
              <w:rPr>
                <w:b/>
                <w:color w:val="000000"/>
              </w:rPr>
              <w:t>8 564</w:t>
            </w:r>
          </w:p>
        </w:tc>
        <w:tc>
          <w:tcPr>
            <w:tcW w:w="938"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8 529</w:t>
            </w:r>
          </w:p>
        </w:tc>
      </w:tr>
    </w:tbl>
    <w:p w:rsidR="00DF17E9" w:rsidRDefault="00DF17E9" w:rsidP="00F83077">
      <w:pPr>
        <w:spacing w:after="0"/>
      </w:pPr>
    </w:p>
    <w:p w:rsidR="00DF17E9" w:rsidRDefault="00DF17E9" w:rsidP="008976C2">
      <w:pPr>
        <w:sectPr w:rsidR="00DF17E9" w:rsidSect="00D75608">
          <w:type w:val="continuous"/>
          <w:pgSz w:w="11906" w:h="16838" w:code="9"/>
          <w:pgMar w:top="1134" w:right="1134" w:bottom="1134" w:left="1134" w:header="624" w:footer="567" w:gutter="0"/>
          <w:cols w:space="708"/>
          <w:docGrid w:linePitch="360"/>
        </w:sectPr>
      </w:pPr>
    </w:p>
    <w:p w:rsidR="00DF17E9" w:rsidRDefault="00DF17E9" w:rsidP="00F83077">
      <w:pPr>
        <w:spacing w:line="259" w:lineRule="auto"/>
      </w:pPr>
      <w:r>
        <w:lastRenderedPageBreak/>
        <w:t>Grants and other transfers to third parties are recognised as an expense in the reporting period in which they are paid or payable.</w:t>
      </w:r>
    </w:p>
    <w:p w:rsidR="00DF17E9" w:rsidRDefault="00DF17E9" w:rsidP="00F83077">
      <w:pPr>
        <w:spacing w:line="259" w:lineRule="auto"/>
      </w:pPr>
      <w:r>
        <w:t xml:space="preserve">They include transactions such as grants, subsidies, personal benefit payments made in cash to individuals, other transfer payments made to local </w:t>
      </w:r>
      <w:r>
        <w:lastRenderedPageBreak/>
        <w:t xml:space="preserve">government, non-government schools and community groups. </w:t>
      </w:r>
    </w:p>
    <w:p w:rsidR="00DF17E9" w:rsidRDefault="00DF17E9" w:rsidP="00F83077">
      <w:pPr>
        <w:spacing w:line="259" w:lineRule="auto"/>
      </w:pPr>
      <w:r>
        <w:t>For the general government sector, these include grants and transfer payments to PNFCs and PFCs.</w:t>
      </w:r>
    </w:p>
    <w:p w:rsidR="00DF17E9" w:rsidRPr="005851B1" w:rsidRDefault="00DF17E9" w:rsidP="008976C2"/>
    <w:p w:rsidR="00DF17E9" w:rsidRDefault="00DF17E9" w:rsidP="008976C2">
      <w:pPr>
        <w:sectPr w:rsidR="00DF17E9" w:rsidSect="00334297">
          <w:type w:val="continuous"/>
          <w:pgSz w:w="11906" w:h="16838" w:code="9"/>
          <w:pgMar w:top="1134" w:right="1134" w:bottom="1134" w:left="1134" w:header="624" w:footer="567" w:gutter="0"/>
          <w:cols w:num="2" w:space="708"/>
          <w:docGrid w:linePitch="360"/>
        </w:sectPr>
      </w:pPr>
    </w:p>
    <w:p w:rsidR="00DF17E9" w:rsidRPr="007C7769" w:rsidRDefault="00DF17E9" w:rsidP="00044843">
      <w:pPr>
        <w:pStyle w:val="Heading2"/>
        <w:rPr>
          <w:bCs/>
          <w:lang w:val="en-US"/>
        </w:rPr>
      </w:pPr>
      <w:bookmarkStart w:id="32" w:name="_Toc459976045"/>
      <w:r w:rsidRPr="00DA1EC7">
        <w:lastRenderedPageBreak/>
        <w:t>Other operating expenses</w:t>
      </w:r>
      <w:r>
        <w:tab/>
      </w:r>
      <w:r w:rsidRPr="00253619">
        <w:rPr>
          <w:rStyle w:val="TableUnitsChar"/>
        </w:rPr>
        <w:t>($ million)</w:t>
      </w:r>
      <w:bookmarkEnd w:id="32"/>
    </w:p>
    <w:tbl>
      <w:tblPr>
        <w:tblStyle w:val="TableDTFGeneral"/>
        <w:tblW w:w="9668" w:type="dxa"/>
        <w:tblLayout w:type="fixed"/>
        <w:tblLook w:val="02A0" w:firstRow="1" w:lastRow="0" w:firstColumn="1" w:lastColumn="0" w:noHBand="1" w:noVBand="0"/>
      </w:tblPr>
      <w:tblGrid>
        <w:gridCol w:w="6009"/>
        <w:gridCol w:w="907"/>
        <w:gridCol w:w="907"/>
        <w:gridCol w:w="11"/>
        <w:gridCol w:w="896"/>
        <w:gridCol w:w="938"/>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5" w:type="dxa"/>
            <w:gridSpan w:val="3"/>
          </w:tcPr>
          <w:p w:rsidR="00AE50D6" w:rsidRPr="007C7769" w:rsidRDefault="00AE50D6" w:rsidP="00AE50D6">
            <w:pPr>
              <w:jc w:val="center"/>
              <w:rPr>
                <w:color w:val="FFFFFF"/>
              </w:rPr>
            </w:pPr>
            <w:r w:rsidRPr="007C7769">
              <w:rPr>
                <w:color w:val="FFFFFF"/>
              </w:rPr>
              <w:t xml:space="preserve">State of Victoria </w:t>
            </w:r>
          </w:p>
        </w:tc>
        <w:tc>
          <w:tcPr>
            <w:tcW w:w="1834"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General </w:t>
            </w:r>
            <w:r>
              <w:rPr>
                <w:color w:val="FFFFFF"/>
              </w:rPr>
              <w:br/>
            </w:r>
            <w:r w:rsidRPr="007C7769">
              <w:rPr>
                <w:color w:val="FFFFFF"/>
              </w:rPr>
              <w:t xml:space="preserve">government sector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FFFFFF"/>
              </w:rPr>
            </w:pPr>
            <w:r w:rsidRPr="007C7769">
              <w:rPr>
                <w:color w:val="FFFFFF"/>
              </w:rPr>
              <w:t>2016</w:t>
            </w:r>
          </w:p>
        </w:tc>
        <w:tc>
          <w:tcPr>
            <w:tcW w:w="907"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FFFFFF"/>
              </w:rPr>
            </w:pPr>
            <w:r w:rsidRPr="007C7769">
              <w:rPr>
                <w:color w:val="FFFFFF"/>
              </w:rPr>
              <w:t>2016</w:t>
            </w:r>
          </w:p>
        </w:tc>
        <w:tc>
          <w:tcPr>
            <w:tcW w:w="938"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 xml:space="preserve">Purchase of supplies and consumables </w:t>
            </w:r>
            <w:r w:rsidRPr="007C7769">
              <w:rPr>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7 299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7 383</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6 176</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6 097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Cost of goods sold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185</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352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27</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126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Finance expenses and fees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r w:rsidRPr="007C7769">
              <w:rPr>
                <w:color w:val="000000"/>
              </w:rPr>
              <w:t>448</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457</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36</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 xml:space="preserve">Purchase of services </w:t>
            </w:r>
            <w:r w:rsidRPr="007C7769">
              <w:rPr>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10 404</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9 713</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pPr>
              <w:rPr>
                <w:color w:val="000000"/>
              </w:rPr>
            </w:pPr>
            <w:r w:rsidRPr="007C7769">
              <w:rPr>
                <w:color w:val="000000"/>
              </w:rPr>
              <w:t>9 338</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8 948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Insurance claims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4 899</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4 621</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183</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ind w:left="0" w:firstLine="0"/>
              <w:rPr>
                <w:color w:val="000000"/>
              </w:rPr>
            </w:pPr>
            <w:r w:rsidRPr="007C7769">
              <w:rPr>
                <w:color w:val="000000"/>
              </w:rPr>
              <w:t>Maintenance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rPr>
                <w:color w:val="000000"/>
              </w:rPr>
            </w:pPr>
            <w:r w:rsidRPr="007C7769">
              <w:rPr>
                <w:color w:val="000000"/>
              </w:rPr>
              <w:t>1 301</w:t>
            </w:r>
          </w:p>
        </w:tc>
        <w:tc>
          <w:tcPr>
            <w:tcW w:w="907"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1 285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7769" w:rsidRDefault="00DF17E9" w:rsidP="00044843">
            <w:r w:rsidRPr="007C7769">
              <w:rPr>
                <w:color w:val="000000"/>
              </w:rPr>
              <w:t>737</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698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ind w:left="0" w:firstLine="0"/>
              <w:rPr>
                <w:color w:val="000000"/>
              </w:rPr>
            </w:pPr>
            <w:r w:rsidRPr="007C7769">
              <w:rPr>
                <w:color w:val="000000"/>
              </w:rPr>
              <w:t>Operating lease payments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r w:rsidRPr="007C7769">
              <w:rPr>
                <w:color w:val="000000"/>
              </w:rPr>
              <w:t>406</w:t>
            </w:r>
          </w:p>
        </w:tc>
        <w:tc>
          <w:tcPr>
            <w:tcW w:w="907"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399</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7769" w:rsidRDefault="00DF17E9" w:rsidP="00044843">
            <w:r w:rsidRPr="007C7769">
              <w:rPr>
                <w:color w:val="000000"/>
              </w:rPr>
              <w:t>338</w:t>
            </w:r>
          </w:p>
        </w:tc>
        <w:tc>
          <w:tcPr>
            <w:tcW w:w="938"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327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ind w:left="0" w:firstLine="0"/>
              <w:rPr>
                <w:color w:val="000000"/>
              </w:rPr>
            </w:pPr>
            <w:r w:rsidRPr="007C7769">
              <w:rPr>
                <w:color w:val="000000"/>
              </w:rPr>
              <w:t>Other</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r w:rsidRPr="007C7769">
              <w:rPr>
                <w:color w:val="000000"/>
              </w:rPr>
              <w:t>779</w:t>
            </w:r>
          </w:p>
        </w:tc>
        <w:tc>
          <w:tcPr>
            <w:tcW w:w="907"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1 335</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7769" w:rsidRDefault="00DF17E9" w:rsidP="00044843">
            <w:pPr>
              <w:rPr>
                <w:color w:val="000000"/>
              </w:rPr>
            </w:pPr>
            <w:r w:rsidRPr="007C7769">
              <w:rPr>
                <w:color w:val="000000"/>
              </w:rPr>
              <w:t>1 068</w:t>
            </w:r>
          </w:p>
        </w:tc>
        <w:tc>
          <w:tcPr>
            <w:tcW w:w="938"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1 306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ind w:left="0" w:firstLine="0"/>
              <w:rPr>
                <w:color w:val="000000"/>
              </w:rPr>
            </w:pPr>
            <w:r w:rsidRPr="007C7769">
              <w:rPr>
                <w:b/>
                <w:color w:val="000000"/>
              </w:rPr>
              <w:t>Total other operating expenses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25 720</w:t>
            </w:r>
          </w:p>
        </w:tc>
        <w:tc>
          <w:tcPr>
            <w:tcW w:w="907"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25 544</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7769" w:rsidRDefault="00DF17E9" w:rsidP="00044843">
            <w:pPr>
              <w:rPr>
                <w:color w:val="000000"/>
              </w:rPr>
            </w:pPr>
            <w:r w:rsidRPr="007C7769">
              <w:rPr>
                <w:b/>
                <w:color w:val="000000"/>
              </w:rPr>
              <w:t>17 905</w:t>
            </w:r>
          </w:p>
        </w:tc>
        <w:tc>
          <w:tcPr>
            <w:tcW w:w="938"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17 651</w:t>
            </w:r>
          </w:p>
        </w:tc>
      </w:tr>
    </w:tbl>
    <w:p w:rsidR="00DF17E9" w:rsidRPr="00963BD2" w:rsidRDefault="00DF17E9" w:rsidP="00963BD2">
      <w:pPr>
        <w:pStyle w:val="Note"/>
      </w:pPr>
      <w:r w:rsidRPr="00963BD2">
        <w:t>Note</w:t>
      </w:r>
      <w:r>
        <w:t>s</w:t>
      </w:r>
      <w:r w:rsidRPr="00963BD2">
        <w:t>:</w:t>
      </w:r>
    </w:p>
    <w:p w:rsidR="00DF17E9" w:rsidRDefault="00DF17E9" w:rsidP="00963BD2">
      <w:pPr>
        <w:pStyle w:val="Note"/>
      </w:pPr>
      <w:r>
        <w:t>(a)</w:t>
      </w:r>
      <w:r>
        <w:tab/>
      </w:r>
      <w:r w:rsidRPr="00963BD2">
        <w:t>Further disclosure on purchase of supplies and consumables and purchase of services by department is available on the Department of Treasury and Finance’s website</w:t>
      </w:r>
      <w:r>
        <w:t xml:space="preserve"> (dtf.vic.gov.au)</w:t>
      </w:r>
      <w:r w:rsidRPr="00963BD2">
        <w:t>. This further disclosure is not subject to audit by the Victorian Auditor-General’s Office.</w:t>
      </w:r>
    </w:p>
    <w:p w:rsidR="00DF17E9" w:rsidRPr="00963BD2" w:rsidRDefault="00DF17E9" w:rsidP="00963BD2">
      <w:pPr>
        <w:pStyle w:val="Note"/>
      </w:pPr>
      <w:r>
        <w:t>(b)</w:t>
      </w:r>
      <w:r>
        <w:tab/>
        <w:t>June 2015 comparatives have been reclassified between the purchase of supplies and consumables and purchase of services line items to better reflect the nature of the expenditure items.</w:t>
      </w:r>
    </w:p>
    <w:p w:rsidR="00DF17E9" w:rsidRDefault="00DF17E9" w:rsidP="00F83077">
      <w:pPr>
        <w:spacing w:after="0"/>
      </w:pPr>
    </w:p>
    <w:p w:rsidR="00DF17E9" w:rsidRDefault="00DF17E9" w:rsidP="00F83077">
      <w:pPr>
        <w:spacing w:after="0"/>
        <w:sectPr w:rsidR="00DF17E9" w:rsidSect="003F5400">
          <w:type w:val="continuous"/>
          <w:pgSz w:w="11906" w:h="16838" w:code="9"/>
          <w:pgMar w:top="1140" w:right="1140" w:bottom="1140" w:left="1140" w:header="618" w:footer="561" w:gutter="0"/>
          <w:cols w:space="708"/>
          <w:docGrid w:linePitch="360"/>
        </w:sectPr>
      </w:pPr>
    </w:p>
    <w:p w:rsidR="00DF17E9" w:rsidRPr="00517601" w:rsidRDefault="00DF17E9" w:rsidP="00F83077">
      <w:pPr>
        <w:spacing w:after="60" w:line="259" w:lineRule="auto"/>
      </w:pPr>
      <w:r w:rsidRPr="003E569B">
        <w:rPr>
          <w:b/>
        </w:rPr>
        <w:lastRenderedPageBreak/>
        <w:t>Other operating expenses</w:t>
      </w:r>
      <w:r>
        <w:t xml:space="preserve"> generally represent the day-to-day running costs incurred in normal </w:t>
      </w:r>
      <w:r w:rsidRPr="00517601">
        <w:t>operations and includes:</w:t>
      </w:r>
    </w:p>
    <w:p w:rsidR="00DF17E9" w:rsidRPr="00517601" w:rsidRDefault="00DF17E9" w:rsidP="00F83077">
      <w:pPr>
        <w:numPr>
          <w:ilvl w:val="0"/>
          <w:numId w:val="15"/>
        </w:numPr>
        <w:spacing w:after="80" w:line="259" w:lineRule="auto"/>
      </w:pPr>
      <w:r w:rsidRPr="00517601">
        <w:t>supplies and services costs</w:t>
      </w:r>
      <w:r>
        <w:t>,</w:t>
      </w:r>
      <w:r w:rsidRPr="00517601">
        <w:t xml:space="preserve"> which are recognised as an expense in the reporting period in which they are incurred. The carrying amounts of any inventories held for distribution are expensed when distributed; and</w:t>
      </w:r>
    </w:p>
    <w:p w:rsidR="00DF17E9" w:rsidRPr="00517601" w:rsidRDefault="00DF17E9" w:rsidP="00F83077">
      <w:pPr>
        <w:numPr>
          <w:ilvl w:val="0"/>
          <w:numId w:val="15"/>
        </w:numPr>
        <w:spacing w:after="0" w:line="259" w:lineRule="auto"/>
        <w:ind w:left="357" w:hanging="357"/>
        <w:rPr>
          <w:rFonts w:ascii="Calibri" w:hAnsi="Calibri"/>
          <w:b/>
          <w:i/>
        </w:rPr>
      </w:pPr>
      <w:r w:rsidRPr="00517601">
        <w:t>bad and doubtful debts.</w:t>
      </w:r>
    </w:p>
    <w:p w:rsidR="00DF17E9" w:rsidRPr="00517601" w:rsidRDefault="00F83077" w:rsidP="00F83077">
      <w:pPr>
        <w:spacing w:line="259" w:lineRule="auto"/>
      </w:pPr>
      <w:r>
        <w:rPr>
          <w:b/>
        </w:rPr>
        <w:br w:type="column"/>
      </w:r>
      <w:r w:rsidR="00DF17E9" w:rsidRPr="000D6874">
        <w:rPr>
          <w:b/>
        </w:rPr>
        <w:lastRenderedPageBreak/>
        <w:t>A</w:t>
      </w:r>
      <w:r w:rsidR="00DF17E9" w:rsidRPr="00517601">
        <w:rPr>
          <w:b/>
        </w:rPr>
        <w:t>udit fees</w:t>
      </w:r>
      <w:r w:rsidR="00DF17E9" w:rsidRPr="00517601">
        <w:t xml:space="preserve"> of $</w:t>
      </w:r>
      <w:r w:rsidR="00DF17E9">
        <w:t>383 500</w:t>
      </w:r>
      <w:r w:rsidR="00DF17E9" w:rsidRPr="00517601">
        <w:t xml:space="preserve"> ($</w:t>
      </w:r>
      <w:r w:rsidR="00DF17E9">
        <w:t>374 000</w:t>
      </w:r>
      <w:r w:rsidR="00DF17E9" w:rsidRPr="00517601">
        <w:t xml:space="preserve"> in 2015) </w:t>
      </w:r>
      <w:r w:rsidR="00DF17E9">
        <w:t xml:space="preserve">were </w:t>
      </w:r>
      <w:r w:rsidR="00DF17E9" w:rsidRPr="00517601">
        <w:t>paid or</w:t>
      </w:r>
      <w:r w:rsidR="00DF17E9">
        <w:t xml:space="preserve"> payable to </w:t>
      </w:r>
      <w:r w:rsidR="00DF17E9" w:rsidRPr="00517601">
        <w:t>the Victorian Auditor-General’s Office for the audit of the Annual Financial Report of the State of Victoria.</w:t>
      </w:r>
      <w:r w:rsidR="00DF17E9">
        <w:t xml:space="preserve"> The Victorian Auditor-General’s Office provided no other services to the State other than the review of the Estimated Financial Statements and the financial audits of departments and agencies.</w:t>
      </w:r>
    </w:p>
    <w:p w:rsidR="00DF17E9" w:rsidRDefault="00DF17E9" w:rsidP="008B257F">
      <w:pPr>
        <w:pStyle w:val="Subheadingunderline"/>
        <w:pBdr>
          <w:bottom w:val="none" w:sz="0" w:space="0" w:color="auto"/>
        </w:pBdr>
        <w:rPr>
          <w:rFonts w:asciiTheme="minorHAnsi" w:hAnsiTheme="minorHAnsi"/>
          <w:b w:val="0"/>
        </w:rPr>
      </w:pPr>
      <w:r w:rsidRPr="008B257F">
        <w:rPr>
          <w:rFonts w:asciiTheme="minorHAnsi" w:hAnsiTheme="minorHAnsi"/>
        </w:rPr>
        <w:lastRenderedPageBreak/>
        <w:t>Operating lease payments</w:t>
      </w:r>
      <w:r w:rsidRPr="008B257F">
        <w:rPr>
          <w:rFonts w:asciiTheme="minorHAnsi" w:hAnsiTheme="minorHAnsi"/>
          <w:b w:val="0"/>
        </w:rPr>
        <w:t xml:space="preserve"> (including contingent rentals) are recognised on a straight line basis over the lease term, except where another systematic basis is more representative of the time pattern of the benefits derived from the use of the leased asset. The leased asset is not recognised in the balance sheet.</w:t>
      </w:r>
    </w:p>
    <w:p w:rsidR="00DF17E9" w:rsidRDefault="00DF17E9" w:rsidP="00031C5E">
      <w:r w:rsidRPr="00765227">
        <w:rPr>
          <w:b/>
          <w:spacing w:val="-2"/>
        </w:rPr>
        <w:t>Insurance claims expense</w:t>
      </w:r>
      <w:r w:rsidRPr="00765227">
        <w:t xml:space="preserve"> </w:t>
      </w:r>
      <w:r w:rsidRPr="008819C0">
        <w:t>includes claims incurred during the financial year and any costs associated with processing and resolving claims, net of reinsurance recoveries.</w:t>
      </w:r>
    </w:p>
    <w:p w:rsidR="00DF17E9" w:rsidRPr="00031C5E" w:rsidRDefault="00DF17E9" w:rsidP="003F5400"/>
    <w:p w:rsidR="00DF17E9" w:rsidRDefault="00DF17E9" w:rsidP="00442124"/>
    <w:p w:rsidR="00DF17E9" w:rsidRDefault="00DF17E9" w:rsidP="00442124">
      <w:pPr>
        <w:sectPr w:rsidR="00DF17E9" w:rsidSect="00442124">
          <w:footerReference w:type="even" r:id="rId109"/>
          <w:footerReference w:type="default" r:id="rId110"/>
          <w:type w:val="continuous"/>
          <w:pgSz w:w="11906" w:h="16838" w:code="9"/>
          <w:pgMar w:top="1134" w:right="1134" w:bottom="1134" w:left="1134" w:header="624" w:footer="567" w:gutter="0"/>
          <w:cols w:num="2" w:space="708"/>
          <w:docGrid w:linePitch="360"/>
        </w:sectPr>
      </w:pPr>
    </w:p>
    <w:p w:rsidR="00DF17E9" w:rsidRPr="00F01B06" w:rsidRDefault="00DF17E9" w:rsidP="00BA68A5">
      <w:pPr>
        <w:pStyle w:val="Heading2"/>
        <w:rPr>
          <w:bCs/>
          <w:lang w:val="en-US"/>
        </w:rPr>
      </w:pPr>
      <w:bookmarkStart w:id="33" w:name="_Toc459976046"/>
      <w:r w:rsidRPr="00F037A4">
        <w:lastRenderedPageBreak/>
        <w:t xml:space="preserve">Total operating expenses and purchases of non-financial assets by department </w:t>
      </w:r>
      <w:r w:rsidRPr="00514A4E">
        <w:rPr>
          <w:vertAlign w:val="superscript"/>
        </w:rPr>
        <w:t>(a)</w:t>
      </w:r>
      <w:bookmarkEnd w:id="33"/>
    </w:p>
    <w:p w:rsidR="00DF17E9" w:rsidRDefault="00DF17E9" w:rsidP="00F01B06">
      <w:pPr>
        <w:pStyle w:val="Heading2"/>
        <w:numPr>
          <w:ilvl w:val="0"/>
          <w:numId w:val="0"/>
        </w:numPr>
        <w:rPr>
          <w:rFonts w:asciiTheme="minorHAnsi" w:eastAsiaTheme="minorHAnsi" w:hAnsiTheme="minorHAnsi" w:cstheme="minorBidi"/>
          <w:b w:val="0"/>
          <w:sz w:val="22"/>
          <w:szCs w:val="22"/>
        </w:rPr>
        <w:sectPr w:rsidR="00DF17E9" w:rsidSect="003F5400">
          <w:footerReference w:type="even" r:id="rId111"/>
          <w:footerReference w:type="default" r:id="rId112"/>
          <w:pgSz w:w="11906" w:h="16838" w:code="9"/>
          <w:pgMar w:top="1140" w:right="1140" w:bottom="1140" w:left="1140" w:header="618" w:footer="561" w:gutter="0"/>
          <w:cols w:space="708"/>
          <w:docGrid w:linePitch="360"/>
        </w:sectPr>
      </w:pPr>
    </w:p>
    <w:p w:rsidR="00DF17E9" w:rsidRDefault="00DF17E9" w:rsidP="00F01B06">
      <w:pPr>
        <w:pStyle w:val="Heading2"/>
        <w:numPr>
          <w:ilvl w:val="0"/>
          <w:numId w:val="0"/>
        </w:numPr>
        <w:rPr>
          <w:rStyle w:val="Heading2Char"/>
        </w:rPr>
      </w:pPr>
      <w:r w:rsidRPr="00F01B06">
        <w:rPr>
          <w:rFonts w:asciiTheme="minorHAnsi" w:eastAsiaTheme="minorHAnsi" w:hAnsiTheme="minorHAnsi" w:cstheme="minorBidi"/>
          <w:b w:val="0"/>
          <w:sz w:val="22"/>
          <w:szCs w:val="22"/>
        </w:rPr>
        <w:lastRenderedPageBreak/>
        <w:t>The following table discloses the funds spent by each portfolio department, including operating expenditure and capital expenditure, as part of the department’s normal activities.</w:t>
      </w:r>
    </w:p>
    <w:p w:rsidR="00DF17E9" w:rsidRDefault="00DF17E9" w:rsidP="00F01B06">
      <w:pPr>
        <w:pStyle w:val="Heading2"/>
        <w:numPr>
          <w:ilvl w:val="0"/>
          <w:numId w:val="0"/>
        </w:numPr>
        <w:rPr>
          <w:rStyle w:val="Heading2Char"/>
        </w:rPr>
        <w:sectPr w:rsidR="00DF17E9" w:rsidSect="003D54E7">
          <w:type w:val="continuous"/>
          <w:pgSz w:w="11906" w:h="16838" w:code="9"/>
          <w:pgMar w:top="1140" w:right="1140" w:bottom="1140" w:left="1140" w:header="618" w:footer="561" w:gutter="0"/>
          <w:cols w:space="708"/>
          <w:docGrid w:linePitch="360"/>
        </w:sectPr>
      </w:pPr>
    </w:p>
    <w:p w:rsidR="00DF17E9" w:rsidRPr="007C7769" w:rsidRDefault="00DF17E9" w:rsidP="00044843">
      <w:pPr>
        <w:pStyle w:val="Subheading"/>
        <w:rPr>
          <w:bCs/>
          <w:sz w:val="24"/>
          <w:lang w:val="en-US"/>
        </w:rPr>
      </w:pPr>
      <w:r>
        <w:rPr>
          <w:rStyle w:val="Heading2Char"/>
        </w:rPr>
        <w:lastRenderedPageBreak/>
        <w:t xml:space="preserve"> </w:t>
      </w:r>
      <w:r w:rsidRPr="00A133D9">
        <w:rPr>
          <w:rStyle w:val="Heading2Char"/>
        </w:rPr>
        <w:tab/>
      </w:r>
      <w:r w:rsidRPr="00D170EA">
        <w:rPr>
          <w:rStyle w:val="TableUnitsChar"/>
        </w:rPr>
        <w:t>($ million)</w:t>
      </w: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AE50D6" w:rsidRPr="007C7769" w:rsidRDefault="00AE50D6" w:rsidP="00044843">
            <w:pPr>
              <w:spacing w:after="0"/>
              <w:ind w:left="0" w:firstLine="0"/>
              <w:jc w:val="right"/>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AE50D6" w:rsidRPr="007C7769" w:rsidRDefault="00AE50D6" w:rsidP="00AE50D6">
            <w:pPr>
              <w:spacing w:after="0"/>
              <w:jc w:val="center"/>
              <w:rPr>
                <w:color w:val="FFFFFF"/>
              </w:rPr>
            </w:pPr>
            <w:r w:rsidRPr="007C7769">
              <w:rPr>
                <w:color w:val="FFFFFF"/>
              </w:rPr>
              <w:t xml:space="preserve">Expenses from transactions </w:t>
            </w:r>
          </w:p>
        </w:tc>
        <w:tc>
          <w:tcPr>
            <w:tcW w:w="1814" w:type="dxa"/>
            <w:gridSpan w:val="2"/>
          </w:tcPr>
          <w:p w:rsidR="00AE50D6" w:rsidRPr="007C7769" w:rsidRDefault="00AE50D6" w:rsidP="00AE50D6">
            <w:pPr>
              <w:spacing w:after="0"/>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Purchases of </w:t>
            </w:r>
            <w:r>
              <w:rPr>
                <w:color w:val="FFFFFF"/>
              </w:rPr>
              <w:br/>
            </w:r>
            <w:r w:rsidRPr="007C7769">
              <w:rPr>
                <w:color w:val="FFFFFF"/>
              </w:rPr>
              <w:t xml:space="preserve">non-financial assets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0" w:firstLine="0"/>
              <w:rPr>
                <w:color w:val="FFFFFF"/>
              </w:rPr>
            </w:pPr>
            <w:r w:rsidRPr="007C7769">
              <w:rPr>
                <w:color w:val="FFFFFF"/>
              </w:rPr>
              <w:t xml:space="preserve"> State of Victoria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FFFFFF"/>
              </w:rPr>
            </w:pPr>
            <w:r w:rsidRPr="007C7769">
              <w:rPr>
                <w:color w:val="FFFFFF"/>
              </w:rPr>
              <w:t>2016</w:t>
            </w:r>
          </w:p>
        </w:tc>
        <w:tc>
          <w:tcPr>
            <w:tcW w:w="907" w:type="dxa"/>
          </w:tcPr>
          <w:p w:rsidR="00DF17E9" w:rsidRPr="007C7769"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FFFFFF"/>
              </w:rPr>
            </w:pPr>
            <w:r w:rsidRPr="007C7769">
              <w:rPr>
                <w:color w:val="FFFFFF"/>
              </w:rPr>
              <w:t>2016</w:t>
            </w:r>
          </w:p>
        </w:tc>
        <w:tc>
          <w:tcPr>
            <w:tcW w:w="907" w:type="dxa"/>
          </w:tcPr>
          <w:p w:rsidR="00DF17E9" w:rsidRPr="007C7769"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 xml:space="preserve">Economic Development, Jobs, Transport and Resources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12 485</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7 012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2 895</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1 486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15 066</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14 563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399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363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 xml:space="preserve">Environment, Land, Water and Planning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8 565</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8 265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1</w:t>
            </w:r>
            <w:r w:rsidRPr="007C7769">
              <w:t xml:space="preserve"> 501</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1 354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22 819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18 878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1 307</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1 071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5 881</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5 551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462</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638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393</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556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10</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25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15 070</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15 311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63</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102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Parliament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174</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167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19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22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Courts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495</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484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23</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 xml:space="preserve">Human Services </w:t>
            </w:r>
            <w:r w:rsidRPr="007C7769">
              <w:rPr>
                <w:color w:val="000000"/>
                <w:vertAlign w:val="superscript"/>
              </w:rPr>
              <w:t>(d)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2 433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125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spacing w:after="0"/>
              <w:ind w:left="113" w:hanging="113"/>
              <w:rPr>
                <w:color w:val="000000"/>
              </w:rPr>
            </w:pPr>
            <w:r w:rsidRPr="007C7769">
              <w:rPr>
                <w:color w:val="000000"/>
              </w:rPr>
              <w:t>Transport, Planning and Local Infrastructure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spacing w:after="0"/>
              <w:rPr>
                <w:color w:val="000000"/>
              </w:rPr>
            </w:pPr>
            <w:r w:rsidRPr="007C7769">
              <w:rPr>
                <w:color w:val="000000"/>
              </w:rPr>
              <w:t>..</w:t>
            </w:r>
          </w:p>
        </w:tc>
        <w:tc>
          <w:tcPr>
            <w:tcW w:w="907" w:type="dxa"/>
            <w:tcBorders>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5 212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spacing w:after="0"/>
              <w:rPr>
                <w:color w:val="000000"/>
              </w:rPr>
            </w:pPr>
            <w:r w:rsidRPr="007C7769">
              <w:rPr>
                <w:color w:val="000000"/>
              </w:rPr>
              <w:t>..</w:t>
            </w:r>
          </w:p>
        </w:tc>
        <w:tc>
          <w:tcPr>
            <w:tcW w:w="907" w:type="dxa"/>
            <w:tcBorders>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1 309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spacing w:after="0"/>
              <w:ind w:left="113" w:hanging="113"/>
              <w:rPr>
                <w:color w:val="000000"/>
              </w:rPr>
            </w:pPr>
            <w:r w:rsidRPr="007C7769">
              <w:rPr>
                <w:color w:val="000000"/>
              </w:rPr>
              <w:t xml:space="preserve">Regulatory bodies and other part budget funded agencies </w:t>
            </w:r>
            <w:r w:rsidRPr="007C7769">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rPr>
                <w:color w:val="000000"/>
              </w:rPr>
            </w:pPr>
            <w:r w:rsidRPr="007C7769">
              <w:rPr>
                <w:color w:val="000000"/>
              </w:rPr>
              <w:t>2 107</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1 966</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pPr>
            <w:r w:rsidRPr="007C7769">
              <w:rPr>
                <w:color w:val="000000"/>
              </w:rPr>
              <w:t>108</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200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nil"/>
            </w:tcBorders>
          </w:tcPr>
          <w:p w:rsidR="00DF17E9" w:rsidRPr="007C7769" w:rsidRDefault="00DF17E9" w:rsidP="00044843">
            <w:pPr>
              <w:spacing w:after="0"/>
              <w:ind w:left="113" w:hanging="113"/>
              <w:rPr>
                <w:color w:val="000000"/>
              </w:rPr>
            </w:pPr>
            <w:r w:rsidRPr="007C7769">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7C7769" w:rsidRDefault="00DF17E9" w:rsidP="00044843">
            <w:pPr>
              <w:spacing w:after="0"/>
              <w:rPr>
                <w:color w:val="000000"/>
              </w:rPr>
            </w:pPr>
            <w:r w:rsidRPr="007C7769">
              <w:rPr>
                <w:b/>
                <w:color w:val="000000"/>
              </w:rPr>
              <w:t>83 055</w:t>
            </w:r>
          </w:p>
        </w:tc>
        <w:tc>
          <w:tcPr>
            <w:tcW w:w="907" w:type="dxa"/>
            <w:tcBorders>
              <w:top w:val="single" w:sz="6" w:space="0" w:color="auto"/>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80 398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7C7769" w:rsidRDefault="00DF17E9" w:rsidP="00044843">
            <w:pPr>
              <w:spacing w:after="0"/>
              <w:rPr>
                <w:color w:val="000000"/>
              </w:rPr>
            </w:pPr>
            <w:r w:rsidRPr="007C7769">
              <w:rPr>
                <w:b/>
                <w:color w:val="000000"/>
              </w:rPr>
              <w:t>6 788</w:t>
            </w:r>
          </w:p>
        </w:tc>
        <w:tc>
          <w:tcPr>
            <w:tcW w:w="907" w:type="dxa"/>
            <w:tcBorders>
              <w:top w:val="single" w:sz="6" w:space="0" w:color="auto"/>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6 714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spacing w:after="0"/>
              <w:ind w:left="113" w:hanging="113"/>
              <w:rPr>
                <w:color w:val="000000"/>
              </w:rPr>
            </w:pPr>
            <w:r w:rsidRPr="007C7769">
              <w:rPr>
                <w:i/>
                <w:color w:val="000000"/>
              </w:rPr>
              <w:t xml:space="preserve">Less eliminations and adjustments </w:t>
            </w:r>
            <w:r w:rsidRPr="007C7769">
              <w:rPr>
                <w:i/>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pPr>
            <w:r w:rsidRPr="007C7769">
              <w:rPr>
                <w:color w:val="000000"/>
              </w:rPr>
              <w:t>(20 042)</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(18 733)</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pPr>
            <w:r w:rsidRPr="007C7769">
              <w:rPr>
                <w:color w:val="000000"/>
              </w:rPr>
              <w:t>48</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(123)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spacing w:after="0"/>
              <w:ind w:left="113" w:hanging="113"/>
              <w:rPr>
                <w:color w:val="000000"/>
              </w:rPr>
            </w:pPr>
            <w:r w:rsidRPr="007C7769">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spacing w:after="0"/>
              <w:rPr>
                <w:color w:val="000000"/>
              </w:rPr>
            </w:pPr>
            <w:r w:rsidRPr="007C7769">
              <w:rPr>
                <w:b/>
                <w:color w:val="000000"/>
              </w:rPr>
              <w:t>63 012</w:t>
            </w:r>
          </w:p>
        </w:tc>
        <w:tc>
          <w:tcPr>
            <w:tcW w:w="907" w:type="dxa"/>
            <w:tcBorders>
              <w:top w:val="single" w:sz="6" w:space="0" w:color="auto"/>
              <w:bottom w:val="single" w:sz="12"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61 665</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spacing w:after="0"/>
              <w:rPr>
                <w:color w:val="000000"/>
              </w:rPr>
            </w:pPr>
            <w:r w:rsidRPr="007C7769">
              <w:rPr>
                <w:b/>
                <w:color w:val="000000"/>
              </w:rPr>
              <w:t>6 836</w:t>
            </w:r>
          </w:p>
        </w:tc>
        <w:tc>
          <w:tcPr>
            <w:tcW w:w="907" w:type="dxa"/>
            <w:tcBorders>
              <w:top w:val="single" w:sz="6" w:space="0" w:color="auto"/>
              <w:bottom w:val="single" w:sz="12"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6 591</w:t>
            </w:r>
          </w:p>
        </w:tc>
      </w:tr>
    </w:tbl>
    <w:p w:rsidR="00DF17E9" w:rsidRPr="007C7769" w:rsidRDefault="00DF17E9" w:rsidP="00514A4E">
      <w:pPr>
        <w:pStyle w:val="Note"/>
        <w:rPr>
          <w:b/>
          <w:bCs/>
          <w:i w:val="0"/>
          <w:color w:val="000000"/>
          <w:spacing w:val="4"/>
          <w:sz w:val="17"/>
          <w:lang w:val="en-US"/>
        </w:rPr>
      </w:pP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0" w:firstLine="0"/>
              <w:rPr>
                <w:color w:val="FFFFFF"/>
              </w:rPr>
            </w:pPr>
            <w:r w:rsidRPr="007C7769">
              <w:rPr>
                <w:color w:val="FFFFFF"/>
              </w:rPr>
              <w:t>General government sector</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FFFFFF"/>
              </w:rPr>
            </w:pPr>
            <w:r w:rsidRPr="007C7769">
              <w:rPr>
                <w:color w:val="FFFFFF"/>
              </w:rPr>
              <w:t xml:space="preserve"> </w:t>
            </w:r>
          </w:p>
        </w:tc>
        <w:tc>
          <w:tcPr>
            <w:tcW w:w="907" w:type="dxa"/>
          </w:tcPr>
          <w:p w:rsidR="00DF17E9" w:rsidRPr="007C7769"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FFFFFF"/>
              </w:rPr>
            </w:pPr>
            <w:r w:rsidRPr="007C7769">
              <w:rPr>
                <w:color w:val="FFFFFF"/>
              </w:rPr>
              <w:t xml:space="preserve"> </w:t>
            </w:r>
          </w:p>
        </w:tc>
        <w:tc>
          <w:tcPr>
            <w:tcW w:w="907" w:type="dxa"/>
          </w:tcPr>
          <w:p w:rsidR="00DF17E9" w:rsidRPr="007C7769"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 xml:space="preserve">Economic Development, Jobs, Transport and Resources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8 142</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4 723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2 256</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1 175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15 066</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14 563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399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363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 xml:space="preserve">Environment, Land, Water and Planning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2 628</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2 734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75</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144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21 672</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18 234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1 016</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949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5 712</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5 388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459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637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374</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538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23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6 680</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7 036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28</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31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Parliament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174</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167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19</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22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Courts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495</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484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pPr>
            <w:r w:rsidRPr="007C7769">
              <w:rPr>
                <w:color w:val="000000"/>
              </w:rPr>
              <w:t>23</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7769" w:rsidRDefault="00DF17E9" w:rsidP="00044843">
            <w:pPr>
              <w:spacing w:after="0"/>
              <w:ind w:left="113" w:hanging="113"/>
              <w:rPr>
                <w:color w:val="000000"/>
              </w:rPr>
            </w:pPr>
            <w:r w:rsidRPr="007C7769">
              <w:rPr>
                <w:color w:val="000000"/>
              </w:rPr>
              <w:t>Human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1 923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7769" w:rsidRDefault="00DF17E9" w:rsidP="00044843">
            <w:pPr>
              <w:spacing w:after="0"/>
              <w:rPr>
                <w:color w:val="000000"/>
              </w:rPr>
            </w:pPr>
            <w:r w:rsidRPr="007C7769">
              <w:rPr>
                <w:color w:val="000000"/>
              </w:rPr>
              <w:t>..</w:t>
            </w:r>
          </w:p>
        </w:tc>
        <w:tc>
          <w:tcPr>
            <w:tcW w:w="907" w:type="dxa"/>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7769" w:rsidRDefault="00DF17E9" w:rsidP="00044843">
            <w:pPr>
              <w:spacing w:after="0"/>
              <w:ind w:left="113" w:hanging="113"/>
              <w:rPr>
                <w:color w:val="000000"/>
              </w:rPr>
            </w:pPr>
            <w:r w:rsidRPr="007C7769">
              <w:rPr>
                <w:color w:val="000000"/>
              </w:rPr>
              <w:t>Transport, Planning and Local Infrastructure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spacing w:after="0"/>
              <w:rPr>
                <w:color w:val="000000"/>
              </w:rPr>
            </w:pPr>
            <w:r w:rsidRPr="007C7769">
              <w:rPr>
                <w:color w:val="000000"/>
              </w:rPr>
              <w:t>..</w:t>
            </w:r>
          </w:p>
        </w:tc>
        <w:tc>
          <w:tcPr>
            <w:tcW w:w="907" w:type="dxa"/>
            <w:tcBorders>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3 457</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7769" w:rsidRDefault="00DF17E9" w:rsidP="00044843">
            <w:pPr>
              <w:spacing w:after="0"/>
              <w:rPr>
                <w:color w:val="000000"/>
              </w:rPr>
            </w:pPr>
            <w:r w:rsidRPr="007C7769">
              <w:rPr>
                <w:color w:val="000000"/>
              </w:rPr>
              <w:t>..</w:t>
            </w:r>
          </w:p>
        </w:tc>
        <w:tc>
          <w:tcPr>
            <w:tcW w:w="907" w:type="dxa"/>
            <w:tcBorders>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893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spacing w:after="0"/>
              <w:ind w:left="113" w:hanging="113"/>
              <w:rPr>
                <w:color w:val="000000"/>
              </w:rPr>
            </w:pPr>
            <w:r w:rsidRPr="007C7769">
              <w:rPr>
                <w:color w:val="000000"/>
              </w:rPr>
              <w:t xml:space="preserve">Regulatory bodies and other part budget funded agencies </w:t>
            </w:r>
            <w:r w:rsidRPr="007C7769">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rPr>
                <w:color w:val="000000"/>
              </w:rPr>
            </w:pPr>
            <w:r w:rsidRPr="007C7769">
              <w:rPr>
                <w:color w:val="000000"/>
              </w:rPr>
              <w:t>2 107</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1 966</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pPr>
            <w:r w:rsidRPr="007C7769">
              <w:rPr>
                <w:color w:val="000000"/>
              </w:rPr>
              <w:t>108</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200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nil"/>
            </w:tcBorders>
          </w:tcPr>
          <w:p w:rsidR="00DF17E9" w:rsidRPr="007C7769" w:rsidRDefault="00DF17E9" w:rsidP="00044843">
            <w:pPr>
              <w:spacing w:after="0"/>
              <w:ind w:left="113" w:hanging="113"/>
              <w:rPr>
                <w:color w:val="000000"/>
              </w:rPr>
            </w:pPr>
            <w:r w:rsidRPr="007C7769">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7C7769" w:rsidRDefault="00DF17E9" w:rsidP="00044843">
            <w:pPr>
              <w:spacing w:after="0"/>
              <w:rPr>
                <w:color w:val="000000"/>
              </w:rPr>
            </w:pPr>
            <w:r w:rsidRPr="007C7769">
              <w:rPr>
                <w:b/>
                <w:color w:val="000000"/>
              </w:rPr>
              <w:t>63 051</w:t>
            </w:r>
          </w:p>
        </w:tc>
        <w:tc>
          <w:tcPr>
            <w:tcW w:w="907" w:type="dxa"/>
            <w:tcBorders>
              <w:top w:val="single" w:sz="6" w:space="0" w:color="auto"/>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61 214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7C7769" w:rsidRDefault="00DF17E9" w:rsidP="00044843">
            <w:pPr>
              <w:spacing w:after="0"/>
              <w:rPr>
                <w:color w:val="000000"/>
              </w:rPr>
            </w:pPr>
            <w:r w:rsidRPr="007C7769">
              <w:rPr>
                <w:b/>
                <w:color w:val="000000"/>
              </w:rPr>
              <w:t>4 393</w:t>
            </w:r>
          </w:p>
        </w:tc>
        <w:tc>
          <w:tcPr>
            <w:tcW w:w="907" w:type="dxa"/>
            <w:tcBorders>
              <w:top w:val="single" w:sz="6" w:space="0" w:color="auto"/>
              <w:bottom w:val="nil"/>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4 474</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7769" w:rsidRDefault="00DF17E9" w:rsidP="00044843">
            <w:pPr>
              <w:spacing w:after="0"/>
              <w:ind w:left="113" w:hanging="113"/>
              <w:rPr>
                <w:color w:val="000000"/>
              </w:rPr>
            </w:pPr>
            <w:r w:rsidRPr="007C7769">
              <w:rPr>
                <w:i/>
                <w:color w:val="000000"/>
              </w:rPr>
              <w:t xml:space="preserve">Less eliminations and adjustments </w:t>
            </w:r>
            <w:r w:rsidRPr="007C7769">
              <w:rPr>
                <w:i/>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pPr>
            <w:r w:rsidRPr="007C7769">
              <w:rPr>
                <w:color w:val="000000"/>
              </w:rPr>
              <w:t>(8 999)</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(8 656)</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7769" w:rsidRDefault="00DF17E9" w:rsidP="00044843">
            <w:pPr>
              <w:spacing w:after="0"/>
            </w:pPr>
            <w:r w:rsidRPr="007C7769">
              <w:rPr>
                <w:color w:val="000000"/>
              </w:rPr>
              <w:t>26</w:t>
            </w:r>
          </w:p>
        </w:tc>
        <w:tc>
          <w:tcPr>
            <w:tcW w:w="907" w:type="dxa"/>
            <w:tcBorders>
              <w:bottom w:val="single" w:sz="6"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7C7769">
              <w:rPr>
                <w:color w:val="000000"/>
              </w:rPr>
              <w:t>(105)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7769" w:rsidRDefault="00DF17E9" w:rsidP="00044843">
            <w:pPr>
              <w:spacing w:after="0"/>
              <w:ind w:left="113" w:hanging="113"/>
              <w:rPr>
                <w:color w:val="000000"/>
              </w:rPr>
            </w:pPr>
            <w:r w:rsidRPr="007C7769">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spacing w:after="0"/>
              <w:rPr>
                <w:color w:val="000000"/>
              </w:rPr>
            </w:pPr>
            <w:r w:rsidRPr="007C7769">
              <w:rPr>
                <w:b/>
                <w:color w:val="000000"/>
              </w:rPr>
              <w:t>54 052</w:t>
            </w:r>
          </w:p>
        </w:tc>
        <w:tc>
          <w:tcPr>
            <w:tcW w:w="907" w:type="dxa"/>
            <w:tcBorders>
              <w:top w:val="single" w:sz="6" w:space="0" w:color="auto"/>
              <w:bottom w:val="single" w:sz="12"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52 558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7769" w:rsidRDefault="00DF17E9" w:rsidP="00044843">
            <w:pPr>
              <w:spacing w:after="0"/>
              <w:rPr>
                <w:color w:val="000000"/>
              </w:rPr>
            </w:pPr>
            <w:r w:rsidRPr="007C7769">
              <w:rPr>
                <w:b/>
                <w:color w:val="000000"/>
              </w:rPr>
              <w:t>4 420</w:t>
            </w:r>
          </w:p>
        </w:tc>
        <w:tc>
          <w:tcPr>
            <w:tcW w:w="907" w:type="dxa"/>
            <w:tcBorders>
              <w:top w:val="single" w:sz="6" w:space="0" w:color="auto"/>
              <w:bottom w:val="single" w:sz="12" w:space="0" w:color="auto"/>
            </w:tcBorders>
          </w:tcPr>
          <w:p w:rsidR="00DF17E9" w:rsidRPr="007C7769"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4 369</w:t>
            </w:r>
          </w:p>
        </w:tc>
      </w:tr>
    </w:tbl>
    <w:p w:rsidR="00DF17E9" w:rsidRPr="0064203B" w:rsidRDefault="00DF17E9" w:rsidP="00514A4E">
      <w:pPr>
        <w:pStyle w:val="Note"/>
      </w:pPr>
      <w:r w:rsidRPr="0064203B">
        <w:t>Notes:</w:t>
      </w:r>
    </w:p>
    <w:p w:rsidR="00DF17E9" w:rsidRPr="0064203B" w:rsidRDefault="00DF17E9" w:rsidP="0064203B">
      <w:pPr>
        <w:pStyle w:val="Note"/>
      </w:pPr>
      <w:r>
        <w:t>(a)</w:t>
      </w:r>
      <w:r>
        <w:tab/>
      </w:r>
      <w:r w:rsidRPr="0064203B">
        <w:t xml:space="preserve">Effective 1 January 2015 several departments were renamed </w:t>
      </w:r>
      <w:r>
        <w:t xml:space="preserve">or abolished </w:t>
      </w:r>
      <w:r w:rsidRPr="0064203B">
        <w:t>due to machinery of government changes:</w:t>
      </w:r>
    </w:p>
    <w:p w:rsidR="00DF17E9" w:rsidRPr="0064203B" w:rsidRDefault="00DF17E9" w:rsidP="00FC400E">
      <w:pPr>
        <w:pStyle w:val="NoteDash"/>
        <w:ind w:left="720" w:hanging="323"/>
      </w:pPr>
      <w:r w:rsidRPr="0064203B">
        <w:t>the Department of Education and Early Childhood Development was renamed the Department of Education and Training;</w:t>
      </w:r>
    </w:p>
    <w:p w:rsidR="00DF17E9" w:rsidRPr="0064203B" w:rsidRDefault="00DF17E9" w:rsidP="00FC400E">
      <w:pPr>
        <w:pStyle w:val="NoteDash"/>
        <w:ind w:left="720" w:hanging="323"/>
      </w:pPr>
      <w:r w:rsidRPr="0064203B">
        <w:t>the Department of Environment and Primary Industries was renamed the Department of Environment, Land, Water and Planning;</w:t>
      </w:r>
    </w:p>
    <w:p w:rsidR="00DF17E9" w:rsidRPr="0064203B" w:rsidRDefault="00DF17E9" w:rsidP="00FC400E">
      <w:pPr>
        <w:pStyle w:val="NoteDash"/>
        <w:ind w:left="720" w:hanging="323"/>
      </w:pPr>
      <w:r w:rsidRPr="0064203B">
        <w:t>the Department of Health was renamed the Department of Health and Human Services;</w:t>
      </w:r>
    </w:p>
    <w:p w:rsidR="00DF17E9" w:rsidRPr="0064203B" w:rsidRDefault="00DF17E9" w:rsidP="00FC400E">
      <w:pPr>
        <w:pStyle w:val="NoteDash"/>
        <w:ind w:left="720" w:hanging="323"/>
      </w:pPr>
      <w:r w:rsidRPr="0064203B">
        <w:t>the Department of Justice was renamed the Department of Justice and Regulation;</w:t>
      </w:r>
    </w:p>
    <w:p w:rsidR="00DF17E9" w:rsidRPr="0064203B" w:rsidRDefault="00DF17E9" w:rsidP="00FC400E">
      <w:pPr>
        <w:pStyle w:val="NoteDash"/>
        <w:ind w:left="720" w:hanging="323"/>
      </w:pPr>
      <w:r w:rsidRPr="0064203B">
        <w:t>the Department of State Development, Business and Innovation was renamed the Department of Economic Development, Jobs,</w:t>
      </w:r>
      <w:r>
        <w:t xml:space="preserve"> </w:t>
      </w:r>
      <w:r w:rsidRPr="0064203B">
        <w:t>Transport and Resources;</w:t>
      </w:r>
    </w:p>
    <w:p w:rsidR="00DF17E9" w:rsidRPr="0064203B" w:rsidRDefault="00DF17E9" w:rsidP="00FC400E">
      <w:pPr>
        <w:pStyle w:val="NoteDash"/>
        <w:ind w:left="720" w:hanging="323"/>
      </w:pPr>
      <w:r w:rsidRPr="0064203B">
        <w:t>the Department of Human Services was abolished; and</w:t>
      </w:r>
    </w:p>
    <w:p w:rsidR="00DF17E9" w:rsidRPr="0064203B" w:rsidRDefault="00DF17E9" w:rsidP="00FC400E">
      <w:pPr>
        <w:pStyle w:val="NoteDash"/>
        <w:ind w:left="720" w:hanging="323"/>
      </w:pPr>
      <w:r w:rsidRPr="0064203B">
        <w:t>the Department of Transport, Planning and Local Infrastructure was abolished.</w:t>
      </w:r>
    </w:p>
    <w:p w:rsidR="00DF17E9" w:rsidRPr="0064203B" w:rsidRDefault="00DF17E9" w:rsidP="0064203B">
      <w:pPr>
        <w:pStyle w:val="Note"/>
      </w:pPr>
      <w:r>
        <w:tab/>
      </w:r>
      <w:r w:rsidRPr="0064203B">
        <w:t>The two abolished departments had their functions and operations transferred to other Victorian government departments</w:t>
      </w:r>
      <w:r>
        <w:t>. Accordingly, care needs to be taken in interpreting the figures in this table</w:t>
      </w:r>
      <w:r w:rsidRPr="0064203B">
        <w:t>. Functions and</w:t>
      </w:r>
      <w:r>
        <w:t xml:space="preserve"> </w:t>
      </w:r>
      <w:r w:rsidRPr="0064203B">
        <w:t>operations of the Department of Human Services were transferred to the Department of Health and Human Services and to the Department</w:t>
      </w:r>
      <w:r>
        <w:t xml:space="preserve"> </w:t>
      </w:r>
      <w:r w:rsidRPr="0064203B">
        <w:t>of Premier and Cabinet. Functions and operations of the Department of Transport, Planning and Local Infrastructure were transferred to the</w:t>
      </w:r>
      <w:r>
        <w:t xml:space="preserve"> </w:t>
      </w:r>
      <w:r w:rsidRPr="0064203B">
        <w:t>Department of Environment, Land, Water and Planning, the Department of Health and Humans Services and to the Department of Economic</w:t>
      </w:r>
      <w:r>
        <w:t xml:space="preserve"> </w:t>
      </w:r>
      <w:r w:rsidRPr="0064203B">
        <w:t>Development, Jobs, Transport and Resources. Certain functions and operations of continuing Victorian government departments were also</w:t>
      </w:r>
      <w:r>
        <w:t xml:space="preserve"> </w:t>
      </w:r>
      <w:r w:rsidRPr="0064203B">
        <w:t>transferred amon</w:t>
      </w:r>
      <w:r>
        <w:t>g</w:t>
      </w:r>
      <w:r w:rsidRPr="0064203B">
        <w:t xml:space="preserve"> departments as part of the machinery of government changes. Controlled entities which have been transferred as part</w:t>
      </w:r>
      <w:r>
        <w:t xml:space="preserve"> </w:t>
      </w:r>
      <w:r w:rsidRPr="0064203B">
        <w:t>of the machinery of government changes are listed under their new portfolio departments.</w:t>
      </w:r>
    </w:p>
    <w:p w:rsidR="00DF17E9" w:rsidRPr="0064203B" w:rsidRDefault="00DF17E9" w:rsidP="0064203B">
      <w:pPr>
        <w:pStyle w:val="Note"/>
      </w:pPr>
      <w:r>
        <w:t>(b)</w:t>
      </w:r>
      <w:r>
        <w:tab/>
      </w:r>
      <w:r w:rsidRPr="0064203B">
        <w:t>Other general government sector agencies not allocated to departmental portfolios.</w:t>
      </w:r>
    </w:p>
    <w:p w:rsidR="00DF17E9" w:rsidRDefault="00DF17E9" w:rsidP="00FC45A8">
      <w:pPr>
        <w:pStyle w:val="Note"/>
      </w:pPr>
      <w:r>
        <w:t>(c)</w:t>
      </w:r>
      <w:r>
        <w:tab/>
      </w:r>
      <w:r w:rsidRPr="0064203B">
        <w:t>Mainly comprising of payroll tax, capital asset charge and inter-departmental transfers.</w:t>
      </w:r>
    </w:p>
    <w:p w:rsidR="00DF17E9" w:rsidRDefault="00DF17E9" w:rsidP="00CF7704">
      <w:pPr>
        <w:pStyle w:val="Note"/>
        <w:sectPr w:rsidR="00DF17E9" w:rsidSect="00F01B06">
          <w:type w:val="continuous"/>
          <w:pgSz w:w="11906" w:h="16838" w:code="9"/>
          <w:pgMar w:top="1140" w:right="1140" w:bottom="1140" w:left="1140" w:header="618" w:footer="561" w:gutter="0"/>
          <w:cols w:space="708"/>
          <w:docGrid w:linePitch="360"/>
        </w:sectPr>
      </w:pPr>
      <w:r>
        <w:t>(d)</w:t>
      </w:r>
      <w:r>
        <w:tab/>
      </w:r>
      <w:r w:rsidRPr="00CF7704">
        <w:t>June 2015 comparative figures</w:t>
      </w:r>
      <w:r>
        <w:t xml:space="preserve"> for purchases of non-financial assets</w:t>
      </w:r>
      <w:r w:rsidRPr="00CF7704">
        <w:t xml:space="preserve"> have been restated to </w:t>
      </w:r>
      <w:r>
        <w:t xml:space="preserve">finalise the allocation of equity balances between contributed capital and accumulated funds related to prior year </w:t>
      </w:r>
      <w:r w:rsidRPr="00CF7704">
        <w:t>machinery of government changes.</w:t>
      </w:r>
    </w:p>
    <w:p w:rsidR="00DF17E9" w:rsidRPr="00971589" w:rsidRDefault="00DF17E9" w:rsidP="00A12DB6">
      <w:pPr>
        <w:pStyle w:val="Heading2"/>
        <w:spacing w:before="0"/>
        <w:ind w:left="578" w:hanging="578"/>
      </w:pPr>
      <w:bookmarkStart w:id="34" w:name="_Toc459976047"/>
      <w:r w:rsidRPr="00971589">
        <w:lastRenderedPageBreak/>
        <w:t>Government purpose classification</w:t>
      </w:r>
      <w:r>
        <w:t xml:space="preserve"> disclosure</w:t>
      </w:r>
      <w:bookmarkEnd w:id="34"/>
    </w:p>
    <w:p w:rsidR="00DF17E9" w:rsidRDefault="00DF17E9" w:rsidP="00373D05">
      <w:r w:rsidRPr="001C4B9A">
        <w:t>The Government purpose classification (</w:t>
      </w:r>
      <w:r w:rsidRPr="001C4B9A">
        <w:rPr>
          <w:b/>
        </w:rPr>
        <w:t>GPC</w:t>
      </w:r>
      <w:r w:rsidRPr="001C4B9A">
        <w:t>)</w:t>
      </w:r>
      <w:r>
        <w:t xml:space="preserve"> framework disclosures required under AASB 1049 classify expenses, acquisition of non-</w:t>
      </w:r>
      <w:r w:rsidRPr="001C4B9A">
        <w:t>financial assets of the public sector and total assets of the State and general government sector in terms of their purposes.</w:t>
      </w:r>
    </w:p>
    <w:p w:rsidR="00DF17E9" w:rsidRDefault="00DF17E9" w:rsidP="00373D05">
      <w:r>
        <w:t xml:space="preserve">This information is presented to facilitate improved inter-jurisdictional comparison of the financial operations of public sector jurisdictions. </w:t>
      </w:r>
    </w:p>
    <w:p w:rsidR="00DF17E9" w:rsidRDefault="00DF17E9" w:rsidP="00A30937">
      <w:r>
        <w:t xml:space="preserve">The major groups reflect the broad objectives of government and the groups and subgroups detail the means by which these broad objectives are achieved. </w:t>
      </w:r>
    </w:p>
    <w:p w:rsidR="00DF17E9" w:rsidRDefault="00DF17E9" w:rsidP="00B02584">
      <w:r w:rsidRPr="001C4B9A">
        <w:rPr>
          <w:b/>
        </w:rPr>
        <w:t>General public services:</w:t>
      </w:r>
      <w:r>
        <w:t xml:space="preserve"> Includes legislative and executive affairs, financial and fiscal affairs, external affairs, foreign economic aid, general research, general economic and social services, general statistical services and government superannuation benefits.</w:t>
      </w:r>
    </w:p>
    <w:p w:rsidR="00DF17E9" w:rsidRDefault="00DF17E9" w:rsidP="00B02584">
      <w:r w:rsidRPr="001C4B9A">
        <w:rPr>
          <w:b/>
        </w:rPr>
        <w:t>Public order and safety:</w:t>
      </w:r>
      <w:r>
        <w:t xml:space="preserve"> Includes police and fire protection services, law courts and legal services, prisons and corrective services and control of domestic animals and livestock.</w:t>
      </w:r>
    </w:p>
    <w:p w:rsidR="00DF17E9" w:rsidRDefault="00DF17E9" w:rsidP="008976C2">
      <w:r w:rsidRPr="001C4B9A">
        <w:rPr>
          <w:b/>
        </w:rPr>
        <w:t>Education:</w:t>
      </w:r>
      <w:r>
        <w:t xml:space="preserve"> Includes primary and secondary education, university and other higher education, technical and further education, preschool and special education and transportation of students.</w:t>
      </w:r>
    </w:p>
    <w:p w:rsidR="00DF17E9" w:rsidRDefault="00DF17E9" w:rsidP="00B02584">
      <w:r w:rsidRPr="001C4B9A">
        <w:rPr>
          <w:b/>
        </w:rPr>
        <w:t>Health:</w:t>
      </w:r>
      <w:r>
        <w:t xml:space="preserve"> Includes general hospitals, repatriation hospitals, mental health institutions, nursing homes, special hospitals, hospital benefits, medical clinics and practitioners, dental clinics and practitioners, maternal and infant health, ambulance services, medical benefits, school and other public health services, pharmaceuticals, medical aids and appliances and health research.</w:t>
      </w:r>
    </w:p>
    <w:p w:rsidR="00DF17E9" w:rsidRDefault="00A12DB6" w:rsidP="008976C2">
      <w:r>
        <w:rPr>
          <w:b/>
        </w:rPr>
        <w:br w:type="column"/>
      </w:r>
      <w:r w:rsidR="00DF17E9" w:rsidRPr="001C4B9A">
        <w:rPr>
          <w:b/>
        </w:rPr>
        <w:lastRenderedPageBreak/>
        <w:t>Social security and welfare:</w:t>
      </w:r>
      <w:r w:rsidR="00DF17E9">
        <w:t xml:space="preserve"> Includes sickness benefits, benefits to ex-servicemen and their dependants, invalid and other permanent disablement benefits, old-age benefits, widows, deserted wives, divorcee and orphan benefits, unemployment benefits, family and child benefits, sole parent benefits, family and child welfare and aged and handicapped welfare.</w:t>
      </w:r>
    </w:p>
    <w:p w:rsidR="00DF17E9" w:rsidRDefault="00DF17E9" w:rsidP="008976C2">
      <w:r w:rsidRPr="001C4B9A">
        <w:rPr>
          <w:b/>
        </w:rPr>
        <w:t>Housing and community amenities:</w:t>
      </w:r>
      <w:r>
        <w:t xml:space="preserve"> Includes housing and community development, water supply, household garbage and other sanitation, sewerage, urban stormwater drainage, protection of the environment and street lighting.</w:t>
      </w:r>
    </w:p>
    <w:p w:rsidR="00DF17E9" w:rsidRDefault="00DF17E9" w:rsidP="008976C2">
      <w:r w:rsidRPr="001C4B9A">
        <w:rPr>
          <w:b/>
        </w:rPr>
        <w:t>Recreation and culture:</w:t>
      </w:r>
      <w:r>
        <w:t xml:space="preserve"> Includes public halls and civic centres, swimming pools and beaches, national parks and wildlife, libraries, creative and performing arts, museums, art galleries, broadcasting and film production.</w:t>
      </w:r>
    </w:p>
    <w:p w:rsidR="00DF17E9" w:rsidRDefault="00DF17E9" w:rsidP="008976C2">
      <w:r w:rsidRPr="001C4B9A">
        <w:rPr>
          <w:b/>
        </w:rPr>
        <w:t>Fuel and energy:</w:t>
      </w:r>
      <w:r>
        <w:t xml:space="preserve"> Includes coal, petroleum, gas, nuclear affairs and electricity.</w:t>
      </w:r>
    </w:p>
    <w:p w:rsidR="00DF17E9" w:rsidRDefault="00DF17E9" w:rsidP="008976C2">
      <w:r w:rsidRPr="001C4B9A">
        <w:rPr>
          <w:b/>
        </w:rPr>
        <w:t>Agriculture, forestry, fishing and hunting:</w:t>
      </w:r>
      <w:r>
        <w:t xml:space="preserve"> Includes agricultural land management, agricultural water resources management, agricultural support schemes, agricultural research and extension services, forestry, fishing and hunting.</w:t>
      </w:r>
    </w:p>
    <w:p w:rsidR="00DF17E9" w:rsidRDefault="00DF17E9" w:rsidP="008976C2">
      <w:r w:rsidRPr="001C4B9A">
        <w:rPr>
          <w:b/>
        </w:rPr>
        <w:t>Transport and communications:</w:t>
      </w:r>
      <w:r>
        <w:t xml:space="preserve"> Includes road construction, road maintenance, parking, water transport, rail transport, air transport, pipelines, multi</w:t>
      </w:r>
      <w:r>
        <w:noBreakHyphen/>
        <w:t>mode urban transit systems and communications.</w:t>
      </w:r>
    </w:p>
    <w:p w:rsidR="00DF17E9" w:rsidRDefault="00DF17E9" w:rsidP="008976C2">
      <w:r w:rsidRPr="001C4B9A">
        <w:rPr>
          <w:b/>
        </w:rPr>
        <w:t xml:space="preserve">Other economic affairs: </w:t>
      </w:r>
      <w:r>
        <w:t>Includes storage, saleyards, markets, tourism and area promotion and labour and employment affairs.</w:t>
      </w:r>
    </w:p>
    <w:p w:rsidR="00DF17E9" w:rsidRDefault="00DF17E9" w:rsidP="008976C2">
      <w:r w:rsidRPr="001C4B9A">
        <w:rPr>
          <w:b/>
        </w:rPr>
        <w:t>Other purposes:</w:t>
      </w:r>
      <w:r>
        <w:t xml:space="preserve"> Includes public debt transactions, general purpose inter government transactions and natural disaster relief.</w:t>
      </w:r>
    </w:p>
    <w:p w:rsidR="00DF17E9" w:rsidRDefault="00DF17E9" w:rsidP="008976C2"/>
    <w:p w:rsidR="00DF17E9" w:rsidRDefault="00DF17E9" w:rsidP="008976C2">
      <w:pPr>
        <w:sectPr w:rsidR="00DF17E9" w:rsidSect="003F5400">
          <w:pgSz w:w="11906" w:h="16838" w:code="9"/>
          <w:pgMar w:top="1134" w:right="1134" w:bottom="1134" w:left="1134" w:header="624" w:footer="567" w:gutter="0"/>
          <w:cols w:num="2" w:space="708"/>
          <w:docGrid w:linePitch="360"/>
        </w:sectPr>
      </w:pPr>
    </w:p>
    <w:p w:rsidR="00A12DB6" w:rsidRDefault="00A12DB6">
      <w:pPr>
        <w:rPr>
          <w:rFonts w:asciiTheme="majorHAnsi" w:hAnsiTheme="majorHAnsi"/>
          <w:b/>
          <w:spacing w:val="-2"/>
        </w:rPr>
      </w:pPr>
      <w:r>
        <w:lastRenderedPageBreak/>
        <w:br w:type="page"/>
      </w:r>
    </w:p>
    <w:p w:rsidR="00A12DB6" w:rsidRDefault="00A12DB6" w:rsidP="002A5B6B">
      <w:pPr>
        <w:pStyle w:val="Subheading"/>
        <w:sectPr w:rsidR="00A12DB6" w:rsidSect="00F01B06">
          <w:headerReference w:type="even" r:id="rId113"/>
          <w:headerReference w:type="default" r:id="rId114"/>
          <w:footerReference w:type="even" r:id="rId115"/>
          <w:footerReference w:type="default" r:id="rId116"/>
          <w:type w:val="continuous"/>
          <w:pgSz w:w="11906" w:h="16838" w:code="9"/>
          <w:pgMar w:top="1134" w:right="1134" w:bottom="1134" w:left="1134" w:header="624" w:footer="567" w:gutter="0"/>
          <w:cols w:num="2" w:space="708"/>
          <w:docGrid w:linePitch="360"/>
        </w:sectPr>
      </w:pPr>
    </w:p>
    <w:p w:rsidR="00DF17E9" w:rsidRDefault="00DF17E9" w:rsidP="002A5B6B">
      <w:pPr>
        <w:pStyle w:val="Subheading"/>
        <w:rPr>
          <w:vertAlign w:val="superscript"/>
        </w:rPr>
      </w:pPr>
      <w:r>
        <w:lastRenderedPageBreak/>
        <w:t>Total opera</w:t>
      </w:r>
      <w:r w:rsidR="00A12DB6">
        <w:t>ting expenses, purchases of non</w:t>
      </w:r>
      <w:r w:rsidR="00A12DB6">
        <w:noBreakHyphen/>
      </w:r>
      <w:r>
        <w:t>financial assets</w:t>
      </w:r>
      <w:r w:rsidRPr="00EB4924">
        <w:t xml:space="preserve"> </w:t>
      </w:r>
      <w:r>
        <w:t xml:space="preserve">and total assets </w:t>
      </w:r>
      <w:r w:rsidRPr="00EB4924">
        <w:t>by government purpose</w:t>
      </w:r>
      <w:r>
        <w:t xml:space="preserve"> classification </w:t>
      </w:r>
      <w:r w:rsidRPr="009054D2">
        <w:rPr>
          <w:vertAlign w:val="superscript"/>
        </w:rPr>
        <w:t>(a)</w:t>
      </w:r>
      <w:r>
        <w:rPr>
          <w:vertAlign w:val="superscript"/>
        </w:rPr>
        <w:t>(b)</w:t>
      </w:r>
    </w:p>
    <w:p w:rsidR="00DF17E9" w:rsidRPr="00F01B06" w:rsidRDefault="00DF17E9" w:rsidP="002A5B6B">
      <w:pPr>
        <w:pStyle w:val="Subheading"/>
        <w:rPr>
          <w:rFonts w:asciiTheme="minorHAnsi" w:hAnsiTheme="minorHAnsi"/>
          <w:b w:val="0"/>
          <w:spacing w:val="0"/>
        </w:rPr>
      </w:pPr>
      <w:r w:rsidRPr="00F01B06">
        <w:rPr>
          <w:rFonts w:asciiTheme="minorHAnsi" w:hAnsiTheme="minorHAnsi"/>
          <w:b w:val="0"/>
          <w:spacing w:val="0"/>
        </w:rPr>
        <w:t>The following table presents operating and capital expenditure and total assets held by government purpose classification.</w:t>
      </w:r>
    </w:p>
    <w:p w:rsidR="00DF17E9" w:rsidRDefault="00DF17E9" w:rsidP="002A5B6B">
      <w:pPr>
        <w:pStyle w:val="Subheading"/>
        <w:sectPr w:rsidR="00DF17E9" w:rsidSect="00A12DB6">
          <w:type w:val="continuous"/>
          <w:pgSz w:w="11906" w:h="16838" w:code="9"/>
          <w:pgMar w:top="1134" w:right="1134" w:bottom="1134" w:left="1134" w:header="624" w:footer="567" w:gutter="0"/>
          <w:cols w:space="708"/>
          <w:docGrid w:linePitch="360"/>
        </w:sectPr>
      </w:pPr>
    </w:p>
    <w:p w:rsidR="00DF17E9" w:rsidRPr="007C7769" w:rsidRDefault="00DF17E9" w:rsidP="00044843">
      <w:pPr>
        <w:pStyle w:val="Subheading"/>
        <w:rPr>
          <w:rStyle w:val="TableUnitsChar"/>
          <w:bCs/>
          <w:lang w:val="en-US"/>
        </w:rPr>
      </w:pPr>
      <w:r>
        <w:lastRenderedPageBreak/>
        <w:tab/>
      </w:r>
      <w:r w:rsidRPr="00EB4924">
        <w:rPr>
          <w:rStyle w:val="TableUnitsChar"/>
        </w:rPr>
        <w:t>($ million)</w:t>
      </w:r>
    </w:p>
    <w:tbl>
      <w:tblPr>
        <w:tblStyle w:val="TableDTFGeneral"/>
        <w:tblW w:w="9637" w:type="dxa"/>
        <w:tblLayout w:type="fixed"/>
        <w:tblLook w:val="02A0" w:firstRow="1" w:lastRow="0" w:firstColumn="1" w:lastColumn="0" w:noHBand="1" w:noVBand="0"/>
      </w:tblPr>
      <w:tblGrid>
        <w:gridCol w:w="3995"/>
        <w:gridCol w:w="938"/>
        <w:gridCol w:w="943"/>
        <w:gridCol w:w="940"/>
        <w:gridCol w:w="940"/>
        <w:gridCol w:w="940"/>
        <w:gridCol w:w="941"/>
      </w:tblGrid>
      <w:tr w:rsidR="00AE50D6" w:rsidRPr="007C7769" w:rsidTr="00AE5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5" w:type="dxa"/>
          </w:tcPr>
          <w:p w:rsidR="00AE50D6" w:rsidRPr="007C7769" w:rsidRDefault="00AE50D6" w:rsidP="00044843">
            <w:pPr>
              <w:ind w:left="0" w:firstLine="0"/>
              <w:jc w:val="right"/>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81" w:type="dxa"/>
            <w:gridSpan w:val="2"/>
          </w:tcPr>
          <w:p w:rsidR="00AE50D6" w:rsidRPr="007C7769" w:rsidRDefault="00AE50D6" w:rsidP="00AE50D6">
            <w:pPr>
              <w:jc w:val="center"/>
              <w:rPr>
                <w:color w:val="FFFFFF"/>
              </w:rPr>
            </w:pPr>
            <w:r w:rsidRPr="007C7769">
              <w:rPr>
                <w:color w:val="FFFFFF"/>
              </w:rPr>
              <w:t xml:space="preserve">Expenses from transactions </w:t>
            </w:r>
          </w:p>
        </w:tc>
        <w:tc>
          <w:tcPr>
            <w:tcW w:w="1880" w:type="dxa"/>
            <w:gridSpan w:val="2"/>
          </w:tcPr>
          <w:p w:rsidR="00AE50D6" w:rsidRPr="007C7769" w:rsidRDefault="00AE50D6" w:rsidP="00AE50D6">
            <w:pPr>
              <w:jc w:val="cente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Purchases of </w:t>
            </w:r>
            <w:r w:rsidRPr="007C7769">
              <w:rPr>
                <w:color w:val="FFFFFF"/>
              </w:rPr>
              <w:br/>
              <w:t xml:space="preserve">non-financial assets </w:t>
            </w:r>
          </w:p>
        </w:tc>
        <w:tc>
          <w:tcPr>
            <w:cnfStyle w:val="000010000000" w:firstRow="0" w:lastRow="0" w:firstColumn="0" w:lastColumn="0" w:oddVBand="1" w:evenVBand="0" w:oddHBand="0" w:evenHBand="0" w:firstRowFirstColumn="0" w:firstRowLastColumn="0" w:lastRowFirstColumn="0" w:lastRowLastColumn="0"/>
            <w:tcW w:w="1881" w:type="dxa"/>
            <w:gridSpan w:val="2"/>
          </w:tcPr>
          <w:p w:rsidR="00AE50D6" w:rsidRPr="007C7769" w:rsidRDefault="00AE50D6" w:rsidP="00AE50D6">
            <w:pPr>
              <w:jc w:val="center"/>
              <w:rPr>
                <w:color w:val="FFFFFF"/>
              </w:rPr>
            </w:pPr>
            <w:r w:rsidRPr="007C7769">
              <w:rPr>
                <w:color w:val="FFFFFF"/>
              </w:rPr>
              <w:t xml:space="preserve">Total assets </w:t>
            </w:r>
          </w:p>
        </w:tc>
      </w:tr>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0" w:firstLine="0"/>
              <w:rPr>
                <w:color w:val="FFFFFF"/>
              </w:rPr>
            </w:pPr>
            <w:r w:rsidRPr="007C7769">
              <w:rPr>
                <w:color w:val="FFFFFF"/>
              </w:rPr>
              <w:t>State of Victoria</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FFFFFF"/>
              </w:rPr>
            </w:pPr>
            <w:r w:rsidRPr="007C7769">
              <w:rPr>
                <w:color w:val="FFFFFF"/>
              </w:rPr>
              <w:t>2016</w:t>
            </w:r>
          </w:p>
        </w:tc>
        <w:tc>
          <w:tcPr>
            <w:tcW w:w="943"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FFFFFF"/>
              </w:rPr>
            </w:pPr>
            <w:r w:rsidRPr="007C7769">
              <w:rPr>
                <w:color w:val="FFFFFF"/>
              </w:rPr>
              <w:t>2016</w:t>
            </w:r>
          </w:p>
        </w:tc>
        <w:tc>
          <w:tcPr>
            <w:tcW w:w="940"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FFFFFF"/>
              </w:rPr>
            </w:pPr>
            <w:r w:rsidRPr="007C7769">
              <w:rPr>
                <w:color w:val="FFFFFF"/>
              </w:rPr>
              <w:t>2016</w:t>
            </w:r>
          </w:p>
        </w:tc>
        <w:tc>
          <w:tcPr>
            <w:tcW w:w="941"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2015</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General public services</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8 967</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9 078</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86</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185</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3 310</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2 313</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Public order and safety</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6 155</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5 666</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677</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642</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9 191</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8 606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Education</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13 359</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12 909</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355</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406</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22 013</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19 041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Health</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15 212</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14 259</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920</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931</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13 831</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12 477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Social security and welfare</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4 508</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4 226</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75</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79</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2 014</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1 839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Housing and community amenities</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5 879</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6 261</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1 725</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1 549</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76 627</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70 559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Recreation and culture</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1 600</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1 399</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235</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248</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14 317</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13 072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Fuel and energy</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r w:rsidRPr="007C7769">
              <w:rPr>
                <w:color w:val="000000"/>
              </w:rPr>
              <w:t>131</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133</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15</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21</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 xml:space="preserve">Agriculture, forestry, fishing and hunting </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r w:rsidRPr="007C7769">
              <w:rPr>
                <w:color w:val="000000"/>
              </w:rPr>
              <w:t>513</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453</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12</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31</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670</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768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Transport and communications</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5 673</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5 595</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2 561</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2 689</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pPr>
              <w:rPr>
                <w:color w:val="000000"/>
              </w:rPr>
            </w:pPr>
            <w:r w:rsidRPr="007C7769">
              <w:rPr>
                <w:color w:val="000000"/>
              </w:rPr>
              <w:t>88 952</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82 058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Pr>
          <w:p w:rsidR="00DF17E9" w:rsidRPr="007C7769" w:rsidRDefault="00DF17E9" w:rsidP="00044843">
            <w:pPr>
              <w:ind w:left="113" w:hanging="113"/>
              <w:rPr>
                <w:color w:val="000000"/>
              </w:rPr>
            </w:pPr>
            <w:r w:rsidRPr="007C7769">
              <w:rPr>
                <w:color w:val="000000"/>
              </w:rPr>
              <w:t>Other economic affairs</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r w:rsidRPr="007C7769">
              <w:rPr>
                <w:color w:val="000000"/>
              </w:rPr>
              <w:t>762</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1 021</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129</w:t>
            </w:r>
          </w:p>
        </w:tc>
        <w:tc>
          <w:tcPr>
            <w:tcW w:w="940"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83</w:t>
            </w:r>
          </w:p>
        </w:tc>
        <w:tc>
          <w:tcPr>
            <w:cnfStyle w:val="000010000000" w:firstRow="0" w:lastRow="0" w:firstColumn="0" w:lastColumn="0" w:oddVBand="1" w:evenVBand="0" w:oddHBand="0" w:evenHBand="0" w:firstRowFirstColumn="0" w:firstRowLastColumn="0" w:lastRowFirstColumn="0" w:lastRowLastColumn="0"/>
            <w:tcW w:w="940" w:type="dxa"/>
          </w:tcPr>
          <w:p w:rsidR="00DF17E9" w:rsidRPr="007C7769" w:rsidRDefault="00DF17E9" w:rsidP="00044843">
            <w:r w:rsidRPr="007C7769">
              <w:rPr>
                <w:color w:val="000000"/>
              </w:rPr>
              <w:t>738</w:t>
            </w:r>
          </w:p>
        </w:tc>
        <w:tc>
          <w:tcPr>
            <w:tcW w:w="941"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626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Borders>
              <w:bottom w:val="nil"/>
            </w:tcBorders>
          </w:tcPr>
          <w:p w:rsidR="00DF17E9" w:rsidRPr="007C7769" w:rsidRDefault="00DF17E9" w:rsidP="00044843">
            <w:pPr>
              <w:ind w:left="113" w:hanging="113"/>
              <w:rPr>
                <w:color w:val="000000"/>
              </w:rPr>
            </w:pPr>
            <w:r w:rsidRPr="007C7769">
              <w:rPr>
                <w:color w:val="000000"/>
              </w:rPr>
              <w:t>Other purposes</w:t>
            </w:r>
          </w:p>
        </w:tc>
        <w:tc>
          <w:tcPr>
            <w:cnfStyle w:val="000010000000" w:firstRow="0" w:lastRow="0" w:firstColumn="0" w:lastColumn="0" w:oddVBand="1" w:evenVBand="0" w:oddHBand="0" w:evenHBand="0" w:firstRowFirstColumn="0" w:firstRowLastColumn="0" w:lastRowFirstColumn="0" w:lastRowLastColumn="0"/>
            <w:tcW w:w="938" w:type="dxa"/>
            <w:tcBorders>
              <w:bottom w:val="nil"/>
            </w:tcBorders>
          </w:tcPr>
          <w:p w:rsidR="00DF17E9" w:rsidRPr="007C7769" w:rsidRDefault="00DF17E9" w:rsidP="00044843">
            <w:pPr>
              <w:rPr>
                <w:color w:val="000000"/>
              </w:rPr>
            </w:pPr>
            <w:r w:rsidRPr="007C7769">
              <w:rPr>
                <w:color w:val="000000"/>
              </w:rPr>
              <w:t>1 961</w:t>
            </w:r>
          </w:p>
        </w:tc>
        <w:tc>
          <w:tcPr>
            <w:tcW w:w="943"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2 089</w:t>
            </w:r>
          </w:p>
        </w:tc>
        <w:tc>
          <w:tcPr>
            <w:cnfStyle w:val="000010000000" w:firstRow="0" w:lastRow="0" w:firstColumn="0" w:lastColumn="0" w:oddVBand="1" w:evenVBand="0" w:oddHBand="0" w:evenHBand="0" w:firstRowFirstColumn="0" w:firstRowLastColumn="0" w:lastRowFirstColumn="0" w:lastRowLastColumn="0"/>
            <w:tcW w:w="940" w:type="dxa"/>
            <w:tcBorders>
              <w:bottom w:val="nil"/>
            </w:tcBorders>
          </w:tcPr>
          <w:p w:rsidR="00DF17E9" w:rsidRPr="007C7769" w:rsidRDefault="00DF17E9" w:rsidP="00044843">
            <w:r w:rsidRPr="007C7769">
              <w:rPr>
                <w:color w:val="000000"/>
              </w:rPr>
              <w:t>1</w:t>
            </w:r>
          </w:p>
        </w:tc>
        <w:tc>
          <w:tcPr>
            <w:tcW w:w="940"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w:t>
            </w:r>
          </w:p>
        </w:tc>
        <w:tc>
          <w:tcPr>
            <w:cnfStyle w:val="000010000000" w:firstRow="0" w:lastRow="0" w:firstColumn="0" w:lastColumn="0" w:oddVBand="1" w:evenVBand="0" w:oddHBand="0" w:evenHBand="0" w:firstRowFirstColumn="0" w:firstRowLastColumn="0" w:lastRowFirstColumn="0" w:lastRowLastColumn="0"/>
            <w:tcW w:w="940" w:type="dxa"/>
            <w:tcBorders>
              <w:bottom w:val="nil"/>
            </w:tcBorders>
          </w:tcPr>
          <w:p w:rsidR="00DF17E9" w:rsidRPr="007C7769" w:rsidRDefault="00DF17E9" w:rsidP="00044843">
            <w:r w:rsidRPr="007C7769">
              <w:rPr>
                <w:color w:val="000000"/>
              </w:rPr>
              <w:t>6</w:t>
            </w:r>
          </w:p>
        </w:tc>
        <w:tc>
          <w:tcPr>
            <w:tcW w:w="941"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Borders>
              <w:bottom w:val="single" w:sz="6" w:space="0" w:color="auto"/>
            </w:tcBorders>
          </w:tcPr>
          <w:p w:rsidR="00DF17E9" w:rsidRPr="007C7769" w:rsidRDefault="00DF17E9" w:rsidP="00044843">
            <w:pPr>
              <w:ind w:left="113" w:hanging="113"/>
              <w:rPr>
                <w:color w:val="000000"/>
              </w:rPr>
            </w:pPr>
            <w:r w:rsidRPr="007C7769">
              <w:rPr>
                <w:color w:val="000000"/>
              </w:rPr>
              <w:t xml:space="preserve">Not allocated by purpose </w:t>
            </w:r>
            <w:r w:rsidRPr="007C7769">
              <w:rPr>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6" w:space="0" w:color="auto"/>
            </w:tcBorders>
          </w:tcPr>
          <w:p w:rsidR="00DF17E9" w:rsidRPr="007C7769" w:rsidRDefault="00DF17E9" w:rsidP="00044843">
            <w:r w:rsidRPr="007C7769">
              <w:rPr>
                <w:color w:val="000000"/>
              </w:rPr>
              <w:t>(1 709)</w:t>
            </w:r>
          </w:p>
        </w:tc>
        <w:tc>
          <w:tcPr>
            <w:tcW w:w="943"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(1 424)</w:t>
            </w:r>
          </w:p>
        </w:tc>
        <w:tc>
          <w:tcPr>
            <w:cnfStyle w:val="000010000000" w:firstRow="0" w:lastRow="0" w:firstColumn="0" w:lastColumn="0" w:oddVBand="1" w:evenVBand="0" w:oddHBand="0" w:evenHBand="0" w:firstRowFirstColumn="0" w:firstRowLastColumn="0" w:lastRowFirstColumn="0" w:lastRowLastColumn="0"/>
            <w:tcW w:w="940" w:type="dxa"/>
            <w:tcBorders>
              <w:bottom w:val="single" w:sz="6" w:space="0" w:color="auto"/>
            </w:tcBorders>
          </w:tcPr>
          <w:p w:rsidR="00DF17E9" w:rsidRPr="007C7769" w:rsidRDefault="00DF17E9" w:rsidP="00044843">
            <w:r w:rsidRPr="007C7769">
              <w:rPr>
                <w:color w:val="000000"/>
              </w:rPr>
              <w:t>44</w:t>
            </w:r>
          </w:p>
        </w:tc>
        <w:tc>
          <w:tcPr>
            <w:tcW w:w="940"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(266)</w:t>
            </w:r>
          </w:p>
        </w:tc>
        <w:tc>
          <w:tcPr>
            <w:cnfStyle w:val="000010000000" w:firstRow="0" w:lastRow="0" w:firstColumn="0" w:lastColumn="0" w:oddVBand="1" w:evenVBand="0" w:oddHBand="0" w:evenHBand="0" w:firstRowFirstColumn="0" w:firstRowLastColumn="0" w:lastRowFirstColumn="0" w:lastRowLastColumn="0"/>
            <w:tcW w:w="940" w:type="dxa"/>
            <w:tcBorders>
              <w:bottom w:val="single" w:sz="6" w:space="0" w:color="auto"/>
            </w:tcBorders>
          </w:tcPr>
          <w:p w:rsidR="00DF17E9" w:rsidRPr="007C7769" w:rsidRDefault="00DF17E9" w:rsidP="00044843">
            <w:pPr>
              <w:rPr>
                <w:color w:val="000000"/>
              </w:rPr>
            </w:pPr>
            <w:r w:rsidRPr="007C7769">
              <w:rPr>
                <w:color w:val="000000"/>
              </w:rPr>
              <w:t>50 213</w:t>
            </w:r>
          </w:p>
        </w:tc>
        <w:tc>
          <w:tcPr>
            <w:tcW w:w="941"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48 458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5" w:type="dxa"/>
            <w:tcBorders>
              <w:top w:val="single" w:sz="6" w:space="0" w:color="auto"/>
              <w:bottom w:val="single" w:sz="12" w:space="0" w:color="auto"/>
            </w:tcBorders>
          </w:tcPr>
          <w:p w:rsidR="00DF17E9" w:rsidRPr="007C7769" w:rsidRDefault="00DF17E9" w:rsidP="00044843">
            <w:pPr>
              <w:ind w:left="113" w:hanging="113"/>
              <w:rPr>
                <w:color w:val="000000"/>
              </w:rPr>
            </w:pPr>
            <w:r w:rsidRPr="007C7769">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938"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63 012</w:t>
            </w:r>
          </w:p>
        </w:tc>
        <w:tc>
          <w:tcPr>
            <w:tcW w:w="943"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61 665</w:t>
            </w:r>
          </w:p>
        </w:tc>
        <w:tc>
          <w:tcPr>
            <w:cnfStyle w:val="000010000000" w:firstRow="0" w:lastRow="0" w:firstColumn="0" w:lastColumn="0" w:oddVBand="1" w:evenVBand="0" w:oddHBand="0" w:evenHBand="0" w:firstRowFirstColumn="0" w:firstRowLastColumn="0" w:lastRowFirstColumn="0" w:lastRowLastColumn="0"/>
            <w:tcW w:w="940"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6 836</w:t>
            </w:r>
          </w:p>
        </w:tc>
        <w:tc>
          <w:tcPr>
            <w:tcW w:w="940"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6 591</w:t>
            </w:r>
          </w:p>
        </w:tc>
        <w:tc>
          <w:tcPr>
            <w:cnfStyle w:val="000010000000" w:firstRow="0" w:lastRow="0" w:firstColumn="0" w:lastColumn="0" w:oddVBand="1" w:evenVBand="0" w:oddHBand="0" w:evenHBand="0" w:firstRowFirstColumn="0" w:firstRowLastColumn="0" w:lastRowFirstColumn="0" w:lastRowLastColumn="0"/>
            <w:tcW w:w="940"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281 903</w:t>
            </w:r>
          </w:p>
        </w:tc>
        <w:tc>
          <w:tcPr>
            <w:tcW w:w="941"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259 841</w:t>
            </w:r>
          </w:p>
        </w:tc>
      </w:tr>
    </w:tbl>
    <w:p w:rsidR="00DF17E9" w:rsidRPr="007C7769" w:rsidRDefault="00DF17E9" w:rsidP="00044843">
      <w:pPr>
        <w:rPr>
          <w:bCs/>
          <w:lang w:val="en-US"/>
        </w:rPr>
      </w:pPr>
    </w:p>
    <w:tbl>
      <w:tblPr>
        <w:tblStyle w:val="TableDTFGeneral"/>
        <w:tblW w:w="9637" w:type="dxa"/>
        <w:tblLayout w:type="fixed"/>
        <w:tblLook w:val="02A0" w:firstRow="1" w:lastRow="0" w:firstColumn="1" w:lastColumn="0" w:noHBand="1" w:noVBand="0"/>
      </w:tblPr>
      <w:tblGrid>
        <w:gridCol w:w="3998"/>
        <w:gridCol w:w="945"/>
        <w:gridCol w:w="923"/>
        <w:gridCol w:w="952"/>
        <w:gridCol w:w="938"/>
        <w:gridCol w:w="938"/>
        <w:gridCol w:w="943"/>
      </w:tblGrid>
      <w:tr w:rsidR="00DF17E9" w:rsidRPr="007C776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0" w:firstLine="0"/>
              <w:rPr>
                <w:color w:val="FFFFFF"/>
              </w:rPr>
            </w:pPr>
            <w:r w:rsidRPr="007C7769">
              <w:rPr>
                <w:color w:val="FFFFFF"/>
              </w:rPr>
              <w:t>General government sector</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FFFFFF"/>
              </w:rPr>
            </w:pPr>
            <w:r w:rsidRPr="007C7769">
              <w:rPr>
                <w:color w:val="FFFFFF"/>
              </w:rPr>
              <w:t xml:space="preserve"> </w:t>
            </w:r>
          </w:p>
        </w:tc>
        <w:tc>
          <w:tcPr>
            <w:tcW w:w="923"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pPr>
              <w:rPr>
                <w:color w:val="FFFFFF"/>
              </w:rPr>
            </w:pPr>
            <w:r w:rsidRPr="007C7769">
              <w:rPr>
                <w:color w:val="FFFFFF"/>
              </w:rPr>
              <w:t xml:space="preserve"> </w:t>
            </w:r>
          </w:p>
        </w:tc>
        <w:tc>
          <w:tcPr>
            <w:tcW w:w="938"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FFFFFF"/>
              </w:rPr>
            </w:pPr>
            <w:r w:rsidRPr="007C7769">
              <w:rPr>
                <w:color w:val="FFFFFF"/>
              </w:rPr>
              <w:t xml:space="preserve"> </w:t>
            </w:r>
          </w:p>
        </w:tc>
        <w:tc>
          <w:tcPr>
            <w:tcW w:w="943" w:type="dxa"/>
          </w:tcPr>
          <w:p w:rsidR="00DF17E9" w:rsidRPr="007C776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7769">
              <w:rPr>
                <w:color w:val="FFFFFF"/>
              </w:rPr>
              <w:t xml:space="preserve"> </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General public services</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2 662</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3 005</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52</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111</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1 592</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1 202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Public order and safety</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6 269</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5 769</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677</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642</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9 191</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8 606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Education</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13 424</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12 972</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355</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406</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22 013</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19 041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Health</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15 331</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14 361</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919</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931</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13 810</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12 457</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Social security and welfare</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4 539</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4 254</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75</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79</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2 014</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1 839</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Housing and community amenities</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2 611</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2 948</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44</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142</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8 222</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7 160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Recreation and culture</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r w:rsidRPr="007C7769">
              <w:rPr>
                <w:color w:val="000000"/>
              </w:rPr>
              <w:t>800</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682</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78</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114</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8 900</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8 328</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Fuel and energy</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r w:rsidRPr="007C7769">
              <w:rPr>
                <w:color w:val="000000"/>
              </w:rPr>
              <w:t>128</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130</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15</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r w:rsidRPr="007C7769">
              <w:rPr>
                <w:color w:val="000000"/>
              </w:rPr>
              <w:t>21</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11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 xml:space="preserve">Agriculture, forestry, fishing and hunting </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r w:rsidRPr="007C7769">
              <w:rPr>
                <w:color w:val="000000"/>
              </w:rPr>
              <w:t>414</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360</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6</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25</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r w:rsidRPr="007C7769">
              <w:rPr>
                <w:color w:val="000000"/>
              </w:rPr>
              <w:t>603</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701</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Transport and communications</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pPr>
              <w:rPr>
                <w:color w:val="000000"/>
              </w:rPr>
            </w:pPr>
            <w:r w:rsidRPr="007C7769">
              <w:rPr>
                <w:color w:val="000000"/>
              </w:rPr>
              <w:t>6 245</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6 103</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pPr>
              <w:rPr>
                <w:color w:val="000000"/>
              </w:rPr>
            </w:pPr>
            <w:r w:rsidRPr="007C7769">
              <w:rPr>
                <w:color w:val="000000"/>
              </w:rPr>
              <w:t>2 046</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2 063</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pPr>
              <w:rPr>
                <w:color w:val="000000"/>
              </w:rPr>
            </w:pPr>
            <w:r w:rsidRPr="007C7769">
              <w:rPr>
                <w:color w:val="000000"/>
              </w:rPr>
              <w:t>48 791</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49 150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Pr>
          <w:p w:rsidR="00DF17E9" w:rsidRPr="007C7769" w:rsidRDefault="00DF17E9" w:rsidP="00044843">
            <w:pPr>
              <w:ind w:left="113" w:hanging="113"/>
              <w:rPr>
                <w:color w:val="000000"/>
              </w:rPr>
            </w:pPr>
            <w:r w:rsidRPr="007C7769">
              <w:rPr>
                <w:color w:val="000000"/>
              </w:rPr>
              <w:t>Other economic affairs</w:t>
            </w:r>
          </w:p>
        </w:tc>
        <w:tc>
          <w:tcPr>
            <w:cnfStyle w:val="000010000000" w:firstRow="0" w:lastRow="0" w:firstColumn="0" w:lastColumn="0" w:oddVBand="1" w:evenVBand="0" w:oddHBand="0" w:evenHBand="0" w:firstRowFirstColumn="0" w:firstRowLastColumn="0" w:lastRowFirstColumn="0" w:lastRowLastColumn="0"/>
            <w:tcW w:w="945" w:type="dxa"/>
          </w:tcPr>
          <w:p w:rsidR="00DF17E9" w:rsidRPr="007C7769" w:rsidRDefault="00DF17E9" w:rsidP="00044843">
            <w:r w:rsidRPr="007C7769">
              <w:rPr>
                <w:color w:val="000000"/>
              </w:rPr>
              <w:t>857</w:t>
            </w:r>
          </w:p>
        </w:tc>
        <w:tc>
          <w:tcPr>
            <w:tcW w:w="92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1 109</w:t>
            </w:r>
          </w:p>
        </w:tc>
        <w:tc>
          <w:tcPr>
            <w:cnfStyle w:val="000010000000" w:firstRow="0" w:lastRow="0" w:firstColumn="0" w:lastColumn="0" w:oddVBand="1" w:evenVBand="0" w:oddHBand="0" w:evenHBand="0" w:firstRowFirstColumn="0" w:firstRowLastColumn="0" w:lastRowFirstColumn="0" w:lastRowLastColumn="0"/>
            <w:tcW w:w="952" w:type="dxa"/>
          </w:tcPr>
          <w:p w:rsidR="00DF17E9" w:rsidRPr="007C7769" w:rsidRDefault="00DF17E9" w:rsidP="00044843">
            <w:r w:rsidRPr="007C7769">
              <w:rPr>
                <w:color w:val="000000"/>
              </w:rPr>
              <w:t>129</w:t>
            </w:r>
          </w:p>
        </w:tc>
        <w:tc>
          <w:tcPr>
            <w:tcW w:w="938"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83</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7769" w:rsidRDefault="00DF17E9" w:rsidP="00044843">
            <w:r w:rsidRPr="007C7769">
              <w:rPr>
                <w:color w:val="000000"/>
              </w:rPr>
              <w:t>738</w:t>
            </w:r>
          </w:p>
        </w:tc>
        <w:tc>
          <w:tcPr>
            <w:tcW w:w="943" w:type="dxa"/>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626</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Borders>
              <w:bottom w:val="nil"/>
            </w:tcBorders>
          </w:tcPr>
          <w:p w:rsidR="00DF17E9" w:rsidRPr="007C7769" w:rsidRDefault="00DF17E9" w:rsidP="00044843">
            <w:pPr>
              <w:ind w:left="113" w:hanging="113"/>
              <w:rPr>
                <w:color w:val="000000"/>
              </w:rPr>
            </w:pPr>
            <w:r w:rsidRPr="007C7769">
              <w:rPr>
                <w:color w:val="000000"/>
              </w:rPr>
              <w:t>Other purposes</w:t>
            </w:r>
          </w:p>
        </w:tc>
        <w:tc>
          <w:tcPr>
            <w:cnfStyle w:val="000010000000" w:firstRow="0" w:lastRow="0" w:firstColumn="0" w:lastColumn="0" w:oddVBand="1" w:evenVBand="0" w:oddHBand="0" w:evenHBand="0" w:firstRowFirstColumn="0" w:firstRowLastColumn="0" w:lastRowFirstColumn="0" w:lastRowLastColumn="0"/>
            <w:tcW w:w="945" w:type="dxa"/>
            <w:tcBorders>
              <w:bottom w:val="nil"/>
            </w:tcBorders>
          </w:tcPr>
          <w:p w:rsidR="00DF17E9" w:rsidRPr="007C7769" w:rsidRDefault="00DF17E9" w:rsidP="00044843">
            <w:pPr>
              <w:rPr>
                <w:color w:val="000000"/>
              </w:rPr>
            </w:pPr>
            <w:r w:rsidRPr="007C7769">
              <w:rPr>
                <w:color w:val="000000"/>
              </w:rPr>
              <w:t>1 350</w:t>
            </w:r>
          </w:p>
        </w:tc>
        <w:tc>
          <w:tcPr>
            <w:tcW w:w="923"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1 376</w:t>
            </w:r>
          </w:p>
        </w:tc>
        <w:tc>
          <w:tcPr>
            <w:cnfStyle w:val="000010000000" w:firstRow="0" w:lastRow="0" w:firstColumn="0" w:lastColumn="0" w:oddVBand="1" w:evenVBand="0" w:oddHBand="0" w:evenHBand="0" w:firstRowFirstColumn="0" w:firstRowLastColumn="0" w:lastRowFirstColumn="0" w:lastRowLastColumn="0"/>
            <w:tcW w:w="952" w:type="dxa"/>
            <w:tcBorders>
              <w:bottom w:val="nil"/>
            </w:tcBorders>
          </w:tcPr>
          <w:p w:rsidR="00DF17E9" w:rsidRPr="007C7769" w:rsidRDefault="00DF17E9" w:rsidP="00044843">
            <w:pPr>
              <w:rPr>
                <w:color w:val="000000"/>
              </w:rPr>
            </w:pPr>
            <w:r w:rsidRPr="007C7769">
              <w:rPr>
                <w:color w:val="000000"/>
              </w:rPr>
              <w:t>..</w:t>
            </w:r>
          </w:p>
        </w:tc>
        <w:tc>
          <w:tcPr>
            <w:tcW w:w="938"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w:t>
            </w:r>
          </w:p>
        </w:tc>
        <w:tc>
          <w:tcPr>
            <w:cnfStyle w:val="000010000000" w:firstRow="0" w:lastRow="0" w:firstColumn="0" w:lastColumn="0" w:oddVBand="1" w:evenVBand="0" w:oddHBand="0" w:evenHBand="0" w:firstRowFirstColumn="0" w:firstRowLastColumn="0" w:lastRowFirstColumn="0" w:lastRowLastColumn="0"/>
            <w:tcW w:w="938" w:type="dxa"/>
            <w:tcBorders>
              <w:bottom w:val="nil"/>
            </w:tcBorders>
          </w:tcPr>
          <w:p w:rsidR="00DF17E9" w:rsidRPr="007C7769" w:rsidRDefault="00DF17E9" w:rsidP="00044843">
            <w:r w:rsidRPr="007C7769">
              <w:rPr>
                <w:color w:val="000000"/>
              </w:rPr>
              <w:t>1</w:t>
            </w:r>
          </w:p>
        </w:tc>
        <w:tc>
          <w:tcPr>
            <w:tcW w:w="943" w:type="dxa"/>
            <w:tcBorders>
              <w:bottom w:val="nil"/>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rsidR="00DF17E9" w:rsidRPr="007C7769" w:rsidRDefault="00DF17E9" w:rsidP="00044843">
            <w:pPr>
              <w:ind w:left="113" w:hanging="113"/>
              <w:rPr>
                <w:color w:val="000000"/>
              </w:rPr>
            </w:pPr>
            <w:r w:rsidRPr="007C7769">
              <w:rPr>
                <w:color w:val="000000"/>
              </w:rPr>
              <w:t xml:space="preserve">Not allocated by purpose </w:t>
            </w:r>
            <w:r w:rsidRPr="007C7769">
              <w:rPr>
                <w:color w:val="000000"/>
                <w:vertAlign w:val="superscript"/>
              </w:rPr>
              <w:t xml:space="preserve">(c)(d) </w:t>
            </w:r>
          </w:p>
        </w:tc>
        <w:tc>
          <w:tcPr>
            <w:cnfStyle w:val="000010000000" w:firstRow="0" w:lastRow="0" w:firstColumn="0" w:lastColumn="0" w:oddVBand="1" w:evenVBand="0" w:oddHBand="0" w:evenHBand="0" w:firstRowFirstColumn="0" w:firstRowLastColumn="0" w:lastRowFirstColumn="0" w:lastRowLastColumn="0"/>
            <w:tcW w:w="945" w:type="dxa"/>
            <w:tcBorders>
              <w:bottom w:val="single" w:sz="6" w:space="0" w:color="auto"/>
            </w:tcBorders>
          </w:tcPr>
          <w:p w:rsidR="00DF17E9" w:rsidRPr="007C7769" w:rsidRDefault="00DF17E9" w:rsidP="00044843">
            <w:r w:rsidRPr="007C7769">
              <w:rPr>
                <w:color w:val="000000"/>
              </w:rPr>
              <w:t>(579)</w:t>
            </w:r>
          </w:p>
        </w:tc>
        <w:tc>
          <w:tcPr>
            <w:tcW w:w="923"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(513)</w:t>
            </w:r>
          </w:p>
        </w:tc>
        <w:tc>
          <w:tcPr>
            <w:cnfStyle w:val="000010000000" w:firstRow="0" w:lastRow="0" w:firstColumn="0" w:lastColumn="0" w:oddVBand="1" w:evenVBand="0" w:oddHBand="0" w:evenHBand="0" w:firstRowFirstColumn="0" w:firstRowLastColumn="0" w:lastRowFirstColumn="0" w:lastRowLastColumn="0"/>
            <w:tcW w:w="952" w:type="dxa"/>
            <w:tcBorders>
              <w:bottom w:val="single" w:sz="6" w:space="0" w:color="auto"/>
            </w:tcBorders>
          </w:tcPr>
          <w:p w:rsidR="00DF17E9" w:rsidRPr="007C7769" w:rsidRDefault="00DF17E9" w:rsidP="00044843">
            <w:r w:rsidRPr="007C7769">
              <w:rPr>
                <w:color w:val="000000"/>
              </w:rPr>
              <w:t>22</w:t>
            </w:r>
          </w:p>
        </w:tc>
        <w:tc>
          <w:tcPr>
            <w:tcW w:w="938"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pPr>
            <w:r w:rsidRPr="007C7769">
              <w:rPr>
                <w:color w:val="000000"/>
              </w:rPr>
              <w:t>(234)</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6" w:space="0" w:color="auto"/>
            </w:tcBorders>
          </w:tcPr>
          <w:p w:rsidR="00DF17E9" w:rsidRPr="007C7769" w:rsidRDefault="00DF17E9" w:rsidP="00044843">
            <w:pPr>
              <w:rPr>
                <w:color w:val="000000"/>
              </w:rPr>
            </w:pPr>
            <w:r w:rsidRPr="007C7769">
              <w:rPr>
                <w:color w:val="000000"/>
              </w:rPr>
              <w:t>112 345</w:t>
            </w:r>
          </w:p>
        </w:tc>
        <w:tc>
          <w:tcPr>
            <w:tcW w:w="943" w:type="dxa"/>
            <w:tcBorders>
              <w:bottom w:val="single" w:sz="6"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color w:val="000000"/>
              </w:rPr>
              <w:t>99 920</w:t>
            </w:r>
          </w:p>
        </w:tc>
      </w:tr>
      <w:tr w:rsidR="00DF17E9" w:rsidRPr="007C7769" w:rsidTr="0004484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12" w:space="0" w:color="auto"/>
            </w:tcBorders>
          </w:tcPr>
          <w:p w:rsidR="00DF17E9" w:rsidRPr="007C7769" w:rsidRDefault="00DF17E9" w:rsidP="00044843">
            <w:pPr>
              <w:ind w:left="113" w:hanging="113"/>
              <w:rPr>
                <w:color w:val="000000"/>
              </w:rPr>
            </w:pPr>
            <w:r w:rsidRPr="007C7769">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945"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54 052</w:t>
            </w:r>
          </w:p>
        </w:tc>
        <w:tc>
          <w:tcPr>
            <w:tcW w:w="923"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52 558</w:t>
            </w:r>
          </w:p>
        </w:tc>
        <w:tc>
          <w:tcPr>
            <w:cnfStyle w:val="000010000000" w:firstRow="0" w:lastRow="0" w:firstColumn="0" w:lastColumn="0" w:oddVBand="1" w:evenVBand="0" w:oddHBand="0" w:evenHBand="0" w:firstRowFirstColumn="0" w:firstRowLastColumn="0" w:lastRowFirstColumn="0" w:lastRowLastColumn="0"/>
            <w:tcW w:w="952"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4 420</w:t>
            </w:r>
          </w:p>
        </w:tc>
        <w:tc>
          <w:tcPr>
            <w:tcW w:w="938"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4 369</w:t>
            </w:r>
          </w:p>
        </w:tc>
        <w:tc>
          <w:tcPr>
            <w:cnfStyle w:val="000010000000" w:firstRow="0" w:lastRow="0" w:firstColumn="0" w:lastColumn="0" w:oddVBand="1" w:evenVBand="0" w:oddHBand="0" w:evenHBand="0" w:firstRowFirstColumn="0" w:firstRowLastColumn="0" w:lastRowFirstColumn="0" w:lastRowLastColumn="0"/>
            <w:tcW w:w="938" w:type="dxa"/>
            <w:tcBorders>
              <w:top w:val="single" w:sz="6" w:space="0" w:color="auto"/>
              <w:bottom w:val="single" w:sz="12" w:space="0" w:color="auto"/>
            </w:tcBorders>
          </w:tcPr>
          <w:p w:rsidR="00DF17E9" w:rsidRPr="007C7769" w:rsidRDefault="00DF17E9" w:rsidP="00044843">
            <w:pPr>
              <w:rPr>
                <w:color w:val="000000"/>
              </w:rPr>
            </w:pPr>
            <w:r w:rsidRPr="007C7769">
              <w:rPr>
                <w:b/>
                <w:color w:val="000000"/>
              </w:rPr>
              <w:t>228 242</w:t>
            </w:r>
          </w:p>
        </w:tc>
        <w:tc>
          <w:tcPr>
            <w:tcW w:w="943" w:type="dxa"/>
            <w:tcBorders>
              <w:top w:val="single" w:sz="6" w:space="0" w:color="auto"/>
              <w:bottom w:val="single" w:sz="12" w:space="0" w:color="auto"/>
            </w:tcBorders>
          </w:tcPr>
          <w:p w:rsidR="00DF17E9" w:rsidRPr="007C776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7769">
              <w:rPr>
                <w:b/>
                <w:color w:val="000000"/>
              </w:rPr>
              <w:t>209 041</w:t>
            </w:r>
          </w:p>
        </w:tc>
      </w:tr>
    </w:tbl>
    <w:p w:rsidR="00DF17E9" w:rsidRPr="00A13BAC" w:rsidRDefault="00DF17E9" w:rsidP="00514A4E">
      <w:pPr>
        <w:pStyle w:val="Note"/>
      </w:pPr>
      <w:r w:rsidRPr="00A13BAC">
        <w:t>Notes:</w:t>
      </w:r>
    </w:p>
    <w:p w:rsidR="00DF17E9" w:rsidRDefault="00DF17E9" w:rsidP="0059122D">
      <w:pPr>
        <w:pStyle w:val="Note"/>
      </w:pPr>
      <w:r w:rsidRPr="00A13BAC">
        <w:t>(a)</w:t>
      </w:r>
      <w:r w:rsidRPr="00A13BAC">
        <w:tab/>
        <w:t>June 2015 comparative figures have been reclassified to reflect more current information.</w:t>
      </w:r>
    </w:p>
    <w:p w:rsidR="00DF17E9" w:rsidRPr="00A13BAC" w:rsidRDefault="00DF17E9" w:rsidP="0059122D">
      <w:pPr>
        <w:pStyle w:val="Note"/>
      </w:pPr>
      <w:r>
        <w:t>(b)</w:t>
      </w:r>
      <w:r>
        <w:tab/>
      </w:r>
      <w:r w:rsidRPr="00A210D3">
        <w:t>June 2015 comparative figures have been restated</w:t>
      </w:r>
      <w:r>
        <w:t>, consistent with the changes identified in the balance sheet and cash flow statement.</w:t>
      </w:r>
    </w:p>
    <w:p w:rsidR="00DF17E9" w:rsidRDefault="00DF17E9" w:rsidP="0059122D">
      <w:pPr>
        <w:pStyle w:val="Note"/>
      </w:pPr>
      <w:r>
        <w:t>(c</w:t>
      </w:r>
      <w:r w:rsidRPr="00A13BAC">
        <w:t>)</w:t>
      </w:r>
      <w:r w:rsidRPr="00A13BAC">
        <w:tab/>
        <w:t>Not allocated by purpose for expenses and purchases of non-financial assets represents eliminations and adjustments.</w:t>
      </w:r>
    </w:p>
    <w:p w:rsidR="00DF17E9" w:rsidRPr="00C5186E" w:rsidRDefault="00DF17E9" w:rsidP="003E544A">
      <w:pPr>
        <w:pStyle w:val="Note"/>
      </w:pPr>
      <w:r>
        <w:t>(d)</w:t>
      </w:r>
      <w:r>
        <w:tab/>
      </w:r>
      <w:r w:rsidRPr="004520D3">
        <w:t xml:space="preserve">Not allocated by purpose </w:t>
      </w:r>
      <w:r>
        <w:t xml:space="preserve">for total assets </w:t>
      </w:r>
      <w:r w:rsidRPr="004520D3">
        <w:t>represent</w:t>
      </w:r>
      <w:r>
        <w:t xml:space="preserve">s eliminations and adjustments, </w:t>
      </w:r>
      <w:r w:rsidRPr="004520D3">
        <w:t>and f</w:t>
      </w:r>
      <w:r>
        <w:t>inancial assets which are not a</w:t>
      </w:r>
      <w:r w:rsidRPr="004520D3">
        <w:t>b</w:t>
      </w:r>
      <w:r>
        <w:t>l</w:t>
      </w:r>
      <w:r w:rsidRPr="004520D3">
        <w:t>e to be allocated by purpose.</w:t>
      </w:r>
    </w:p>
    <w:p w:rsidR="00DF17E9" w:rsidRDefault="00DF17E9" w:rsidP="008976C2">
      <w:pPr>
        <w:sectPr w:rsidR="00DF17E9" w:rsidSect="00F01B06">
          <w:type w:val="continuous"/>
          <w:pgSz w:w="11906" w:h="16838" w:code="9"/>
          <w:pgMar w:top="1134" w:right="1134" w:bottom="1134" w:left="1134" w:header="624" w:footer="567" w:gutter="0"/>
          <w:cols w:space="708"/>
          <w:docGrid w:linePitch="360"/>
        </w:sectPr>
      </w:pPr>
    </w:p>
    <w:bookmarkEnd w:id="28"/>
    <w:p w:rsidR="00DF17E9" w:rsidRDefault="00DF17E9" w:rsidP="00044843">
      <w:pPr>
        <w:sectPr w:rsidR="00DF17E9" w:rsidSect="00044843">
          <w:headerReference w:type="even" r:id="rId117"/>
          <w:headerReference w:type="default" r:id="rId118"/>
          <w:footerReference w:type="even" r:id="rId119"/>
          <w:footerReference w:type="default" r:id="rId120"/>
          <w:type w:val="continuous"/>
          <w:pgSz w:w="11906" w:h="16838" w:code="9"/>
          <w:pgMar w:top="1134" w:right="1134" w:bottom="1134" w:left="1134" w:header="624" w:footer="567" w:gutter="0"/>
          <w:cols w:num="2" w:space="708"/>
          <w:docGrid w:linePitch="360"/>
        </w:sectPr>
      </w:pPr>
    </w:p>
    <w:p w:rsidR="00DF17E9" w:rsidRDefault="00DF17E9" w:rsidP="00044843">
      <w:pPr>
        <w:pStyle w:val="Heading1"/>
      </w:pPr>
      <w:bookmarkStart w:id="35" w:name="_Toc462865842"/>
      <w:r>
        <w:lastRenderedPageBreak/>
        <w:t>Major assets and investments</w:t>
      </w:r>
      <w:bookmarkEnd w:id="35"/>
    </w:p>
    <w:p w:rsidR="00DF17E9" w:rsidRDefault="00DF17E9" w:rsidP="00983AF0">
      <w:pPr>
        <w:pStyle w:val="BodyText"/>
        <w:sectPr w:rsidR="00DF17E9" w:rsidSect="00044843">
          <w:headerReference w:type="even" r:id="rId121"/>
          <w:headerReference w:type="default" r:id="rId122"/>
          <w:footerReference w:type="even" r:id="rId123"/>
          <w:footerReference w:type="default" r:id="rId124"/>
          <w:headerReference w:type="first" r:id="rId125"/>
          <w:footerReference w:type="first" r:id="rId126"/>
          <w:pgSz w:w="11906" w:h="16838" w:code="9"/>
          <w:pgMar w:top="1138" w:right="1138" w:bottom="1138" w:left="1138" w:header="619" w:footer="562" w:gutter="0"/>
          <w:cols w:space="708"/>
          <w:docGrid w:linePitch="360"/>
        </w:sectPr>
      </w:pPr>
    </w:p>
    <w:p w:rsidR="00DF17E9" w:rsidRPr="00220B3E" w:rsidRDefault="00DF17E9" w:rsidP="00044843">
      <w:pPr>
        <w:pStyle w:val="Subheadingunderline"/>
      </w:pPr>
      <w:bookmarkStart w:id="36" w:name="Section_04"/>
      <w:r w:rsidRPr="00220B3E">
        <w:lastRenderedPageBreak/>
        <w:t xml:space="preserve">Introduction </w:t>
      </w:r>
    </w:p>
    <w:p w:rsidR="00DF17E9" w:rsidRDefault="00DF17E9" w:rsidP="00CD6F54">
      <w:pPr>
        <w:pStyle w:val="BodyText"/>
      </w:pPr>
      <w:r w:rsidRPr="004F5AD4">
        <w:t xml:space="preserve">This section </w:t>
      </w:r>
      <w:r>
        <w:t xml:space="preserve">outlines </w:t>
      </w:r>
      <w:r w:rsidRPr="004F5AD4">
        <w:t>those assets that the State controls</w:t>
      </w:r>
      <w:r>
        <w:t>,</w:t>
      </w:r>
      <w:r w:rsidRPr="004F5AD4">
        <w:t xml:space="preserve"> </w:t>
      </w:r>
      <w:r>
        <w:t>reflecting</w:t>
      </w:r>
      <w:r w:rsidRPr="004F5AD4">
        <w:t xml:space="preserve"> investing activities in the current and prior years.</w:t>
      </w:r>
    </w:p>
    <w:p w:rsidR="00DF17E9" w:rsidRPr="00220B3E" w:rsidRDefault="00DF17E9" w:rsidP="00044843">
      <w:pPr>
        <w:pStyle w:val="Subheadingunderline"/>
      </w:pPr>
      <w:r>
        <w:br w:type="column"/>
      </w:r>
      <w:r w:rsidRPr="00FD2984">
        <w:lastRenderedPageBreak/>
        <w:t>Structure</w:t>
      </w:r>
    </w:p>
    <w:p w:rsidR="00DF17E9" w:rsidRDefault="00DF17E9">
      <w:pPr>
        <w:pStyle w:val="TOC9"/>
        <w:rPr>
          <w:rFonts w:eastAsiaTheme="minorEastAsia"/>
          <w:noProof/>
          <w:sz w:val="22"/>
          <w:lang w:eastAsia="en-AU"/>
        </w:rPr>
      </w:pPr>
      <w:r>
        <w:rPr>
          <w:b/>
          <w:noProof/>
        </w:rPr>
        <w:fldChar w:fldCharType="begin"/>
      </w:r>
      <w:r>
        <w:rPr>
          <w:b/>
          <w:noProof/>
        </w:rPr>
        <w:instrText xml:space="preserve"> TOC \h \z \t "Heading 2,9" \b Section_04 </w:instrText>
      </w:r>
      <w:r>
        <w:rPr>
          <w:b/>
          <w:noProof/>
        </w:rPr>
        <w:fldChar w:fldCharType="separate"/>
      </w:r>
      <w:hyperlink w:anchor="_Toc459976214" w:history="1">
        <w:r w:rsidRPr="00C002A2">
          <w:rPr>
            <w:rStyle w:val="Hyperlink"/>
            <w:noProof/>
            <w14:scene3d>
              <w14:camera w14:prst="orthographicFront"/>
              <w14:lightRig w14:rig="threePt" w14:dir="t">
                <w14:rot w14:lat="0" w14:lon="0" w14:rev="0"/>
              </w14:lightRig>
            </w14:scene3d>
          </w:rPr>
          <w:t>4.1</w:t>
        </w:r>
        <w:r>
          <w:rPr>
            <w:rFonts w:eastAsiaTheme="minorEastAsia"/>
            <w:noProof/>
            <w:sz w:val="22"/>
            <w:lang w:eastAsia="en-AU"/>
          </w:rPr>
          <w:tab/>
        </w:r>
        <w:r w:rsidRPr="00C002A2">
          <w:rPr>
            <w:rStyle w:val="Hyperlink"/>
            <w:noProof/>
          </w:rPr>
          <w:t>Land, buildings, infrastructure, plant and equipment</w:t>
        </w:r>
        <w:r>
          <w:rPr>
            <w:noProof/>
            <w:webHidden/>
          </w:rPr>
          <w:tab/>
        </w:r>
        <w:r>
          <w:rPr>
            <w:noProof/>
            <w:webHidden/>
          </w:rPr>
          <w:fldChar w:fldCharType="begin"/>
        </w:r>
        <w:r>
          <w:rPr>
            <w:noProof/>
            <w:webHidden/>
          </w:rPr>
          <w:instrText xml:space="preserve"> PAGEREF _Toc459976214 \h </w:instrText>
        </w:r>
        <w:r>
          <w:rPr>
            <w:noProof/>
            <w:webHidden/>
          </w:rPr>
        </w:r>
        <w:r>
          <w:rPr>
            <w:noProof/>
            <w:webHidden/>
          </w:rPr>
          <w:fldChar w:fldCharType="separate"/>
        </w:r>
        <w:r w:rsidR="00E3704D">
          <w:rPr>
            <w:noProof/>
            <w:webHidden/>
          </w:rPr>
          <w:t>49</w:t>
        </w:r>
        <w:r>
          <w:rPr>
            <w:noProof/>
            <w:webHidden/>
          </w:rPr>
          <w:fldChar w:fldCharType="end"/>
        </w:r>
      </w:hyperlink>
    </w:p>
    <w:p w:rsidR="00DF17E9" w:rsidRDefault="003A3C3D">
      <w:pPr>
        <w:pStyle w:val="TOC9"/>
        <w:rPr>
          <w:rFonts w:eastAsiaTheme="minorEastAsia"/>
          <w:noProof/>
          <w:sz w:val="22"/>
          <w:lang w:eastAsia="en-AU"/>
        </w:rPr>
      </w:pPr>
      <w:hyperlink w:anchor="_Toc459976215" w:history="1">
        <w:r w:rsidR="00DF17E9" w:rsidRPr="00C002A2">
          <w:rPr>
            <w:rStyle w:val="Hyperlink"/>
            <w:noProof/>
            <w14:scene3d>
              <w14:camera w14:prst="orthographicFront"/>
              <w14:lightRig w14:rig="threePt" w14:dir="t">
                <w14:rot w14:lat="0" w14:lon="0" w14:rev="0"/>
              </w14:lightRig>
            </w14:scene3d>
          </w:rPr>
          <w:t>4.2</w:t>
        </w:r>
        <w:r w:rsidR="00DF17E9">
          <w:rPr>
            <w:rFonts w:eastAsiaTheme="minorEastAsia"/>
            <w:noProof/>
            <w:sz w:val="22"/>
            <w:lang w:eastAsia="en-AU"/>
          </w:rPr>
          <w:tab/>
        </w:r>
        <w:r w:rsidR="00DF17E9" w:rsidRPr="00C002A2">
          <w:rPr>
            <w:rStyle w:val="Hyperlink"/>
            <w:noProof/>
          </w:rPr>
          <w:t>Other non-financial assets</w:t>
        </w:r>
        <w:r w:rsidR="00DF17E9">
          <w:rPr>
            <w:noProof/>
            <w:webHidden/>
          </w:rPr>
          <w:tab/>
        </w:r>
        <w:r w:rsidR="00DF17E9">
          <w:rPr>
            <w:noProof/>
            <w:webHidden/>
          </w:rPr>
          <w:fldChar w:fldCharType="begin"/>
        </w:r>
        <w:r w:rsidR="00DF17E9">
          <w:rPr>
            <w:noProof/>
            <w:webHidden/>
          </w:rPr>
          <w:instrText xml:space="preserve"> PAGEREF _Toc459976215 \h </w:instrText>
        </w:r>
        <w:r w:rsidR="00DF17E9">
          <w:rPr>
            <w:noProof/>
            <w:webHidden/>
          </w:rPr>
        </w:r>
        <w:r w:rsidR="00DF17E9">
          <w:rPr>
            <w:noProof/>
            <w:webHidden/>
          </w:rPr>
          <w:fldChar w:fldCharType="separate"/>
        </w:r>
        <w:r w:rsidR="00E3704D">
          <w:rPr>
            <w:noProof/>
            <w:webHidden/>
          </w:rPr>
          <w:t>56</w:t>
        </w:r>
        <w:r w:rsidR="00DF17E9">
          <w:rPr>
            <w:noProof/>
            <w:webHidden/>
          </w:rPr>
          <w:fldChar w:fldCharType="end"/>
        </w:r>
      </w:hyperlink>
    </w:p>
    <w:p w:rsidR="00DF17E9" w:rsidRDefault="003A3C3D">
      <w:pPr>
        <w:pStyle w:val="TOC9"/>
        <w:rPr>
          <w:rFonts w:eastAsiaTheme="minorEastAsia"/>
          <w:noProof/>
          <w:sz w:val="22"/>
          <w:lang w:eastAsia="en-AU"/>
        </w:rPr>
      </w:pPr>
      <w:hyperlink w:anchor="_Toc459976216" w:history="1">
        <w:r w:rsidR="00DF17E9" w:rsidRPr="00C002A2">
          <w:rPr>
            <w:rStyle w:val="Hyperlink"/>
            <w:noProof/>
            <w14:scene3d>
              <w14:camera w14:prst="orthographicFront"/>
              <w14:lightRig w14:rig="threePt" w14:dir="t">
                <w14:rot w14:lat="0" w14:lon="0" w14:rev="0"/>
              </w14:lightRig>
            </w14:scene3d>
          </w:rPr>
          <w:t>4.3</w:t>
        </w:r>
        <w:r w:rsidR="00DF17E9">
          <w:rPr>
            <w:rFonts w:eastAsiaTheme="minorEastAsia"/>
            <w:noProof/>
            <w:sz w:val="22"/>
            <w:lang w:eastAsia="en-AU"/>
          </w:rPr>
          <w:tab/>
        </w:r>
        <w:r w:rsidR="00DF17E9" w:rsidRPr="00C002A2">
          <w:rPr>
            <w:rStyle w:val="Hyperlink"/>
            <w:noProof/>
          </w:rPr>
          <w:t>Non-financial assets held for sale</w:t>
        </w:r>
        <w:r w:rsidR="00DF17E9">
          <w:rPr>
            <w:noProof/>
            <w:webHidden/>
          </w:rPr>
          <w:tab/>
        </w:r>
        <w:r w:rsidR="00DF17E9">
          <w:rPr>
            <w:noProof/>
            <w:webHidden/>
          </w:rPr>
          <w:fldChar w:fldCharType="begin"/>
        </w:r>
        <w:r w:rsidR="00DF17E9">
          <w:rPr>
            <w:noProof/>
            <w:webHidden/>
          </w:rPr>
          <w:instrText xml:space="preserve"> PAGEREF _Toc459976216 \h </w:instrText>
        </w:r>
        <w:r w:rsidR="00DF17E9">
          <w:rPr>
            <w:noProof/>
            <w:webHidden/>
          </w:rPr>
        </w:r>
        <w:r w:rsidR="00DF17E9">
          <w:rPr>
            <w:noProof/>
            <w:webHidden/>
          </w:rPr>
          <w:fldChar w:fldCharType="separate"/>
        </w:r>
        <w:r w:rsidR="00E3704D">
          <w:rPr>
            <w:noProof/>
            <w:webHidden/>
          </w:rPr>
          <w:t>57</w:t>
        </w:r>
        <w:r w:rsidR="00DF17E9">
          <w:rPr>
            <w:noProof/>
            <w:webHidden/>
          </w:rPr>
          <w:fldChar w:fldCharType="end"/>
        </w:r>
      </w:hyperlink>
    </w:p>
    <w:p w:rsidR="00DF17E9" w:rsidRDefault="003A3C3D">
      <w:pPr>
        <w:pStyle w:val="TOC9"/>
        <w:rPr>
          <w:rFonts w:eastAsiaTheme="minorEastAsia"/>
          <w:noProof/>
          <w:sz w:val="22"/>
          <w:lang w:eastAsia="en-AU"/>
        </w:rPr>
      </w:pPr>
      <w:hyperlink w:anchor="_Toc459976217" w:history="1">
        <w:r w:rsidR="00DF17E9" w:rsidRPr="00C002A2">
          <w:rPr>
            <w:rStyle w:val="Hyperlink"/>
            <w:noProof/>
            <w14:scene3d>
              <w14:camera w14:prst="orthographicFront"/>
              <w14:lightRig w14:rig="threePt" w14:dir="t">
                <w14:rot w14:lat="0" w14:lon="0" w14:rev="0"/>
              </w14:lightRig>
            </w14:scene3d>
          </w:rPr>
          <w:t>4.4</w:t>
        </w:r>
        <w:r w:rsidR="00DF17E9">
          <w:rPr>
            <w:rFonts w:eastAsiaTheme="minorEastAsia"/>
            <w:noProof/>
            <w:sz w:val="22"/>
            <w:lang w:eastAsia="en-AU"/>
          </w:rPr>
          <w:tab/>
        </w:r>
        <w:r w:rsidR="00DF17E9" w:rsidRPr="00C002A2">
          <w:rPr>
            <w:rStyle w:val="Hyperlink"/>
            <w:noProof/>
          </w:rPr>
          <w:t>Investments accounted for using the equity method and other joint operations</w:t>
        </w:r>
        <w:r w:rsidR="00DF17E9">
          <w:rPr>
            <w:noProof/>
            <w:webHidden/>
          </w:rPr>
          <w:tab/>
        </w:r>
        <w:r w:rsidR="00DF17E9">
          <w:rPr>
            <w:noProof/>
            <w:webHidden/>
          </w:rPr>
          <w:fldChar w:fldCharType="begin"/>
        </w:r>
        <w:r w:rsidR="00DF17E9">
          <w:rPr>
            <w:noProof/>
            <w:webHidden/>
          </w:rPr>
          <w:instrText xml:space="preserve"> PAGEREF _Toc459976217 \h </w:instrText>
        </w:r>
        <w:r w:rsidR="00DF17E9">
          <w:rPr>
            <w:noProof/>
            <w:webHidden/>
          </w:rPr>
        </w:r>
        <w:r w:rsidR="00DF17E9">
          <w:rPr>
            <w:noProof/>
            <w:webHidden/>
          </w:rPr>
          <w:fldChar w:fldCharType="separate"/>
        </w:r>
        <w:r w:rsidR="00E3704D">
          <w:rPr>
            <w:noProof/>
            <w:webHidden/>
          </w:rPr>
          <w:t>57</w:t>
        </w:r>
        <w:r w:rsidR="00DF17E9">
          <w:rPr>
            <w:noProof/>
            <w:webHidden/>
          </w:rPr>
          <w:fldChar w:fldCharType="end"/>
        </w:r>
      </w:hyperlink>
    </w:p>
    <w:p w:rsidR="00DF17E9" w:rsidRDefault="00DF17E9" w:rsidP="00D6408A">
      <w:pPr>
        <w:pStyle w:val="TOC9"/>
      </w:pPr>
      <w:r>
        <w:rPr>
          <w:b/>
          <w:noProof/>
          <w:spacing w:val="-2"/>
          <w:szCs w:val="19"/>
        </w:rPr>
        <w:fldChar w:fldCharType="end"/>
      </w:r>
    </w:p>
    <w:p w:rsidR="00DF17E9" w:rsidRDefault="00DF17E9" w:rsidP="00983AF0">
      <w:pPr>
        <w:pStyle w:val="BodyText"/>
        <w:sectPr w:rsidR="00DF17E9" w:rsidSect="004F5AD4">
          <w:type w:val="continuous"/>
          <w:pgSz w:w="11906" w:h="16838" w:code="9"/>
          <w:pgMar w:top="1134" w:right="1134" w:bottom="1134" w:left="1134" w:header="624" w:footer="567" w:gutter="0"/>
          <w:cols w:num="2" w:space="708"/>
          <w:docGrid w:linePitch="360"/>
        </w:sectPr>
      </w:pPr>
    </w:p>
    <w:p w:rsidR="00DF17E9" w:rsidRDefault="00DF17E9" w:rsidP="00044843">
      <w:pPr>
        <w:pBdr>
          <w:top w:val="single" w:sz="6" w:space="1" w:color="0063A6" w:themeColor="accent1"/>
        </w:pBdr>
      </w:pPr>
    </w:p>
    <w:p w:rsidR="00DF17E9" w:rsidRPr="0037400C" w:rsidRDefault="00DF17E9" w:rsidP="00044843">
      <w:pPr>
        <w:pStyle w:val="Heading2"/>
      </w:pPr>
      <w:bookmarkStart w:id="37" w:name="_Toc459976214"/>
      <w:r w:rsidRPr="0037400C">
        <w:t>Land, buildings, infrastructure, plant and equipment</w:t>
      </w:r>
      <w:bookmarkEnd w:id="37"/>
    </w:p>
    <w:p w:rsidR="00DF17E9" w:rsidRPr="007C3146" w:rsidRDefault="00DF17E9" w:rsidP="00044843">
      <w:pPr>
        <w:pStyle w:val="Heading3"/>
        <w:tabs>
          <w:tab w:val="right" w:pos="14742"/>
        </w:tabs>
        <w:rPr>
          <w:lang w:val="en-US"/>
        </w:rPr>
      </w:pPr>
      <w:r w:rsidRPr="006A0CBE">
        <w:rPr>
          <w:rStyle w:val="TableUnitsChar"/>
          <w:szCs w:val="22"/>
        </w:rPr>
        <w:t>Total land, buildings, infrastructure, plant and equipment</w:t>
      </w:r>
      <w:r w:rsidRPr="006A0CBE">
        <w:rPr>
          <w:rStyle w:val="TableUnitsChar"/>
          <w:szCs w:val="22"/>
        </w:rPr>
        <w:tab/>
      </w:r>
      <w:r w:rsidRPr="006A0CBE">
        <w:rPr>
          <w:rStyle w:val="TableUnitsChar"/>
          <w:szCs w:val="19"/>
        </w:rPr>
        <w:t>($ million)</w:t>
      </w:r>
    </w:p>
    <w:tbl>
      <w:tblPr>
        <w:tblStyle w:val="TableDTFGeneral"/>
        <w:tblW w:w="9632" w:type="dxa"/>
        <w:tblLayout w:type="fixed"/>
        <w:tblLook w:val="02A0" w:firstRow="1" w:lastRow="0" w:firstColumn="1" w:lastColumn="0" w:noHBand="1" w:noVBand="0"/>
      </w:tblPr>
      <w:tblGrid>
        <w:gridCol w:w="3570"/>
        <w:gridCol w:w="992"/>
        <w:gridCol w:w="1189"/>
        <w:gridCol w:w="938"/>
        <w:gridCol w:w="853"/>
        <w:gridCol w:w="1184"/>
        <w:gridCol w:w="906"/>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0" w:type="dxa"/>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3119" w:type="dxa"/>
            <w:gridSpan w:val="3"/>
          </w:tcPr>
          <w:p w:rsidR="00416AC8" w:rsidRPr="007C3146" w:rsidRDefault="00416AC8" w:rsidP="00416AC8">
            <w:pPr>
              <w:jc w:val="center"/>
              <w:rPr>
                <w:color w:val="FFFFFF"/>
              </w:rPr>
            </w:pPr>
            <w:r w:rsidRPr="007C3146">
              <w:rPr>
                <w:color w:val="FFFFFF"/>
              </w:rPr>
              <w:t xml:space="preserve">State of Victoria </w:t>
            </w:r>
          </w:p>
        </w:tc>
        <w:tc>
          <w:tcPr>
            <w:tcW w:w="2943" w:type="dxa"/>
            <w:gridSpan w:val="3"/>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General government sector</w:t>
            </w:r>
          </w:p>
        </w:tc>
      </w:tr>
      <w:tr w:rsidR="00416AC8" w:rsidRPr="007C3146" w:rsidTr="003A32B0">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3570" w:type="dxa"/>
          </w:tcPr>
          <w:p w:rsidR="00416AC8" w:rsidRPr="007C3146" w:rsidRDefault="00416AC8" w:rsidP="00044843">
            <w:pPr>
              <w:ind w:left="0" w:firstLine="0"/>
              <w:rPr>
                <w:i w:val="0"/>
                <w:color w:val="FFFFFF"/>
              </w:rPr>
            </w:pPr>
            <w:r w:rsidRPr="007C3146">
              <w:rPr>
                <w:color w:val="FFFFFF"/>
              </w:rPr>
              <w:t xml:space="preserve"> </w:t>
            </w:r>
          </w:p>
          <w:p w:rsidR="00416AC8" w:rsidRPr="007C3146" w:rsidRDefault="00416AC8" w:rsidP="00416AC8">
            <w:pPr>
              <w:rPr>
                <w:color w:val="FFFFFF"/>
              </w:rPr>
            </w:pPr>
            <w:r w:rsidRPr="007C3146">
              <w:rPr>
                <w:color w:val="FFFFFF"/>
              </w:rPr>
              <w:t>2016</w:t>
            </w:r>
          </w:p>
        </w:tc>
        <w:tc>
          <w:tcPr>
            <w:cnfStyle w:val="000010000000" w:firstRow="0" w:lastRow="0" w:firstColumn="0" w:lastColumn="0" w:oddVBand="1" w:evenVBand="0" w:oddHBand="0" w:evenHBand="0" w:firstRowFirstColumn="0" w:firstRowLastColumn="0" w:lastRowFirstColumn="0" w:lastRowLastColumn="0"/>
            <w:tcW w:w="992" w:type="dxa"/>
          </w:tcPr>
          <w:p w:rsidR="00416AC8" w:rsidRPr="007C3146" w:rsidRDefault="00416AC8" w:rsidP="00044843">
            <w:pPr>
              <w:rPr>
                <w:i w:val="0"/>
                <w:color w:val="FFFFFF"/>
              </w:rPr>
            </w:pPr>
            <w:r w:rsidRPr="007C3146">
              <w:rPr>
                <w:color w:val="FFFFFF"/>
              </w:rPr>
              <w:t>Gross carrying</w:t>
            </w:r>
          </w:p>
          <w:p w:rsidR="00416AC8" w:rsidRPr="007C3146" w:rsidRDefault="00416AC8" w:rsidP="00044843">
            <w:pPr>
              <w:rPr>
                <w:color w:val="FFFFFF"/>
              </w:rPr>
            </w:pPr>
            <w:r w:rsidRPr="007C3146">
              <w:rPr>
                <w:color w:val="FFFFFF"/>
              </w:rPr>
              <w:t>amount</w:t>
            </w:r>
          </w:p>
        </w:tc>
        <w:tc>
          <w:tcPr>
            <w:tcW w:w="1189" w:type="dxa"/>
          </w:tcPr>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7C3146">
              <w:rPr>
                <w:color w:val="FFFFFF"/>
              </w:rPr>
              <w:t>Accumulated</w:t>
            </w:r>
          </w:p>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depreciation</w:t>
            </w:r>
          </w:p>
        </w:tc>
        <w:tc>
          <w:tcPr>
            <w:cnfStyle w:val="000010000000" w:firstRow="0" w:lastRow="0" w:firstColumn="0" w:lastColumn="0" w:oddVBand="1" w:evenVBand="0" w:oddHBand="0" w:evenHBand="0" w:firstRowFirstColumn="0" w:firstRowLastColumn="0" w:lastRowFirstColumn="0" w:lastRowLastColumn="0"/>
            <w:tcW w:w="938" w:type="dxa"/>
          </w:tcPr>
          <w:p w:rsidR="00416AC8" w:rsidRPr="007C3146" w:rsidRDefault="00416AC8" w:rsidP="00044843">
            <w:pPr>
              <w:rPr>
                <w:i w:val="0"/>
                <w:color w:val="FFFFFF"/>
              </w:rPr>
            </w:pPr>
            <w:r w:rsidRPr="007C3146">
              <w:rPr>
                <w:color w:val="FFFFFF"/>
              </w:rPr>
              <w:t>Carrying</w:t>
            </w:r>
          </w:p>
          <w:p w:rsidR="00416AC8" w:rsidRPr="007C3146" w:rsidRDefault="00416AC8" w:rsidP="00044843">
            <w:pPr>
              <w:rPr>
                <w:color w:val="FFFFFF"/>
              </w:rPr>
            </w:pPr>
            <w:r w:rsidRPr="007C3146">
              <w:rPr>
                <w:color w:val="FFFFFF"/>
              </w:rPr>
              <w:t>amount</w:t>
            </w:r>
          </w:p>
        </w:tc>
        <w:tc>
          <w:tcPr>
            <w:tcW w:w="853" w:type="dxa"/>
          </w:tcPr>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7C3146">
              <w:rPr>
                <w:color w:val="FFFFFF"/>
              </w:rPr>
              <w:t>Gross carrying</w:t>
            </w:r>
          </w:p>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amount</w:t>
            </w:r>
          </w:p>
        </w:tc>
        <w:tc>
          <w:tcPr>
            <w:cnfStyle w:val="000010000000" w:firstRow="0" w:lastRow="0" w:firstColumn="0" w:lastColumn="0" w:oddVBand="1" w:evenVBand="0" w:oddHBand="0" w:evenHBand="0" w:firstRowFirstColumn="0" w:firstRowLastColumn="0" w:lastRowFirstColumn="0" w:lastRowLastColumn="0"/>
            <w:tcW w:w="1184" w:type="dxa"/>
          </w:tcPr>
          <w:p w:rsidR="00416AC8" w:rsidRPr="007C3146" w:rsidRDefault="00416AC8" w:rsidP="00044843">
            <w:pPr>
              <w:rPr>
                <w:i w:val="0"/>
                <w:color w:val="FFFFFF"/>
              </w:rPr>
            </w:pPr>
            <w:r w:rsidRPr="007C3146">
              <w:rPr>
                <w:color w:val="FFFFFF"/>
              </w:rPr>
              <w:t>Accumulated</w:t>
            </w:r>
          </w:p>
          <w:p w:rsidR="00416AC8" w:rsidRPr="007C3146" w:rsidRDefault="00416AC8" w:rsidP="00044843">
            <w:pPr>
              <w:rPr>
                <w:color w:val="FFFFFF"/>
              </w:rPr>
            </w:pPr>
            <w:r w:rsidRPr="007C3146">
              <w:rPr>
                <w:color w:val="FFFFFF"/>
              </w:rPr>
              <w:t>depreciation</w:t>
            </w:r>
          </w:p>
        </w:tc>
        <w:tc>
          <w:tcPr>
            <w:tcW w:w="906" w:type="dxa"/>
          </w:tcPr>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7C3146">
              <w:rPr>
                <w:color w:val="FFFFFF"/>
              </w:rPr>
              <w:t>Carrying</w:t>
            </w:r>
          </w:p>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amount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47 244</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(2 574)</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44 669</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29 437</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(1 825)</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27 612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70 423</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70 423</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44 724</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pPr>
              <w:rPr>
                <w:color w:val="000000"/>
              </w:rPr>
            </w:pPr>
            <w:r w:rsidRPr="007C3146">
              <w:rPr>
                <w:color w:val="000000"/>
              </w:rPr>
              <w:t>..</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44 724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4 940</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(515)</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4 425</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4 467</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(465)</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4 002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63 120</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(2 510)</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60 610</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1 775</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(455)</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1 320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Leased 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4 810</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(281)</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4 529</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pPr>
              <w:rPr>
                <w:color w:val="000000"/>
              </w:rPr>
            </w:pPr>
            <w:r>
              <w:rPr>
                <w:color w:val="000000"/>
              </w:rPr>
              <w:t>..</w:t>
            </w:r>
            <w:r w:rsidRPr="007C3146">
              <w:rPr>
                <w:color w:val="000000"/>
              </w:rPr>
              <w:t xml:space="preserve"> </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11 148</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(4 550)</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6 598</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5 884</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(3 558)</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2 326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1 331</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(271)</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1 060</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396</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(238)</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158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38 790</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(18 690)</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pPr>
              <w:rPr>
                <w:color w:val="000000"/>
              </w:rPr>
            </w:pPr>
            <w:r w:rsidRPr="007C3146">
              <w:rPr>
                <w:color w:val="000000"/>
              </w:rPr>
              <w:t>20 100</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38 705</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(18 673)</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20 031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Pr>
          <w:p w:rsidR="00DF17E9" w:rsidRPr="007C3146" w:rsidRDefault="00DF17E9" w:rsidP="00044843">
            <w:pPr>
              <w:ind w:left="0" w:firstLine="0"/>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r w:rsidRPr="007C3146">
              <w:rPr>
                <w:color w:val="000000"/>
              </w:rPr>
              <w:t>584</w:t>
            </w:r>
          </w:p>
        </w:tc>
        <w:tc>
          <w:tcPr>
            <w:tcW w:w="118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w:t>
            </w:r>
          </w:p>
        </w:tc>
        <w:tc>
          <w:tcPr>
            <w:cnfStyle w:val="000010000000" w:firstRow="0" w:lastRow="0" w:firstColumn="0" w:lastColumn="0" w:oddVBand="1" w:evenVBand="0" w:oddHBand="0" w:evenHBand="0" w:firstRowFirstColumn="0" w:firstRowLastColumn="0" w:lastRowFirstColumn="0" w:lastRowLastColumn="0"/>
            <w:tcW w:w="938" w:type="dxa"/>
          </w:tcPr>
          <w:p w:rsidR="00DF17E9" w:rsidRPr="007C3146" w:rsidRDefault="00DF17E9" w:rsidP="00044843">
            <w:r w:rsidRPr="007C3146">
              <w:rPr>
                <w:color w:val="000000"/>
              </w:rPr>
              <w:t>575</w:t>
            </w:r>
          </w:p>
        </w:tc>
        <w:tc>
          <w:tcPr>
            <w:tcW w:w="853"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584</w:t>
            </w:r>
          </w:p>
        </w:tc>
        <w:tc>
          <w:tcPr>
            <w:cnfStyle w:val="000010000000" w:firstRow="0" w:lastRow="0" w:firstColumn="0" w:lastColumn="0" w:oddVBand="1" w:evenVBand="0" w:oddHBand="0" w:evenHBand="0" w:firstRowFirstColumn="0" w:firstRowLastColumn="0" w:lastRowFirstColumn="0" w:lastRowLastColumn="0"/>
            <w:tcW w:w="1184" w:type="dxa"/>
          </w:tcPr>
          <w:p w:rsidR="00DF17E9" w:rsidRPr="007C3146" w:rsidRDefault="00DF17E9" w:rsidP="00044843">
            <w:r w:rsidRPr="007C3146">
              <w:rPr>
                <w:color w:val="000000"/>
              </w:rPr>
              <w:t>(9)</w:t>
            </w:r>
          </w:p>
        </w:tc>
        <w:tc>
          <w:tcPr>
            <w:tcW w:w="9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575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Borders>
              <w:bottom w:val="nil"/>
            </w:tcBorders>
          </w:tcPr>
          <w:p w:rsidR="00DF17E9" w:rsidRPr="007C3146" w:rsidRDefault="00DF17E9" w:rsidP="00044843">
            <w:pPr>
              <w:ind w:left="0" w:firstLine="0"/>
              <w:rPr>
                <w:color w:val="000000"/>
              </w:rPr>
            </w:pPr>
            <w:r w:rsidRPr="007C3146">
              <w:rPr>
                <w:color w:val="000000"/>
              </w:rPr>
              <w:t>Earthworks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7C3146" w:rsidRDefault="00DF17E9" w:rsidP="00044843">
            <w:pPr>
              <w:rPr>
                <w:color w:val="000000"/>
              </w:rPr>
            </w:pPr>
            <w:r w:rsidRPr="007C3146">
              <w:rPr>
                <w:color w:val="000000"/>
              </w:rPr>
              <w:t>7 913</w:t>
            </w:r>
          </w:p>
        </w:tc>
        <w:tc>
          <w:tcPr>
            <w:tcW w:w="1189"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38" w:type="dxa"/>
            <w:tcBorders>
              <w:bottom w:val="nil"/>
            </w:tcBorders>
          </w:tcPr>
          <w:p w:rsidR="00DF17E9" w:rsidRPr="007C3146" w:rsidRDefault="00DF17E9" w:rsidP="00044843">
            <w:pPr>
              <w:rPr>
                <w:color w:val="000000"/>
              </w:rPr>
            </w:pPr>
            <w:r w:rsidRPr="007C3146">
              <w:rPr>
                <w:color w:val="000000"/>
              </w:rPr>
              <w:t>7 913</w:t>
            </w:r>
          </w:p>
        </w:tc>
        <w:tc>
          <w:tcPr>
            <w:tcW w:w="853"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7 913</w:t>
            </w:r>
          </w:p>
        </w:tc>
        <w:tc>
          <w:tcPr>
            <w:cnfStyle w:val="000010000000" w:firstRow="0" w:lastRow="0" w:firstColumn="0" w:lastColumn="0" w:oddVBand="1" w:evenVBand="0" w:oddHBand="0" w:evenHBand="0" w:firstRowFirstColumn="0" w:firstRowLastColumn="0" w:lastRowFirstColumn="0" w:lastRowLastColumn="0"/>
            <w:tcW w:w="1184" w:type="dxa"/>
            <w:tcBorders>
              <w:bottom w:val="nil"/>
            </w:tcBorders>
          </w:tcPr>
          <w:p w:rsidR="00DF17E9" w:rsidRPr="007C3146" w:rsidRDefault="00DF17E9" w:rsidP="00044843">
            <w:pPr>
              <w:rPr>
                <w:color w:val="000000"/>
              </w:rPr>
            </w:pPr>
            <w:r w:rsidRPr="007C3146">
              <w:rPr>
                <w:color w:val="000000"/>
              </w:rPr>
              <w:t>..</w:t>
            </w:r>
          </w:p>
        </w:tc>
        <w:tc>
          <w:tcPr>
            <w:tcW w:w="90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7 913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Borders>
              <w:bottom w:val="single" w:sz="6" w:space="0" w:color="auto"/>
            </w:tcBorders>
          </w:tcPr>
          <w:p w:rsidR="00DF17E9" w:rsidRPr="007C3146" w:rsidRDefault="00DF17E9" w:rsidP="00044843">
            <w:pPr>
              <w:ind w:left="0" w:firstLine="0"/>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7C3146" w:rsidRDefault="00DF17E9" w:rsidP="00044843">
            <w:pPr>
              <w:rPr>
                <w:color w:val="000000"/>
              </w:rPr>
            </w:pPr>
            <w:r w:rsidRPr="007C3146">
              <w:rPr>
                <w:color w:val="000000"/>
              </w:rPr>
              <w:t>5 877</w:t>
            </w:r>
          </w:p>
        </w:tc>
        <w:tc>
          <w:tcPr>
            <w:tcW w:w="118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(222)</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6" w:space="0" w:color="auto"/>
            </w:tcBorders>
          </w:tcPr>
          <w:p w:rsidR="00DF17E9" w:rsidRPr="007C3146" w:rsidRDefault="00DF17E9" w:rsidP="00044843">
            <w:pPr>
              <w:rPr>
                <w:color w:val="000000"/>
              </w:rPr>
            </w:pPr>
            <w:r w:rsidRPr="007C3146">
              <w:rPr>
                <w:color w:val="000000"/>
              </w:rPr>
              <w:t>5 655</w:t>
            </w:r>
          </w:p>
        </w:tc>
        <w:tc>
          <w:tcPr>
            <w:tcW w:w="853"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5 814</w:t>
            </w:r>
          </w:p>
        </w:tc>
        <w:tc>
          <w:tcPr>
            <w:cnfStyle w:val="000010000000" w:firstRow="0" w:lastRow="0" w:firstColumn="0" w:lastColumn="0" w:oddVBand="1" w:evenVBand="0" w:oddHBand="0" w:evenHBand="0" w:firstRowFirstColumn="0" w:firstRowLastColumn="0" w:lastRowFirstColumn="0" w:lastRowLastColumn="0"/>
            <w:tcW w:w="1184" w:type="dxa"/>
            <w:tcBorders>
              <w:bottom w:val="single" w:sz="6" w:space="0" w:color="auto"/>
            </w:tcBorders>
          </w:tcPr>
          <w:p w:rsidR="00DF17E9" w:rsidRPr="007C3146" w:rsidRDefault="00DF17E9" w:rsidP="00044843">
            <w:r w:rsidRPr="007C3146">
              <w:rPr>
                <w:color w:val="000000"/>
              </w:rPr>
              <w:t>(222)</w:t>
            </w:r>
          </w:p>
        </w:tc>
        <w:tc>
          <w:tcPr>
            <w:tcW w:w="90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5 592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0" w:type="dxa"/>
            <w:tcBorders>
              <w:top w:val="single" w:sz="6" w:space="0" w:color="auto"/>
              <w:bottom w:val="single" w:sz="12" w:space="0" w:color="auto"/>
            </w:tcBorders>
          </w:tcPr>
          <w:p w:rsidR="00DF17E9" w:rsidRPr="007C3146" w:rsidRDefault="00DF17E9" w:rsidP="00416AC8">
            <w:pPr>
              <w:ind w:left="113" w:hanging="113"/>
              <w:rPr>
                <w:color w:val="000000"/>
              </w:rPr>
            </w:pPr>
            <w:r w:rsidRPr="007C3146">
              <w:rPr>
                <w:b/>
                <w:color w:val="000000"/>
              </w:rPr>
              <w:t>Total land, buildings, infrastructure, plant and equipment</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256 180</w:t>
            </w:r>
          </w:p>
        </w:tc>
        <w:tc>
          <w:tcPr>
            <w:tcW w:w="118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(29 623)</w:t>
            </w:r>
          </w:p>
        </w:tc>
        <w:tc>
          <w:tcPr>
            <w:cnfStyle w:val="000010000000" w:firstRow="0" w:lastRow="0" w:firstColumn="0" w:lastColumn="0" w:oddVBand="1" w:evenVBand="0" w:oddHBand="0" w:evenHBand="0" w:firstRowFirstColumn="0" w:firstRowLastColumn="0" w:lastRowFirstColumn="0" w:lastRowLastColumn="0"/>
            <w:tcW w:w="938"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226 557</w:t>
            </w:r>
          </w:p>
        </w:tc>
        <w:tc>
          <w:tcPr>
            <w:tcW w:w="853"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139 701</w:t>
            </w:r>
          </w:p>
        </w:tc>
        <w:tc>
          <w:tcPr>
            <w:cnfStyle w:val="000010000000" w:firstRow="0" w:lastRow="0" w:firstColumn="0" w:lastColumn="0" w:oddVBand="1" w:evenVBand="0" w:oddHBand="0" w:evenHBand="0" w:firstRowFirstColumn="0" w:firstRowLastColumn="0" w:lastRowFirstColumn="0" w:lastRowLastColumn="0"/>
            <w:tcW w:w="1184" w:type="dxa"/>
            <w:tcBorders>
              <w:top w:val="single" w:sz="6" w:space="0" w:color="auto"/>
              <w:bottom w:val="single" w:sz="12" w:space="0" w:color="auto"/>
            </w:tcBorders>
          </w:tcPr>
          <w:p w:rsidR="00DF17E9" w:rsidRPr="007C3146" w:rsidRDefault="00DF17E9" w:rsidP="00044843">
            <w:r w:rsidRPr="007C3146">
              <w:rPr>
                <w:b/>
                <w:color w:val="000000"/>
              </w:rPr>
              <w:t>(25 446)</w:t>
            </w:r>
          </w:p>
        </w:tc>
        <w:tc>
          <w:tcPr>
            <w:tcW w:w="90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114 254</w:t>
            </w:r>
          </w:p>
        </w:tc>
      </w:tr>
    </w:tbl>
    <w:p w:rsidR="00DF17E9" w:rsidRPr="007C3146" w:rsidRDefault="00DF17E9" w:rsidP="00044843">
      <w:pPr>
        <w:pStyle w:val="Note"/>
        <w:rPr>
          <w:b/>
          <w:bCs/>
          <w:lang w:val="en-US"/>
        </w:rPr>
      </w:pPr>
    </w:p>
    <w:tbl>
      <w:tblPr>
        <w:tblStyle w:val="TableDTFGeneral"/>
        <w:tblW w:w="9638" w:type="dxa"/>
        <w:tblLayout w:type="fixed"/>
        <w:tblLook w:val="02A0" w:firstRow="1" w:lastRow="0" w:firstColumn="1" w:lastColumn="0" w:noHBand="1" w:noVBand="0"/>
      </w:tblPr>
      <w:tblGrid>
        <w:gridCol w:w="3572"/>
        <w:gridCol w:w="992"/>
        <w:gridCol w:w="1191"/>
        <w:gridCol w:w="935"/>
        <w:gridCol w:w="856"/>
        <w:gridCol w:w="1185"/>
        <w:gridCol w:w="907"/>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0" w:firstLine="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FFFFFF"/>
              </w:rPr>
            </w:pPr>
            <w:r w:rsidRPr="007C3146">
              <w:rPr>
                <w:color w:val="FFFFFF"/>
              </w:rPr>
              <w:t xml:space="preserve"> </w:t>
            </w:r>
          </w:p>
        </w:tc>
        <w:tc>
          <w:tcPr>
            <w:tcW w:w="1191"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FFFFFF"/>
              </w:rPr>
            </w:pPr>
            <w:r w:rsidRPr="007C3146">
              <w:rPr>
                <w:color w:val="FFFFFF"/>
              </w:rPr>
              <w:t xml:space="preserve"> </w:t>
            </w:r>
          </w:p>
        </w:tc>
        <w:tc>
          <w:tcPr>
            <w:tcW w:w="85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pPr>
              <w:rPr>
                <w:color w:val="FFFFFF"/>
              </w:rPr>
            </w:pPr>
            <w:r w:rsidRPr="007C3146">
              <w:rPr>
                <w:color w:val="FFFFFF"/>
              </w:rPr>
              <w:t xml:space="preserve"> </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45 800</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(2 758)</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43 041</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28 236</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r w:rsidRPr="007C3146">
              <w:rPr>
                <w:color w:val="000000"/>
              </w:rPr>
              <w:t>(2 260)</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25 976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62 508</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62 508</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40 699</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pPr>
              <w:rPr>
                <w:color w:val="000000"/>
              </w:rPr>
            </w:pPr>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40 699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3 068</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(535)</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2 532</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2 967</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r w:rsidRPr="007C3146">
              <w:rPr>
                <w:color w:val="000000"/>
              </w:rPr>
              <w:t>(491)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2 476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56 072</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(4 090)</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51 981</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1 747</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r w:rsidRPr="007C3146">
              <w:rPr>
                <w:color w:val="000000"/>
              </w:rPr>
              <w:t>(448)</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1 299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Leased 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4 802</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(246)</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4 556</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pPr>
              <w:rPr>
                <w:color w:val="000000"/>
              </w:rPr>
            </w:pPr>
            <w:r>
              <w:rPr>
                <w:color w:val="000000"/>
              </w:rPr>
              <w:t>..</w:t>
            </w:r>
            <w:r w:rsidRPr="007C3146">
              <w:rPr>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 xml:space="preserve">Plant, equipment and vehicles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10 710</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(4 275)</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6 435</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5 949</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r w:rsidRPr="007C3146">
              <w:rPr>
                <w:color w:val="000000"/>
              </w:rPr>
              <w:t>(3 674)</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2 275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1 307</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(207)</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1 100</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373</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r w:rsidRPr="007C3146">
              <w:rPr>
                <w:color w:val="000000"/>
              </w:rPr>
              <w:t>(207)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166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pPr>
              <w:rPr>
                <w:color w:val="000000"/>
              </w:rPr>
            </w:pPr>
            <w:r w:rsidRPr="007C3146">
              <w:rPr>
                <w:color w:val="000000"/>
              </w:rPr>
              <w:t>39 060</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(18 098)</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pPr>
              <w:rPr>
                <w:color w:val="000000"/>
              </w:rPr>
            </w:pPr>
            <w:r w:rsidRPr="007C3146">
              <w:rPr>
                <w:color w:val="000000"/>
              </w:rPr>
              <w:t>20 962</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38 984</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r w:rsidRPr="007C3146">
              <w:rPr>
                <w:color w:val="000000"/>
              </w:rPr>
              <w:t>(18 084)</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20 901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Pr>
          <w:p w:rsidR="00DF17E9" w:rsidRPr="007C3146" w:rsidRDefault="00DF17E9" w:rsidP="00044843">
            <w:pPr>
              <w:ind w:left="113" w:hanging="113"/>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7C3146" w:rsidRDefault="00DF17E9" w:rsidP="00044843">
            <w:r w:rsidRPr="007C3146">
              <w:rPr>
                <w:color w:val="000000"/>
              </w:rPr>
              <w:t>584</w:t>
            </w:r>
          </w:p>
        </w:tc>
        <w:tc>
          <w:tcPr>
            <w:tcW w:w="119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35" w:type="dxa"/>
          </w:tcPr>
          <w:p w:rsidR="00DF17E9" w:rsidRPr="007C3146" w:rsidRDefault="00DF17E9" w:rsidP="00044843">
            <w:r w:rsidRPr="007C3146">
              <w:rPr>
                <w:color w:val="000000"/>
              </w:rPr>
              <w:t>584</w:t>
            </w:r>
          </w:p>
        </w:tc>
        <w:tc>
          <w:tcPr>
            <w:tcW w:w="85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584</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7C3146" w:rsidRDefault="00DF17E9" w:rsidP="00044843">
            <w:pPr>
              <w:rPr>
                <w:color w:val="000000"/>
              </w:rPr>
            </w:pPr>
            <w:r>
              <w:rPr>
                <w:color w:val="000000"/>
              </w:rPr>
              <w:t>..</w:t>
            </w:r>
            <w:r w:rsidRPr="007C3146">
              <w:rPr>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584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Borders>
              <w:bottom w:val="nil"/>
            </w:tcBorders>
          </w:tcPr>
          <w:p w:rsidR="00DF17E9" w:rsidRPr="007C3146" w:rsidRDefault="00DF17E9" w:rsidP="00044843">
            <w:pPr>
              <w:ind w:left="113" w:hanging="113"/>
              <w:rPr>
                <w:color w:val="000000"/>
              </w:rPr>
            </w:pPr>
            <w:r w:rsidRPr="007C3146">
              <w:rPr>
                <w:color w:val="000000"/>
              </w:rPr>
              <w:t>Earthworks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7C3146" w:rsidRDefault="00DF17E9" w:rsidP="00044843">
            <w:pPr>
              <w:rPr>
                <w:color w:val="000000"/>
              </w:rPr>
            </w:pPr>
            <w:r w:rsidRPr="007C3146">
              <w:rPr>
                <w:color w:val="000000"/>
              </w:rPr>
              <w:t>7 694</w:t>
            </w:r>
          </w:p>
        </w:tc>
        <w:tc>
          <w:tcPr>
            <w:tcW w:w="119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35" w:type="dxa"/>
            <w:tcBorders>
              <w:bottom w:val="nil"/>
            </w:tcBorders>
          </w:tcPr>
          <w:p w:rsidR="00DF17E9" w:rsidRPr="007C3146" w:rsidRDefault="00DF17E9" w:rsidP="00044843">
            <w:pPr>
              <w:rPr>
                <w:color w:val="000000"/>
              </w:rPr>
            </w:pPr>
            <w:r w:rsidRPr="007C3146">
              <w:rPr>
                <w:color w:val="000000"/>
              </w:rPr>
              <w:t>7 694</w:t>
            </w:r>
          </w:p>
        </w:tc>
        <w:tc>
          <w:tcPr>
            <w:tcW w:w="85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7 690</w:t>
            </w:r>
          </w:p>
        </w:tc>
        <w:tc>
          <w:tcPr>
            <w:cnfStyle w:val="000010000000" w:firstRow="0" w:lastRow="0" w:firstColumn="0" w:lastColumn="0" w:oddVBand="1" w:evenVBand="0" w:oddHBand="0" w:evenHBand="0" w:firstRowFirstColumn="0" w:firstRowLastColumn="0" w:lastRowFirstColumn="0" w:lastRowLastColumn="0"/>
            <w:tcW w:w="1185" w:type="dxa"/>
            <w:tcBorders>
              <w:bottom w:val="nil"/>
            </w:tcBorders>
          </w:tcPr>
          <w:p w:rsidR="00DF17E9" w:rsidRPr="007C3146" w:rsidRDefault="00DF17E9" w:rsidP="00044843">
            <w:pPr>
              <w:rPr>
                <w:color w:val="000000"/>
              </w:rPr>
            </w:pPr>
            <w:r w:rsidRPr="007C3146">
              <w:rPr>
                <w:color w:val="000000"/>
              </w:rPr>
              <w:t>..</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7 690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Borders>
              <w:bottom w:val="single" w:sz="6" w:space="0" w:color="auto"/>
            </w:tcBorders>
          </w:tcPr>
          <w:p w:rsidR="00DF17E9" w:rsidRPr="007C3146" w:rsidRDefault="00DF17E9" w:rsidP="00044843">
            <w:pPr>
              <w:ind w:left="113" w:hanging="113"/>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7C3146" w:rsidRDefault="00DF17E9" w:rsidP="00044843">
            <w:pPr>
              <w:rPr>
                <w:color w:val="000000"/>
              </w:rPr>
            </w:pPr>
            <w:r w:rsidRPr="007C3146">
              <w:rPr>
                <w:color w:val="000000"/>
              </w:rPr>
              <w:t>5 690</w:t>
            </w:r>
          </w:p>
        </w:tc>
        <w:tc>
          <w:tcPr>
            <w:tcW w:w="119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(137)</w:t>
            </w:r>
          </w:p>
        </w:tc>
        <w:tc>
          <w:tcPr>
            <w:cnfStyle w:val="000010000000" w:firstRow="0" w:lastRow="0" w:firstColumn="0" w:lastColumn="0" w:oddVBand="1" w:evenVBand="0" w:oddHBand="0" w:evenHBand="0" w:firstRowFirstColumn="0" w:firstRowLastColumn="0" w:lastRowFirstColumn="0" w:lastRowLastColumn="0"/>
            <w:tcW w:w="935" w:type="dxa"/>
            <w:tcBorders>
              <w:bottom w:val="single" w:sz="6" w:space="0" w:color="auto"/>
            </w:tcBorders>
          </w:tcPr>
          <w:p w:rsidR="00DF17E9" w:rsidRPr="007C3146" w:rsidRDefault="00DF17E9" w:rsidP="00044843">
            <w:pPr>
              <w:rPr>
                <w:color w:val="000000"/>
              </w:rPr>
            </w:pPr>
            <w:r w:rsidRPr="007C3146">
              <w:rPr>
                <w:color w:val="000000"/>
              </w:rPr>
              <w:t>5 554</w:t>
            </w:r>
          </w:p>
        </w:tc>
        <w:tc>
          <w:tcPr>
            <w:tcW w:w="85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5 633</w:t>
            </w:r>
          </w:p>
        </w:tc>
        <w:tc>
          <w:tcPr>
            <w:cnfStyle w:val="000010000000" w:firstRow="0" w:lastRow="0" w:firstColumn="0" w:lastColumn="0" w:oddVBand="1" w:evenVBand="0" w:oddHBand="0" w:evenHBand="0" w:firstRowFirstColumn="0" w:firstRowLastColumn="0" w:lastRowFirstColumn="0" w:lastRowLastColumn="0"/>
            <w:tcW w:w="1185" w:type="dxa"/>
            <w:tcBorders>
              <w:bottom w:val="single" w:sz="6" w:space="0" w:color="auto"/>
            </w:tcBorders>
          </w:tcPr>
          <w:p w:rsidR="00DF17E9" w:rsidRPr="007C3146" w:rsidRDefault="00DF17E9" w:rsidP="00044843">
            <w:r w:rsidRPr="007C3146">
              <w:rPr>
                <w:color w:val="000000"/>
              </w:rPr>
              <w:t>(137)</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5 496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572" w:type="dxa"/>
            <w:tcBorders>
              <w:top w:val="single" w:sz="6" w:space="0" w:color="auto"/>
              <w:bottom w:val="single" w:sz="12" w:space="0" w:color="auto"/>
            </w:tcBorders>
          </w:tcPr>
          <w:p w:rsidR="00DF17E9" w:rsidRPr="007C3146" w:rsidRDefault="00DF17E9" w:rsidP="00044843">
            <w:pPr>
              <w:ind w:left="113" w:hanging="113"/>
              <w:rPr>
                <w:color w:val="000000"/>
              </w:rPr>
            </w:pPr>
            <w:r w:rsidRPr="007C3146">
              <w:rPr>
                <w:b/>
                <w:color w:val="000000"/>
              </w:rPr>
              <w:t xml:space="preserve">Total land, buildings, infrastructure, plant and equipment </w:t>
            </w:r>
            <w:r w:rsidRPr="007C3146">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237 295</w:t>
            </w:r>
          </w:p>
        </w:tc>
        <w:tc>
          <w:tcPr>
            <w:tcW w:w="119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(30 346)</w:t>
            </w:r>
          </w:p>
        </w:tc>
        <w:tc>
          <w:tcPr>
            <w:cnfStyle w:val="000010000000" w:firstRow="0" w:lastRow="0" w:firstColumn="0" w:lastColumn="0" w:oddVBand="1" w:evenVBand="0" w:oddHBand="0" w:evenHBand="0" w:firstRowFirstColumn="0" w:firstRowLastColumn="0" w:lastRowFirstColumn="0" w:lastRowLastColumn="0"/>
            <w:tcW w:w="935"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206 949</w:t>
            </w:r>
          </w:p>
        </w:tc>
        <w:tc>
          <w:tcPr>
            <w:tcW w:w="85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132 862</w:t>
            </w:r>
          </w:p>
        </w:tc>
        <w:tc>
          <w:tcPr>
            <w:cnfStyle w:val="000010000000" w:firstRow="0" w:lastRow="0" w:firstColumn="0" w:lastColumn="0" w:oddVBand="1" w:evenVBand="0" w:oddHBand="0" w:evenHBand="0" w:firstRowFirstColumn="0" w:firstRowLastColumn="0" w:lastRowFirstColumn="0" w:lastRowLastColumn="0"/>
            <w:tcW w:w="1185" w:type="dxa"/>
            <w:tcBorders>
              <w:top w:val="single" w:sz="6" w:space="0" w:color="auto"/>
              <w:bottom w:val="single" w:sz="12" w:space="0" w:color="auto"/>
            </w:tcBorders>
          </w:tcPr>
          <w:p w:rsidR="00DF17E9" w:rsidRPr="007C3146" w:rsidRDefault="00DF17E9" w:rsidP="00044843">
            <w:r w:rsidRPr="007C3146">
              <w:rPr>
                <w:b/>
                <w:color w:val="000000"/>
              </w:rPr>
              <w:t>(25 300)</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107 562</w:t>
            </w:r>
          </w:p>
        </w:tc>
      </w:tr>
    </w:tbl>
    <w:p w:rsidR="00DF17E9" w:rsidRDefault="00DF17E9" w:rsidP="00044843">
      <w:pPr>
        <w:pStyle w:val="Note"/>
      </w:pPr>
      <w:r>
        <w:t>Note:</w:t>
      </w:r>
    </w:p>
    <w:p w:rsidR="00DF17E9" w:rsidRDefault="00DF17E9" w:rsidP="00044843">
      <w:pPr>
        <w:pStyle w:val="Note"/>
        <w:sectPr w:rsidR="00DF17E9" w:rsidSect="00044843">
          <w:type w:val="continuous"/>
          <w:pgSz w:w="11906" w:h="16838" w:code="9"/>
          <w:pgMar w:top="1134" w:right="1134" w:bottom="1134" w:left="1134" w:header="624" w:footer="567" w:gutter="0"/>
          <w:cols w:space="708"/>
          <w:docGrid w:linePitch="360"/>
        </w:sectPr>
      </w:pPr>
      <w:r w:rsidRPr="00732D98">
        <w:t>(</w:t>
      </w:r>
      <w:r>
        <w:t>a)</w:t>
      </w:r>
      <w:r>
        <w:tab/>
      </w:r>
      <w:r w:rsidRPr="00ED02DB">
        <w:t>June 2015 comparative figures have been restated to finalise the allocation of equity balances between contributed capital and accumulated funds related to prior year machinery of government changes.</w:t>
      </w:r>
    </w:p>
    <w:p w:rsidR="00DF17E9" w:rsidRPr="00220B3E" w:rsidRDefault="00DF17E9" w:rsidP="00A12DB6">
      <w:pPr>
        <w:pStyle w:val="Subheading"/>
        <w:spacing w:before="0"/>
      </w:pPr>
      <w:r w:rsidRPr="003E6F42">
        <w:lastRenderedPageBreak/>
        <w:t>Recognition</w:t>
      </w:r>
      <w:r w:rsidRPr="00220B3E">
        <w:t xml:space="preserve"> and measurement</w:t>
      </w:r>
    </w:p>
    <w:p w:rsidR="00DF17E9" w:rsidRPr="00220B3E" w:rsidRDefault="00DF17E9" w:rsidP="00DE241A">
      <w:pPr>
        <w:pStyle w:val="Subheadingunderline"/>
        <w:pBdr>
          <w:bottom w:val="none" w:sz="0" w:space="0" w:color="auto"/>
        </w:pBdr>
      </w:pPr>
      <w:r w:rsidRPr="00220B3E">
        <w:t xml:space="preserve">Initial recognition </w:t>
      </w:r>
    </w:p>
    <w:p w:rsidR="00DF17E9" w:rsidRDefault="00DF17E9" w:rsidP="00BD14C8">
      <w:r>
        <w:t>All non-</w:t>
      </w:r>
      <w:r w:rsidRPr="003D15E9">
        <w:t>financial physical assets are measured initially at cost</w:t>
      </w:r>
      <w:r>
        <w:t xml:space="preserve"> </w:t>
      </w:r>
      <w:r w:rsidRPr="003D15E9">
        <w:t>and subsequently revalued at fair value less accumulated depreciation and impairment. Where an asset is acquired for no or nominal cost, the cost is its fair value at the date of acquisition.</w:t>
      </w:r>
      <w:r>
        <w:t xml:space="preserve"> </w:t>
      </w:r>
    </w:p>
    <w:p w:rsidR="00DF17E9" w:rsidRDefault="00DF17E9" w:rsidP="00BD14C8">
      <w:r w:rsidRPr="00EC62E9">
        <w:t>The cost of constructed non</w:t>
      </w:r>
      <w:r w:rsidRPr="00EC62E9">
        <w:noBreakHyphen/>
        <w:t>financial physical assets includes the cost of all materials used in construction, direct labour on the project and an appropriate proportion of variable and fixed overheads.</w:t>
      </w:r>
      <w:r>
        <w:t xml:space="preserve"> </w:t>
      </w:r>
      <w:r w:rsidRPr="00EC62E9">
        <w:t>The cost of leasehold improvements is capitalised</w:t>
      </w:r>
      <w:r>
        <w:t xml:space="preserve"> when incurred. </w:t>
      </w:r>
    </w:p>
    <w:p w:rsidR="00DF17E9" w:rsidRPr="00EC62E9" w:rsidRDefault="00DF17E9" w:rsidP="00BD14C8">
      <w:r w:rsidRPr="00EC62E9">
        <w:t>The initial cost for non</w:t>
      </w:r>
      <w:r w:rsidRPr="00EC62E9">
        <w:noBreakHyphen/>
        <w:t>financial physical assets under a finance lease is measured at amounts equal to the fair value of the leased asset or, if lower, the present value of the minimum lease payments, each determined at the inception of the lease.</w:t>
      </w:r>
    </w:p>
    <w:p w:rsidR="00DF17E9" w:rsidRDefault="00DF17E9" w:rsidP="00BD14C8">
      <w:r w:rsidRPr="00EC62E9">
        <w:t>Certain assets are acquired under finance leases, which may form part of a service concession arrangement</w:t>
      </w:r>
      <w:r>
        <w:t xml:space="preserve"> (re</w:t>
      </w:r>
      <w:r w:rsidRPr="00EC62E9">
        <w:t xml:space="preserve">fer </w:t>
      </w:r>
      <w:r>
        <w:t>Note 5.6).</w:t>
      </w:r>
    </w:p>
    <w:p w:rsidR="00DF17E9" w:rsidRDefault="00DF17E9" w:rsidP="00DE241A">
      <w:pPr>
        <w:pStyle w:val="Subheadingunderline"/>
        <w:pBdr>
          <w:bottom w:val="none" w:sz="0" w:space="0" w:color="auto"/>
        </w:pBdr>
      </w:pPr>
      <w:r>
        <w:t>Subsequent m</w:t>
      </w:r>
      <w:r w:rsidRPr="003D15E9">
        <w:t xml:space="preserve">easurement </w:t>
      </w:r>
    </w:p>
    <w:p w:rsidR="00DF17E9" w:rsidRDefault="00DF17E9" w:rsidP="00DE241A">
      <w:r>
        <w:t>All non-</w:t>
      </w:r>
      <w:r w:rsidRPr="003D15E9">
        <w:t xml:space="preserve">financial physical assets are </w:t>
      </w:r>
      <w:r>
        <w:t xml:space="preserve">subsequently </w:t>
      </w:r>
      <w:r w:rsidRPr="003D15E9">
        <w:t>measured at fair value less accumulated depreciation and impairment</w:t>
      </w:r>
      <w:r>
        <w:t>. Non</w:t>
      </w:r>
      <w:r>
        <w:noBreakHyphen/>
        <w:t xml:space="preserve">financial physical assets </w:t>
      </w:r>
      <w:r w:rsidRPr="003D15E9">
        <w:t xml:space="preserve">are measured at fair value with regard to the </w:t>
      </w:r>
      <w:r>
        <w:t>asset</w:t>
      </w:r>
      <w:r w:rsidRPr="003D15E9">
        <w:t>’s highest and best use after due consideration is made for any legal or physical restrictions imposed on the asset, public announcements or commitments made in relation to</w:t>
      </w:r>
      <w:r>
        <w:t xml:space="preserve"> the intended use of the asset.</w:t>
      </w:r>
    </w:p>
    <w:p w:rsidR="00DF17E9" w:rsidRDefault="00DF17E9" w:rsidP="00373D05">
      <w:r>
        <w:t>T</w:t>
      </w:r>
      <w:r w:rsidRPr="003D15E9">
        <w:t>heoretical opportunities that may be available in relation to the asset are not taken into account until it is virtually certain that the restrictions will no longer apply. Therefore, unless otherwise disclosed, the current use of these non-financial physical assets wil</w:t>
      </w:r>
      <w:r>
        <w:t>l be their highest and best use</w:t>
      </w:r>
      <w:r w:rsidRPr="003D15E9">
        <w:t>.</w:t>
      </w:r>
    </w:p>
    <w:p w:rsidR="00DF17E9" w:rsidRDefault="00DF17E9" w:rsidP="00DE241A">
      <w:pPr>
        <w:pStyle w:val="Subheadingunderline"/>
        <w:pBdr>
          <w:bottom w:val="none" w:sz="0" w:space="0" w:color="auto"/>
        </w:pBdr>
        <w:spacing w:before="0"/>
      </w:pPr>
      <w:r w:rsidRPr="00081081">
        <w:t>Impairment</w:t>
      </w:r>
    </w:p>
    <w:p w:rsidR="00DF17E9" w:rsidRPr="006A75A2" w:rsidRDefault="00DF17E9" w:rsidP="00DE241A">
      <w:r w:rsidRPr="006A75A2">
        <w:t xml:space="preserve">Goodwill and intangible assets with indefinite useful lives (and intangible assets not yet available for use) are tested annually for impairment (as described </w:t>
      </w:r>
      <w:r>
        <w:t>in the next column</w:t>
      </w:r>
      <w:r w:rsidRPr="006A75A2">
        <w:t xml:space="preserve">) and whenever there is an indication that the asset may be impaired. </w:t>
      </w:r>
    </w:p>
    <w:p w:rsidR="00DF17E9" w:rsidRDefault="00DF17E9" w:rsidP="00DE241A">
      <w:r w:rsidRPr="006A75A2">
        <w:lastRenderedPageBreak/>
        <w:t>All other assets are assessed annually for indications of impairment, except for:</w:t>
      </w:r>
    </w:p>
    <w:p w:rsidR="00DF17E9" w:rsidRPr="006A75A2" w:rsidRDefault="00DF17E9" w:rsidP="00DE241A">
      <w:pPr>
        <w:pStyle w:val="ListBullet"/>
      </w:pPr>
      <w:r w:rsidRPr="006A75A2">
        <w:t xml:space="preserve">inventories (refer </w:t>
      </w:r>
      <w:r>
        <w:t>note 6.2</w:t>
      </w:r>
      <w:r w:rsidRPr="00B3771F">
        <w:t>)</w:t>
      </w:r>
      <w:r w:rsidRPr="006A75A2">
        <w:t>;</w:t>
      </w:r>
    </w:p>
    <w:p w:rsidR="00DF17E9" w:rsidRPr="006A75A2" w:rsidRDefault="00DF17E9" w:rsidP="00DE241A">
      <w:pPr>
        <w:pStyle w:val="ListBullet"/>
      </w:pPr>
      <w:r w:rsidRPr="006A75A2">
        <w:t>non</w:t>
      </w:r>
      <w:r>
        <w:noBreakHyphen/>
      </w:r>
      <w:r w:rsidRPr="006A75A2">
        <w:t xml:space="preserve">financial physical assets held for sale (refer </w:t>
      </w:r>
      <w:r>
        <w:t>note 4.3</w:t>
      </w:r>
      <w:r w:rsidRPr="006A75A2">
        <w:t>);</w:t>
      </w:r>
    </w:p>
    <w:p w:rsidR="00DF17E9" w:rsidRDefault="00DF17E9" w:rsidP="00DE241A">
      <w:pPr>
        <w:pStyle w:val="ListBullet"/>
      </w:pPr>
      <w:r w:rsidRPr="006A75A2">
        <w:t>certain bio</w:t>
      </w:r>
      <w:r w:rsidRPr="008D5BFA">
        <w:t>l</w:t>
      </w:r>
      <w:r w:rsidRPr="006A75A2">
        <w:t xml:space="preserve">ogical assets related to agricultural activity (refer </w:t>
      </w:r>
      <w:r>
        <w:t>note 4.2</w:t>
      </w:r>
      <w:r w:rsidRPr="00B3771F">
        <w:t>);</w:t>
      </w:r>
    </w:p>
    <w:p w:rsidR="00DF17E9" w:rsidRPr="006A75A2" w:rsidRDefault="00DF17E9" w:rsidP="00DE241A">
      <w:pPr>
        <w:pStyle w:val="ListBullet"/>
      </w:pPr>
      <w:r w:rsidRPr="006A75A2">
        <w:t xml:space="preserve">investment properties that are measured at fair value (refer </w:t>
      </w:r>
      <w:r>
        <w:t>note 4.2</w:t>
      </w:r>
      <w:r w:rsidRPr="00B3771F">
        <w:t>);</w:t>
      </w:r>
      <w:r w:rsidRPr="006A75A2">
        <w:t xml:space="preserve"> and</w:t>
      </w:r>
    </w:p>
    <w:p w:rsidR="00DF17E9" w:rsidRDefault="00DF17E9" w:rsidP="00DE241A">
      <w:pPr>
        <w:pStyle w:val="ListBullet"/>
      </w:pPr>
      <w:r w:rsidRPr="006A75A2">
        <w:t xml:space="preserve">assets arising from construction contracts (refer </w:t>
      </w:r>
      <w:r>
        <w:t>note 4.1</w:t>
      </w:r>
      <w:r w:rsidRPr="006A75A2">
        <w:t>).</w:t>
      </w:r>
    </w:p>
    <w:p w:rsidR="00DF17E9" w:rsidRPr="006A75A2" w:rsidRDefault="00DF17E9" w:rsidP="00DE241A">
      <w:r w:rsidRPr="006A75A2">
        <w:t>If there is an indication of impairment, the assets concerned are tested as to whether their carrying value exceeds their recoverable amount. Where an asset</w:t>
      </w:r>
      <w:r>
        <w:t>’</w:t>
      </w:r>
      <w:r w:rsidRPr="006A75A2">
        <w:t xml:space="preserve">s carrying value exceeds its recoverable amount, the difference is written off as an </w:t>
      </w:r>
      <w:r>
        <w:t>‘</w:t>
      </w:r>
      <w:r w:rsidRPr="006A75A2">
        <w:t>other economic flow</w:t>
      </w:r>
      <w:r>
        <w:t>’</w:t>
      </w:r>
      <w:r w:rsidRPr="006A75A2">
        <w:t>, except to the extent that the write down can be debited to an asset revaluation surplus amount applicable to that class of asset.</w:t>
      </w:r>
    </w:p>
    <w:p w:rsidR="00DF17E9" w:rsidRPr="006A75A2" w:rsidRDefault="00DF17E9" w:rsidP="00DE241A">
      <w:r w:rsidRPr="006A75A2">
        <w:t>If there is an indication that there has been a change in the estimate of an asset</w:t>
      </w:r>
      <w:r>
        <w:t>’</w:t>
      </w:r>
      <w:r w:rsidRPr="006A75A2">
        <w:t xml:space="preserve">s recoverable amount since the last impairment loss was recognised, the carrying amount </w:t>
      </w:r>
      <w:r>
        <w:t>would</w:t>
      </w:r>
      <w:r w:rsidRPr="006A75A2">
        <w:t xml:space="preserve"> be increased to its recoverable amount. This reversal of the impairment loss occurs only to the extent that the asset</w:t>
      </w:r>
      <w:r>
        <w:t>’</w:t>
      </w:r>
      <w:r w:rsidRPr="006A75A2">
        <w:t xml:space="preserve">s carrying amount does not exceed the carrying amount that would have been determined, net of depreciation or amortisation, if no impairment loss had been recognised in prior years. </w:t>
      </w:r>
    </w:p>
    <w:p w:rsidR="00DF17E9" w:rsidRDefault="00DF17E9" w:rsidP="00DE241A">
      <w:r w:rsidRPr="006A75A2">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DF17E9" w:rsidRDefault="00DF17E9" w:rsidP="00DE241A">
      <w:r>
        <w:t>Note 7.5 describes the fair value determination of non-financial assets.</w:t>
      </w:r>
    </w:p>
    <w:p w:rsidR="00DF17E9" w:rsidRDefault="00DF17E9" w:rsidP="00DE241A"/>
    <w:p w:rsidR="00DF17E9" w:rsidRDefault="00DF17E9" w:rsidP="00BD14C8"/>
    <w:p w:rsidR="00DF17E9" w:rsidRDefault="00DF17E9" w:rsidP="00BD14C8">
      <w:pPr>
        <w:sectPr w:rsidR="00DF17E9" w:rsidSect="00044843">
          <w:headerReference w:type="default" r:id="rId127"/>
          <w:type w:val="continuous"/>
          <w:pgSz w:w="11906" w:h="16838" w:code="9"/>
          <w:pgMar w:top="1138" w:right="1138" w:bottom="1138" w:left="1138" w:header="619" w:footer="562" w:gutter="0"/>
          <w:cols w:num="2" w:space="708"/>
          <w:docGrid w:linePitch="360"/>
        </w:sectPr>
      </w:pPr>
    </w:p>
    <w:p w:rsidR="00DF17E9" w:rsidRDefault="00DF17E9">
      <w:pPr>
        <w:rPr>
          <w:rFonts w:asciiTheme="majorHAnsi" w:eastAsiaTheme="majorEastAsia" w:hAnsiTheme="majorHAnsi" w:cstheme="majorBidi"/>
          <w:b/>
          <w:bCs/>
          <w:spacing w:val="-2"/>
          <w:szCs w:val="26"/>
        </w:rPr>
      </w:pPr>
      <w:r>
        <w:lastRenderedPageBreak/>
        <w:br w:type="page"/>
      </w:r>
    </w:p>
    <w:p w:rsidR="00DF17E9" w:rsidRPr="007C3146" w:rsidRDefault="00DF17E9" w:rsidP="00044843">
      <w:pPr>
        <w:pStyle w:val="Heading3"/>
        <w:tabs>
          <w:tab w:val="right" w:pos="14742"/>
        </w:tabs>
        <w:rPr>
          <w:rFonts w:eastAsiaTheme="minorEastAsia"/>
          <w:lang w:val="en-US" w:eastAsia="en-AU"/>
        </w:rPr>
      </w:pPr>
      <w:r w:rsidRPr="002D4109">
        <w:lastRenderedPageBreak/>
        <w:t>Depreciation</w:t>
      </w:r>
      <w:r w:rsidRPr="0076233E">
        <w:tab/>
      </w:r>
      <w:r w:rsidRPr="0076233E">
        <w:rPr>
          <w:rStyle w:val="TableUnitsChar"/>
        </w:rPr>
        <w:t>($ million)</w:t>
      </w:r>
    </w:p>
    <w:tbl>
      <w:tblPr>
        <w:tblStyle w:val="TableDTFGeneral"/>
        <w:tblW w:w="9644" w:type="dxa"/>
        <w:tblLayout w:type="fixed"/>
        <w:tblLook w:val="02A0" w:firstRow="1" w:lastRow="0" w:firstColumn="1" w:lastColumn="0" w:noHBand="1" w:noVBand="0"/>
      </w:tblPr>
      <w:tblGrid>
        <w:gridCol w:w="4706"/>
        <w:gridCol w:w="1230"/>
        <w:gridCol w:w="1236"/>
        <w:gridCol w:w="6"/>
        <w:gridCol w:w="1230"/>
        <w:gridCol w:w="1236"/>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6" w:type="dxa"/>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472" w:type="dxa"/>
            <w:gridSpan w:val="3"/>
          </w:tcPr>
          <w:p w:rsidR="00416AC8" w:rsidRPr="007C3146" w:rsidRDefault="00416AC8" w:rsidP="00416AC8">
            <w:pPr>
              <w:jc w:val="center"/>
              <w:rPr>
                <w:color w:val="FFFFFF"/>
              </w:rPr>
            </w:pPr>
            <w:r w:rsidRPr="007C3146">
              <w:rPr>
                <w:color w:val="FFFFFF"/>
              </w:rPr>
              <w:t xml:space="preserve">State of Victoria </w:t>
            </w:r>
          </w:p>
        </w:tc>
        <w:tc>
          <w:tcPr>
            <w:tcW w:w="2466" w:type="dxa"/>
            <w:gridSpan w:val="2"/>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government sector </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pPr>
              <w:rPr>
                <w:color w:val="FFFFFF"/>
              </w:rPr>
            </w:pPr>
            <w:r w:rsidRPr="007C3146">
              <w:rPr>
                <w:color w:val="FFFFFF"/>
              </w:rPr>
              <w:t>2016</w:t>
            </w:r>
          </w:p>
        </w:tc>
        <w:tc>
          <w:tcPr>
            <w:tcW w:w="123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pPr>
              <w:rPr>
                <w:color w:val="FFFFFF"/>
              </w:rPr>
            </w:pPr>
            <w:r w:rsidRPr="007C3146">
              <w:rPr>
                <w:color w:val="FFFFFF"/>
              </w:rPr>
              <w:t>2016</w:t>
            </w:r>
          </w:p>
        </w:tc>
        <w:tc>
          <w:tcPr>
            <w:tcW w:w="123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pPr>
              <w:rPr>
                <w:color w:val="000000"/>
              </w:rPr>
            </w:pPr>
            <w:r w:rsidRPr="007C3146">
              <w:rPr>
                <w:color w:val="000000"/>
              </w:rPr>
              <w:t>1 441</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1 354</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pPr>
              <w:rPr>
                <w:color w:val="000000"/>
              </w:rPr>
            </w:pPr>
            <w:r w:rsidRPr="007C3146">
              <w:rPr>
                <w:color w:val="000000"/>
              </w:rPr>
              <w:t>1 031</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984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r w:rsidRPr="007C3146">
              <w:rPr>
                <w:color w:val="000000"/>
              </w:rPr>
              <w:t>127</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117</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r w:rsidRPr="007C3146">
              <w:rPr>
                <w:color w:val="000000"/>
              </w:rPr>
              <w:t>120</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111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pPr>
              <w:rPr>
                <w:color w:val="000000"/>
              </w:rPr>
            </w:pPr>
            <w:r w:rsidRPr="007C3146">
              <w:rPr>
                <w:color w:val="000000"/>
              </w:rPr>
              <w:t>1 359</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1 247</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r w:rsidRPr="007C3146">
              <w:rPr>
                <w:color w:val="000000"/>
              </w:rPr>
              <w:t>44</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Leased infrastructure systems</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r w:rsidRPr="007C3146">
              <w:rPr>
                <w:color w:val="000000"/>
              </w:rPr>
              <w:t>81</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81</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pPr>
              <w:rPr>
                <w:color w:val="000000"/>
              </w:rPr>
            </w:pPr>
            <w:r w:rsidRPr="007C3146">
              <w:rPr>
                <w:color w:val="000000"/>
              </w:rPr>
              <w:t>..</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r w:rsidRPr="007C3146">
              <w:rPr>
                <w:color w:val="000000"/>
              </w:rPr>
              <w:t>822</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792</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r w:rsidRPr="007C3146">
              <w:rPr>
                <w:color w:val="000000"/>
              </w:rPr>
              <w:t>518</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518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r w:rsidRPr="007C3146">
              <w:rPr>
                <w:color w:val="000000"/>
              </w:rPr>
              <w:t>45</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33</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r w:rsidRPr="007C3146">
              <w:rPr>
                <w:color w:val="000000"/>
              </w:rPr>
              <w:t>45</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r w:rsidRPr="007C3146">
              <w:rPr>
                <w:color w:val="000000"/>
              </w:rPr>
              <w:t>599</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593</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r w:rsidRPr="007C3146">
              <w:rPr>
                <w:color w:val="000000"/>
              </w:rPr>
              <w:t>596</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Pr>
          <w:p w:rsidR="00DF17E9" w:rsidRPr="007C3146" w:rsidRDefault="00DF17E9" w:rsidP="00044843">
            <w:pPr>
              <w:ind w:left="0" w:firstLine="0"/>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1230" w:type="dxa"/>
          </w:tcPr>
          <w:p w:rsidR="00DF17E9" w:rsidRPr="007C3146" w:rsidRDefault="00DF17E9" w:rsidP="00044843">
            <w:r w:rsidRPr="007C3146">
              <w:rPr>
                <w:color w:val="000000"/>
              </w:rPr>
              <w:t>9</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236" w:type="dxa"/>
            <w:gridSpan w:val="2"/>
          </w:tcPr>
          <w:p w:rsidR="00DF17E9" w:rsidRPr="007C3146" w:rsidRDefault="00DF17E9" w:rsidP="00044843">
            <w:r w:rsidRPr="007C3146">
              <w:rPr>
                <w:color w:val="000000"/>
              </w:rPr>
              <w:t>9</w:t>
            </w:r>
          </w:p>
        </w:tc>
        <w:tc>
          <w:tcPr>
            <w:tcW w:w="123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Borders>
              <w:bottom w:val="nil"/>
            </w:tcBorders>
          </w:tcPr>
          <w:p w:rsidR="00DF17E9" w:rsidRPr="007C3146" w:rsidRDefault="00DF17E9" w:rsidP="00044843">
            <w:pPr>
              <w:ind w:left="0" w:firstLine="0"/>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1230" w:type="dxa"/>
            <w:tcBorders>
              <w:bottom w:val="nil"/>
            </w:tcBorders>
          </w:tcPr>
          <w:p w:rsidR="00DF17E9" w:rsidRPr="007C3146" w:rsidRDefault="00DF17E9" w:rsidP="00044843">
            <w:r w:rsidRPr="007C3146">
              <w:rPr>
                <w:color w:val="000000"/>
              </w:rPr>
              <w:t>14</w:t>
            </w:r>
          </w:p>
        </w:tc>
        <w:tc>
          <w:tcPr>
            <w:tcW w:w="123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w:t>
            </w:r>
          </w:p>
        </w:tc>
        <w:tc>
          <w:tcPr>
            <w:cnfStyle w:val="000010000000" w:firstRow="0" w:lastRow="0" w:firstColumn="0" w:lastColumn="0" w:oddVBand="1" w:evenVBand="0" w:oddHBand="0" w:evenHBand="0" w:firstRowFirstColumn="0" w:firstRowLastColumn="0" w:lastRowFirstColumn="0" w:lastRowLastColumn="0"/>
            <w:tcW w:w="1236" w:type="dxa"/>
            <w:gridSpan w:val="2"/>
            <w:tcBorders>
              <w:bottom w:val="nil"/>
            </w:tcBorders>
          </w:tcPr>
          <w:p w:rsidR="00DF17E9" w:rsidRPr="007C3146" w:rsidRDefault="00DF17E9" w:rsidP="00044843">
            <w:r w:rsidRPr="007C3146">
              <w:rPr>
                <w:color w:val="000000"/>
              </w:rPr>
              <w:t>14</w:t>
            </w:r>
          </w:p>
        </w:tc>
        <w:tc>
          <w:tcPr>
            <w:tcW w:w="123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Borders>
              <w:bottom w:val="single" w:sz="6" w:space="0" w:color="auto"/>
            </w:tcBorders>
          </w:tcPr>
          <w:p w:rsidR="00DF17E9" w:rsidRPr="007C3146" w:rsidRDefault="00DF17E9" w:rsidP="00044843">
            <w:pPr>
              <w:ind w:left="0" w:firstLine="0"/>
              <w:rPr>
                <w:color w:val="000000"/>
              </w:rPr>
            </w:pPr>
            <w:r w:rsidRPr="007C3146">
              <w:rPr>
                <w:color w:val="000000"/>
              </w:rPr>
              <w:t>Intangible produced assets</w:t>
            </w:r>
          </w:p>
        </w:tc>
        <w:tc>
          <w:tcPr>
            <w:cnfStyle w:val="000010000000" w:firstRow="0" w:lastRow="0" w:firstColumn="0" w:lastColumn="0" w:oddVBand="1" w:evenVBand="0" w:oddHBand="0" w:evenHBand="0" w:firstRowFirstColumn="0" w:firstRowLastColumn="0" w:lastRowFirstColumn="0" w:lastRowLastColumn="0"/>
            <w:tcW w:w="1230" w:type="dxa"/>
            <w:tcBorders>
              <w:bottom w:val="single" w:sz="6" w:space="0" w:color="auto"/>
            </w:tcBorders>
          </w:tcPr>
          <w:p w:rsidR="00DF17E9" w:rsidRPr="007C3146" w:rsidRDefault="00DF17E9" w:rsidP="00044843">
            <w:r w:rsidRPr="007C3146">
              <w:rPr>
                <w:color w:val="000000"/>
              </w:rPr>
              <w:t>207</w:t>
            </w:r>
          </w:p>
        </w:tc>
        <w:tc>
          <w:tcPr>
            <w:tcW w:w="123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217</w:t>
            </w:r>
          </w:p>
        </w:tc>
        <w:tc>
          <w:tcPr>
            <w:cnfStyle w:val="000010000000" w:firstRow="0" w:lastRow="0" w:firstColumn="0" w:lastColumn="0" w:oddVBand="1" w:evenVBand="0" w:oddHBand="0" w:evenHBand="0" w:firstRowFirstColumn="0" w:firstRowLastColumn="0" w:lastRowFirstColumn="0" w:lastRowLastColumn="0"/>
            <w:tcW w:w="1236" w:type="dxa"/>
            <w:gridSpan w:val="2"/>
            <w:tcBorders>
              <w:bottom w:val="single" w:sz="6" w:space="0" w:color="auto"/>
            </w:tcBorders>
          </w:tcPr>
          <w:p w:rsidR="00DF17E9" w:rsidRPr="007C3146" w:rsidRDefault="00DF17E9" w:rsidP="00044843">
            <w:r w:rsidRPr="007C3146">
              <w:rPr>
                <w:color w:val="000000"/>
              </w:rPr>
              <w:t>125</w:t>
            </w:r>
          </w:p>
        </w:tc>
        <w:tc>
          <w:tcPr>
            <w:tcW w:w="123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129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6"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depreciation</w:t>
            </w:r>
          </w:p>
        </w:tc>
        <w:tc>
          <w:tcPr>
            <w:cnfStyle w:val="000010000000" w:firstRow="0" w:lastRow="0" w:firstColumn="0" w:lastColumn="0" w:oddVBand="1" w:evenVBand="0" w:oddHBand="0" w:evenHBand="0" w:firstRowFirstColumn="0" w:firstRowLastColumn="0" w:lastRowFirstColumn="0" w:lastRowLastColumn="0"/>
            <w:tcW w:w="1230"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4 706</w:t>
            </w:r>
          </w:p>
        </w:tc>
        <w:tc>
          <w:tcPr>
            <w:tcW w:w="123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4 454</w:t>
            </w:r>
          </w:p>
        </w:tc>
        <w:tc>
          <w:tcPr>
            <w:cnfStyle w:val="000010000000" w:firstRow="0" w:lastRow="0" w:firstColumn="0" w:lastColumn="0" w:oddVBand="1" w:evenVBand="0" w:oddHBand="0" w:evenHBand="0" w:firstRowFirstColumn="0" w:firstRowLastColumn="0" w:lastRowFirstColumn="0" w:lastRowLastColumn="0"/>
            <w:tcW w:w="1236"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2 504</w:t>
            </w:r>
          </w:p>
        </w:tc>
        <w:tc>
          <w:tcPr>
            <w:tcW w:w="123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2 425</w:t>
            </w:r>
          </w:p>
        </w:tc>
      </w:tr>
    </w:tbl>
    <w:p w:rsidR="00DF17E9" w:rsidRDefault="00DF17E9" w:rsidP="004F5AD4">
      <w:pPr>
        <w:pStyle w:val="BodyText"/>
      </w:pPr>
    </w:p>
    <w:p w:rsidR="00DF17E9" w:rsidRDefault="00DF17E9" w:rsidP="004F5AD4">
      <w:pPr>
        <w:pStyle w:val="BodyText"/>
        <w:sectPr w:rsidR="00DF17E9" w:rsidSect="004F5AD4">
          <w:headerReference w:type="even" r:id="rId128"/>
          <w:headerReference w:type="default" r:id="rId129"/>
          <w:type w:val="continuous"/>
          <w:pgSz w:w="11906" w:h="16838" w:code="9"/>
          <w:pgMar w:top="1134" w:right="1134" w:bottom="1134" w:left="1134" w:header="624" w:footer="567" w:gutter="0"/>
          <w:cols w:space="708"/>
          <w:docGrid w:linePitch="360"/>
        </w:sectPr>
      </w:pPr>
    </w:p>
    <w:p w:rsidR="00DF17E9" w:rsidRPr="00C1539D" w:rsidRDefault="00DF17E9" w:rsidP="004115D7">
      <w:r w:rsidRPr="00C1539D">
        <w:lastRenderedPageBreak/>
        <w:t>All infrastructure assets, buildings, plant and equipment and other non</w:t>
      </w:r>
      <w:r w:rsidRPr="00C1539D">
        <w:noBreakHyphen/>
        <w:t xml:space="preserve">financial physical assets (excluding items under operating leases, assets held for sale, land and investment properties) that have finite useful lives are depreciated. Depreciation is generally calculated on a straight line basis, at rates that allocate the asset’s value, less any estimated residual value, over its estimated useful life. </w:t>
      </w:r>
    </w:p>
    <w:p w:rsidR="00DF17E9" w:rsidRPr="00C1539D" w:rsidRDefault="00DF17E9" w:rsidP="004115D7">
      <w:r w:rsidRPr="00C1539D">
        <w:t xml:space="preserve">The estimated useful lives, residual values and depreciation method are reviewed at the end of each annual reporting period, and adjustments made where appropriate. </w:t>
      </w:r>
    </w:p>
    <w:p w:rsidR="00DF17E9" w:rsidRPr="00C1539D" w:rsidRDefault="00DF17E9" w:rsidP="004115D7">
      <w:r w:rsidRPr="00C1539D">
        <w:t>Leasehold improvements are depreciated over the shorter of the lease term and useful lives.</w:t>
      </w:r>
    </w:p>
    <w:p w:rsidR="00DF17E9" w:rsidRDefault="00DF17E9" w:rsidP="004115D7">
      <w:r w:rsidRPr="00C1539D">
        <w:t>Typical estimated useful lives for the different asset classes for current and prior years are included in the table below:</w:t>
      </w:r>
    </w:p>
    <w:tbl>
      <w:tblPr>
        <w:tblStyle w:val="TableDTFGeneral"/>
        <w:tblW w:w="5000" w:type="pct"/>
        <w:tblLayout w:type="fixed"/>
        <w:tblLook w:val="02A0" w:firstRow="1" w:lastRow="0" w:firstColumn="1" w:lastColumn="0" w:noHBand="1" w:noVBand="0"/>
      </w:tblPr>
      <w:tblGrid>
        <w:gridCol w:w="3290"/>
        <w:gridCol w:w="1289"/>
      </w:tblGrid>
      <w:tr w:rsidR="00DF17E9" w:rsidRPr="00FE3386" w:rsidTr="003732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bottom w:val="single" w:sz="4" w:space="0" w:color="auto"/>
            </w:tcBorders>
          </w:tcPr>
          <w:p w:rsidR="00DF17E9" w:rsidRPr="00920BDE" w:rsidRDefault="00DF17E9" w:rsidP="00373259">
            <w:r w:rsidRPr="00920BDE">
              <w:t xml:space="preserve">Asset </w:t>
            </w:r>
          </w:p>
        </w:tc>
        <w:tc>
          <w:tcPr>
            <w:cnfStyle w:val="000010000000" w:firstRow="0" w:lastRow="0" w:firstColumn="0" w:lastColumn="0" w:oddVBand="1" w:evenVBand="0" w:oddHBand="0" w:evenHBand="0" w:firstRowFirstColumn="0" w:firstRowLastColumn="0" w:lastRowFirstColumn="0" w:lastRowLastColumn="0"/>
            <w:tcW w:w="1289" w:type="dxa"/>
            <w:tcBorders>
              <w:bottom w:val="single" w:sz="4" w:space="0" w:color="auto"/>
            </w:tcBorders>
          </w:tcPr>
          <w:p w:rsidR="00DF17E9" w:rsidRPr="00920BDE" w:rsidRDefault="00DF17E9" w:rsidP="00373259">
            <w:r w:rsidRPr="00920BDE">
              <w:t>Useful life</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Borders>
              <w:top w:val="single" w:sz="4" w:space="0" w:color="auto"/>
            </w:tcBorders>
          </w:tcPr>
          <w:p w:rsidR="00DF17E9" w:rsidRPr="00920BDE" w:rsidRDefault="00DF17E9" w:rsidP="00373259">
            <w:r w:rsidRPr="00920BDE">
              <w:t>Buildings</w:t>
            </w:r>
          </w:p>
        </w:tc>
        <w:tc>
          <w:tcPr>
            <w:cnfStyle w:val="000010000000" w:firstRow="0" w:lastRow="0" w:firstColumn="0" w:lastColumn="0" w:oddVBand="1" w:evenVBand="0" w:oddHBand="0" w:evenHBand="0" w:firstRowFirstColumn="0" w:firstRowLastColumn="0" w:lastRowFirstColumn="0" w:lastRowLastColumn="0"/>
            <w:tcW w:w="1289" w:type="dxa"/>
            <w:tcBorders>
              <w:top w:val="single" w:sz="4" w:space="0" w:color="auto"/>
            </w:tcBorders>
          </w:tcPr>
          <w:p w:rsidR="00DF17E9" w:rsidRPr="00920BDE" w:rsidRDefault="00DF17E9" w:rsidP="00373259">
            <w:r w:rsidRPr="00920BDE">
              <w:t>20 to 100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373259">
            <w:r w:rsidRPr="00920BDE">
              <w:t>Leasehold buildings</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DF17E9" w:rsidP="00373259">
            <w:r w:rsidRPr="00920BDE">
              <w:t>2 to 60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373259">
            <w:r w:rsidRPr="00920BDE">
              <w:t>Infrastructure systems:</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DF17E9" w:rsidP="00373259"/>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044843">
            <w:pPr>
              <w:ind w:left="340"/>
            </w:pPr>
            <w:r w:rsidRPr="00920BDE">
              <w:t>water infrastructure – storage facilities</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DF17E9" w:rsidP="00373259">
            <w:r w:rsidRPr="00920BDE">
              <w:t>25 to 300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044843">
            <w:pPr>
              <w:ind w:left="340"/>
            </w:pPr>
            <w:r w:rsidRPr="00920BDE">
              <w:t>water infrastructure – other</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DF17E9" w:rsidP="00373259">
            <w:r w:rsidRPr="00920BDE">
              <w:t>25 to 100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044843">
            <w:pPr>
              <w:ind w:left="340"/>
            </w:pPr>
            <w:r w:rsidRPr="00920BDE">
              <w:t>rail infrastructure</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5F61A9" w:rsidP="00373259">
            <w:r>
              <w:t>50 to 100</w:t>
            </w:r>
            <w:r w:rsidR="00DF17E9" w:rsidRPr="00920BDE">
              <w:t xml:space="preserve">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044843">
            <w:pPr>
              <w:ind w:left="340"/>
            </w:pPr>
            <w:r w:rsidRPr="00920BDE">
              <w:t>other infrastructure</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DF17E9" w:rsidP="00373259">
            <w:r w:rsidRPr="00920BDE">
              <w:t>10 to 32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Pr>
          <w:p w:rsidR="00DF17E9" w:rsidRPr="00920BDE" w:rsidRDefault="00DF17E9" w:rsidP="00373259">
            <w:r w:rsidRPr="00920BDE">
              <w:t xml:space="preserve">Plant, equipment and vehicle </w:t>
            </w:r>
            <w:r>
              <w:br/>
            </w:r>
            <w:r w:rsidRPr="00920BDE">
              <w:t>(incl</w:t>
            </w:r>
            <w:r>
              <w:t xml:space="preserve">uding </w:t>
            </w:r>
            <w:r w:rsidRPr="00920BDE">
              <w:t>leased assets)</w:t>
            </w:r>
          </w:p>
        </w:tc>
        <w:tc>
          <w:tcPr>
            <w:cnfStyle w:val="000010000000" w:firstRow="0" w:lastRow="0" w:firstColumn="0" w:lastColumn="0" w:oddVBand="1" w:evenVBand="0" w:oddHBand="0" w:evenHBand="0" w:firstRowFirstColumn="0" w:firstRowLastColumn="0" w:lastRowFirstColumn="0" w:lastRowLastColumn="0"/>
            <w:tcW w:w="1289" w:type="dxa"/>
          </w:tcPr>
          <w:p w:rsidR="00DF17E9" w:rsidRPr="00920BDE" w:rsidRDefault="00DF17E9" w:rsidP="00373259">
            <w:r w:rsidRPr="00920BDE">
              <w:t>3 to 10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Borders>
              <w:bottom w:val="nil"/>
            </w:tcBorders>
          </w:tcPr>
          <w:p w:rsidR="00DF17E9" w:rsidRPr="00920BDE" w:rsidRDefault="00DF17E9" w:rsidP="00044843">
            <w:r w:rsidRPr="00920BDE">
              <w:t xml:space="preserve">Road and road </w:t>
            </w:r>
            <w:r>
              <w:t>infrastructure</w:t>
            </w:r>
            <w:r w:rsidRPr="00920BDE">
              <w:t xml:space="preserve"> (incl</w:t>
            </w:r>
            <w:r>
              <w:t>uding</w:t>
            </w:r>
            <w:r w:rsidRPr="00920BDE">
              <w:t xml:space="preserve"> bridges)</w:t>
            </w:r>
          </w:p>
        </w:tc>
        <w:tc>
          <w:tcPr>
            <w:cnfStyle w:val="000010000000" w:firstRow="0" w:lastRow="0" w:firstColumn="0" w:lastColumn="0" w:oddVBand="1" w:evenVBand="0" w:oddHBand="0" w:evenHBand="0" w:firstRowFirstColumn="0" w:firstRowLastColumn="0" w:lastRowFirstColumn="0" w:lastRowLastColumn="0"/>
            <w:tcW w:w="1289" w:type="dxa"/>
            <w:tcBorders>
              <w:bottom w:val="nil"/>
            </w:tcBorders>
          </w:tcPr>
          <w:p w:rsidR="00DF17E9" w:rsidRPr="00920BDE" w:rsidRDefault="00DF17E9" w:rsidP="00373259">
            <w:r w:rsidRPr="00920BDE">
              <w:t>60 to 90 years</w:t>
            </w:r>
          </w:p>
        </w:tc>
      </w:tr>
      <w:tr w:rsidR="00DF17E9" w:rsidRPr="00FE3386" w:rsidTr="0037325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rsidR="00DF17E9" w:rsidRPr="00920BDE" w:rsidRDefault="00DF17E9" w:rsidP="00373259">
            <w:r w:rsidRPr="00920BDE">
              <w:t>Cultural assets (with finite useful lives)</w:t>
            </w:r>
          </w:p>
        </w:tc>
        <w:tc>
          <w:tcPr>
            <w:cnfStyle w:val="000010000000" w:firstRow="0" w:lastRow="0" w:firstColumn="0" w:lastColumn="0" w:oddVBand="1" w:evenVBand="0" w:oddHBand="0" w:evenHBand="0" w:firstRowFirstColumn="0" w:firstRowLastColumn="0" w:lastRowFirstColumn="0" w:lastRowLastColumn="0"/>
            <w:tcW w:w="1289" w:type="dxa"/>
            <w:tcBorders>
              <w:bottom w:val="single" w:sz="12" w:space="0" w:color="auto"/>
            </w:tcBorders>
          </w:tcPr>
          <w:p w:rsidR="00DF17E9" w:rsidRPr="00920BDE" w:rsidRDefault="00DF17E9" w:rsidP="00373259">
            <w:r w:rsidRPr="00920BDE">
              <w:t>100 years</w:t>
            </w:r>
          </w:p>
        </w:tc>
      </w:tr>
    </w:tbl>
    <w:p w:rsidR="00DF17E9" w:rsidRPr="00FE3386" w:rsidRDefault="00DF17E9" w:rsidP="00044843">
      <w:pPr>
        <w:pStyle w:val="Subheadingunderline"/>
        <w:pBdr>
          <w:bottom w:val="none" w:sz="0" w:space="0" w:color="auto"/>
        </w:pBdr>
        <w:spacing w:before="0"/>
      </w:pPr>
      <w:r>
        <w:br w:type="column"/>
      </w:r>
      <w:r>
        <w:lastRenderedPageBreak/>
        <w:t>Indefinite lif</w:t>
      </w:r>
      <w:r w:rsidRPr="00FE3386">
        <w:t xml:space="preserve">e </w:t>
      </w:r>
      <w:r w:rsidRPr="0064203B">
        <w:t>assets</w:t>
      </w:r>
    </w:p>
    <w:p w:rsidR="00DF17E9" w:rsidRDefault="00DF17E9" w:rsidP="00D000A8">
      <w:r w:rsidRPr="00822734">
        <w:t>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w:t>
      </w:r>
      <w:r>
        <w:t>.</w:t>
      </w:r>
    </w:p>
    <w:p w:rsidR="00DF17E9" w:rsidRPr="00FE3386" w:rsidRDefault="00DF17E9" w:rsidP="00044843">
      <w:pPr>
        <w:pStyle w:val="Subheadingunderline"/>
        <w:pBdr>
          <w:bottom w:val="none" w:sz="0" w:space="0" w:color="auto"/>
        </w:pBdr>
        <w:spacing w:before="120"/>
      </w:pPr>
      <w:r w:rsidRPr="0064203B">
        <w:t>Intangible</w:t>
      </w:r>
      <w:r w:rsidRPr="00FE3386">
        <w:t xml:space="preserve"> asset</w:t>
      </w:r>
      <w:r>
        <w:t xml:space="preserve">s </w:t>
      </w:r>
    </w:p>
    <w:p w:rsidR="00DF17E9" w:rsidRDefault="00DF17E9" w:rsidP="004115D7">
      <w:r w:rsidRPr="00571FD4">
        <w:t xml:space="preserve">Intangible produced assets with finite useful lives are depreciated as an expense from </w:t>
      </w:r>
      <w:r w:rsidRPr="00B25245">
        <w:t>transactions on a systematic (typically</w:t>
      </w:r>
      <w:r>
        <w:t xml:space="preserve"> straight line) basis over the asset’s useful life. </w:t>
      </w:r>
      <w:r w:rsidRPr="00B25245">
        <w:t>Depreciation begins when the asset is available for use, that is, when it is in the location and condition necessary for it to be capable of operating in the manner intended by</w:t>
      </w:r>
      <w:r>
        <w:t xml:space="preserve"> </w:t>
      </w:r>
      <w:r w:rsidRPr="00B25245">
        <w:t xml:space="preserve">management. </w:t>
      </w:r>
    </w:p>
    <w:p w:rsidR="00DF17E9" w:rsidRDefault="00DF17E9" w:rsidP="004115D7">
      <w:r w:rsidRPr="00B25245">
        <w:t>All intangible assets are tested for impairment whenever there is an indication that the asset may be impaired.</w:t>
      </w:r>
    </w:p>
    <w:p w:rsidR="00DF17E9" w:rsidRDefault="00DF17E9" w:rsidP="004115D7">
      <w:r w:rsidRPr="00B25245">
        <w:t>The consumption of intangible non</w:t>
      </w:r>
      <w:r w:rsidRPr="00B25245">
        <w:noBreakHyphen/>
        <w:t>produced assets with finite useful lives is not classified as a transaction, but as amortisation and included in the net result as an ‘other economic flow’.</w:t>
      </w:r>
    </w:p>
    <w:p w:rsidR="00DF17E9" w:rsidRDefault="00DF17E9" w:rsidP="004115D7">
      <w:r>
        <w:t>I</w:t>
      </w:r>
      <w:r w:rsidRPr="00B25245">
        <w:t xml:space="preserve">ntangible </w:t>
      </w:r>
      <w:r>
        <w:t xml:space="preserve">produced </w:t>
      </w:r>
      <w:r w:rsidRPr="00B25245">
        <w:t xml:space="preserve">assets have useful lives of between </w:t>
      </w:r>
      <w:r>
        <w:t>three</w:t>
      </w:r>
      <w:r w:rsidRPr="00B25245">
        <w:t xml:space="preserve"> and </w:t>
      </w:r>
      <w:r>
        <w:t>five</w:t>
      </w:r>
      <w:r w:rsidRPr="00B25245">
        <w:t xml:space="preserve"> years.</w:t>
      </w:r>
    </w:p>
    <w:p w:rsidR="00DF17E9" w:rsidRPr="00FE3386" w:rsidRDefault="00DF17E9" w:rsidP="00044843">
      <w:pPr>
        <w:pStyle w:val="Subheadingunderline"/>
        <w:pBdr>
          <w:bottom w:val="none" w:sz="0" w:space="0" w:color="auto"/>
        </w:pBdr>
        <w:spacing w:before="120"/>
      </w:pPr>
      <w:r>
        <w:t>Other non-financial assets</w:t>
      </w:r>
    </w:p>
    <w:p w:rsidR="00DF17E9" w:rsidRDefault="00DF17E9" w:rsidP="004F5AD4">
      <w:pPr>
        <w:pStyle w:val="BodyText"/>
      </w:pPr>
      <w:r w:rsidRPr="0035557D">
        <w:t>See</w:t>
      </w:r>
      <w:r>
        <w:t xml:space="preserve"> </w:t>
      </w:r>
      <w:r w:rsidRPr="00A12DB6">
        <w:t>Note 4.2 Other</w:t>
      </w:r>
      <w:r w:rsidRPr="0035557D">
        <w:t xml:space="preserve"> non-financial assets for further information on intangible assets.</w:t>
      </w:r>
    </w:p>
    <w:p w:rsidR="00DF17E9" w:rsidRDefault="00DF17E9" w:rsidP="004F5AD4">
      <w:pPr>
        <w:pStyle w:val="BodyText"/>
      </w:pPr>
    </w:p>
    <w:p w:rsidR="00DF17E9" w:rsidRDefault="00DF17E9">
      <w:r>
        <w:br w:type="page"/>
      </w:r>
    </w:p>
    <w:p w:rsidR="00DF17E9" w:rsidRDefault="00DF17E9" w:rsidP="004F5AD4">
      <w:pPr>
        <w:pStyle w:val="BodyText"/>
        <w:sectPr w:rsidR="00DF17E9" w:rsidSect="00920BDE">
          <w:headerReference w:type="even" r:id="rId130"/>
          <w:headerReference w:type="default" r:id="rId131"/>
          <w:footerReference w:type="even" r:id="rId132"/>
          <w:footerReference w:type="default" r:id="rId133"/>
          <w:type w:val="continuous"/>
          <w:pgSz w:w="11906" w:h="16838" w:code="9"/>
          <w:pgMar w:top="1134" w:right="1134" w:bottom="1134" w:left="1134" w:header="624" w:footer="567" w:gutter="0"/>
          <w:cols w:num="2" w:space="708"/>
          <w:docGrid w:linePitch="360"/>
        </w:sectPr>
      </w:pPr>
    </w:p>
    <w:p w:rsidR="00DF17E9" w:rsidRPr="007C3146" w:rsidRDefault="00DF17E9" w:rsidP="00044843">
      <w:pPr>
        <w:pStyle w:val="Heading3"/>
        <w:tabs>
          <w:tab w:val="right" w:pos="14742"/>
        </w:tabs>
        <w:rPr>
          <w:i/>
          <w:sz w:val="16"/>
          <w:lang w:val="en-US"/>
        </w:rPr>
      </w:pPr>
      <w:r w:rsidRPr="0086647D">
        <w:lastRenderedPageBreak/>
        <w:t>Net gain/(loss) on disposal of non</w:t>
      </w:r>
      <w:r>
        <w:t>-</w:t>
      </w:r>
      <w:r w:rsidRPr="0086647D">
        <w:t>financial assets</w:t>
      </w:r>
      <w:r>
        <w:t xml:space="preserve"> </w:t>
      </w:r>
      <w:r w:rsidRPr="00C93C3A">
        <w:rPr>
          <w:vertAlign w:val="superscript"/>
        </w:rPr>
        <w:t>(a)</w:t>
      </w:r>
      <w:r>
        <w:tab/>
      </w:r>
      <w:r w:rsidRPr="0086647D">
        <w:rPr>
          <w:rStyle w:val="TableUnitsChar"/>
        </w:rPr>
        <w:t>($ million)</w:t>
      </w:r>
    </w:p>
    <w:tbl>
      <w:tblPr>
        <w:tblStyle w:val="TableDTFGeneral"/>
        <w:tblW w:w="9660" w:type="dxa"/>
        <w:tblLayout w:type="fixed"/>
        <w:tblLook w:val="02A0" w:firstRow="1" w:lastRow="0" w:firstColumn="1" w:lastColumn="0" w:noHBand="1" w:noVBand="0"/>
      </w:tblPr>
      <w:tblGrid>
        <w:gridCol w:w="4702"/>
        <w:gridCol w:w="1235"/>
        <w:gridCol w:w="1236"/>
        <w:gridCol w:w="1232"/>
        <w:gridCol w:w="1255"/>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2" w:type="dxa"/>
            <w:tcBorders>
              <w:bottom w:val="nil"/>
            </w:tcBorders>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471" w:type="dxa"/>
            <w:gridSpan w:val="2"/>
            <w:tcBorders>
              <w:bottom w:val="nil"/>
            </w:tcBorders>
          </w:tcPr>
          <w:p w:rsidR="00416AC8" w:rsidRPr="007C3146" w:rsidRDefault="00416AC8" w:rsidP="00416AC8">
            <w:pPr>
              <w:jc w:val="center"/>
              <w:rPr>
                <w:color w:val="FFFFFF"/>
              </w:rPr>
            </w:pPr>
            <w:r w:rsidRPr="007C3146">
              <w:rPr>
                <w:color w:val="FFFFFF"/>
              </w:rPr>
              <w:t xml:space="preserve">State of Victoria </w:t>
            </w:r>
          </w:p>
        </w:tc>
        <w:tc>
          <w:tcPr>
            <w:tcW w:w="2487" w:type="dxa"/>
            <w:gridSpan w:val="2"/>
            <w:tcBorders>
              <w:bottom w:val="nil"/>
            </w:tcBorders>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government sector </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2" w:type="dxa"/>
            <w:tcBorders>
              <w:top w:val="nil"/>
              <w:bottom w:val="nil"/>
            </w:tcBorders>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235" w:type="dxa"/>
            <w:tcBorders>
              <w:top w:val="nil"/>
              <w:bottom w:val="nil"/>
            </w:tcBorders>
          </w:tcPr>
          <w:p w:rsidR="00DF17E9" w:rsidRPr="007C3146" w:rsidRDefault="00DF17E9" w:rsidP="00044843">
            <w:pPr>
              <w:rPr>
                <w:color w:val="FFFFFF"/>
              </w:rPr>
            </w:pPr>
            <w:r w:rsidRPr="007C3146">
              <w:rPr>
                <w:color w:val="FFFFFF"/>
              </w:rPr>
              <w:t>2016</w:t>
            </w:r>
          </w:p>
        </w:tc>
        <w:tc>
          <w:tcPr>
            <w:tcW w:w="1236" w:type="dxa"/>
            <w:tcBorders>
              <w:top w:val="nil"/>
              <w:bottom w:val="nil"/>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232" w:type="dxa"/>
            <w:tcBorders>
              <w:top w:val="nil"/>
              <w:bottom w:val="nil"/>
            </w:tcBorders>
          </w:tcPr>
          <w:p w:rsidR="00DF17E9" w:rsidRPr="007C3146" w:rsidRDefault="00DF17E9" w:rsidP="00044843">
            <w:pPr>
              <w:rPr>
                <w:color w:val="FFFFFF"/>
              </w:rPr>
            </w:pPr>
            <w:r w:rsidRPr="007C3146">
              <w:rPr>
                <w:color w:val="FFFFFF"/>
              </w:rPr>
              <w:t>2016</w:t>
            </w:r>
          </w:p>
        </w:tc>
        <w:tc>
          <w:tcPr>
            <w:tcW w:w="1255" w:type="dxa"/>
            <w:tcBorders>
              <w:top w:val="nil"/>
              <w:bottom w:val="nil"/>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2" w:type="dxa"/>
            <w:tcBorders>
              <w:top w:val="nil"/>
              <w:bottom w:val="nil"/>
            </w:tcBorders>
          </w:tcPr>
          <w:p w:rsidR="00DF17E9" w:rsidRPr="007C3146" w:rsidRDefault="00DF17E9" w:rsidP="00044843">
            <w:pPr>
              <w:ind w:left="0" w:firstLine="0"/>
              <w:rPr>
                <w:color w:val="000000"/>
              </w:rPr>
            </w:pPr>
            <w:r w:rsidRPr="007C3146">
              <w:rPr>
                <w:color w:val="000000"/>
              </w:rPr>
              <w:t>Proceeds from disposal of physical assets</w:t>
            </w:r>
          </w:p>
        </w:tc>
        <w:tc>
          <w:tcPr>
            <w:cnfStyle w:val="000010000000" w:firstRow="0" w:lastRow="0" w:firstColumn="0" w:lastColumn="0" w:oddVBand="1" w:evenVBand="0" w:oddHBand="0" w:evenHBand="0" w:firstRowFirstColumn="0" w:firstRowLastColumn="0" w:lastRowFirstColumn="0" w:lastRowLastColumn="0"/>
            <w:tcW w:w="1235" w:type="dxa"/>
            <w:tcBorders>
              <w:top w:val="nil"/>
              <w:bottom w:val="nil"/>
            </w:tcBorders>
          </w:tcPr>
          <w:p w:rsidR="00DF17E9" w:rsidRPr="007C3146" w:rsidRDefault="00DF17E9" w:rsidP="00044843">
            <w:r w:rsidRPr="007C3146">
              <w:rPr>
                <w:color w:val="000000"/>
              </w:rPr>
              <w:t>453</w:t>
            </w:r>
          </w:p>
        </w:tc>
        <w:tc>
          <w:tcPr>
            <w:tcW w:w="1236" w:type="dxa"/>
            <w:tcBorders>
              <w:top w:val="nil"/>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595</w:t>
            </w:r>
          </w:p>
        </w:tc>
        <w:tc>
          <w:tcPr>
            <w:cnfStyle w:val="000010000000" w:firstRow="0" w:lastRow="0" w:firstColumn="0" w:lastColumn="0" w:oddVBand="1" w:evenVBand="0" w:oddHBand="0" w:evenHBand="0" w:firstRowFirstColumn="0" w:firstRowLastColumn="0" w:lastRowFirstColumn="0" w:lastRowLastColumn="0"/>
            <w:tcW w:w="1232" w:type="dxa"/>
            <w:tcBorders>
              <w:top w:val="nil"/>
              <w:bottom w:val="nil"/>
            </w:tcBorders>
          </w:tcPr>
          <w:p w:rsidR="00DF17E9" w:rsidRPr="007C3146" w:rsidRDefault="00DF17E9" w:rsidP="00044843">
            <w:r w:rsidRPr="007C3146">
              <w:rPr>
                <w:color w:val="000000"/>
              </w:rPr>
              <w:t>189</w:t>
            </w:r>
          </w:p>
        </w:tc>
        <w:tc>
          <w:tcPr>
            <w:tcW w:w="1255" w:type="dxa"/>
            <w:tcBorders>
              <w:top w:val="nil"/>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398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2" w:type="dxa"/>
            <w:tcBorders>
              <w:bottom w:val="single" w:sz="6" w:space="0" w:color="auto"/>
            </w:tcBorders>
          </w:tcPr>
          <w:p w:rsidR="00DF17E9" w:rsidRPr="007C3146" w:rsidRDefault="00DF17E9" w:rsidP="00044843">
            <w:pPr>
              <w:ind w:left="0" w:firstLine="0"/>
              <w:rPr>
                <w:color w:val="000000"/>
              </w:rPr>
            </w:pPr>
            <w:r w:rsidRPr="007C3146">
              <w:rPr>
                <w:color w:val="000000"/>
              </w:rPr>
              <w:t>Written down value of assets sold/(disposed)</w:t>
            </w:r>
          </w:p>
        </w:tc>
        <w:tc>
          <w:tcPr>
            <w:cnfStyle w:val="000010000000" w:firstRow="0" w:lastRow="0" w:firstColumn="0" w:lastColumn="0" w:oddVBand="1" w:evenVBand="0" w:oddHBand="0" w:evenHBand="0" w:firstRowFirstColumn="0" w:firstRowLastColumn="0" w:lastRowFirstColumn="0" w:lastRowLastColumn="0"/>
            <w:tcW w:w="1235" w:type="dxa"/>
            <w:tcBorders>
              <w:bottom w:val="single" w:sz="6" w:space="0" w:color="auto"/>
            </w:tcBorders>
          </w:tcPr>
          <w:p w:rsidR="00DF17E9" w:rsidRPr="007C3146" w:rsidRDefault="00DF17E9" w:rsidP="00044843">
            <w:r w:rsidRPr="007C3146">
              <w:rPr>
                <w:color w:val="000000"/>
              </w:rPr>
              <w:t>(601)</w:t>
            </w:r>
          </w:p>
        </w:tc>
        <w:tc>
          <w:tcPr>
            <w:tcW w:w="123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(586)</w:t>
            </w:r>
          </w:p>
        </w:tc>
        <w:tc>
          <w:tcPr>
            <w:cnfStyle w:val="000010000000" w:firstRow="0" w:lastRow="0" w:firstColumn="0" w:lastColumn="0" w:oddVBand="1" w:evenVBand="0" w:oddHBand="0" w:evenHBand="0" w:firstRowFirstColumn="0" w:firstRowLastColumn="0" w:lastRowFirstColumn="0" w:lastRowLastColumn="0"/>
            <w:tcW w:w="1232" w:type="dxa"/>
            <w:tcBorders>
              <w:bottom w:val="single" w:sz="6" w:space="0" w:color="auto"/>
            </w:tcBorders>
          </w:tcPr>
          <w:p w:rsidR="00DF17E9" w:rsidRPr="007C3146" w:rsidRDefault="00DF17E9" w:rsidP="00044843">
            <w:r w:rsidRPr="007C3146">
              <w:rPr>
                <w:color w:val="000000"/>
              </w:rPr>
              <w:t>(333)</w:t>
            </w:r>
          </w:p>
        </w:tc>
        <w:tc>
          <w:tcPr>
            <w:tcW w:w="1255"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(366)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4702"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Net gain/(loss) on disposal of non-financial assets</w:t>
            </w:r>
          </w:p>
        </w:tc>
        <w:tc>
          <w:tcPr>
            <w:cnfStyle w:val="000010000000" w:firstRow="0" w:lastRow="0" w:firstColumn="0" w:lastColumn="0" w:oddVBand="1" w:evenVBand="0" w:oddHBand="0" w:evenHBand="0" w:firstRowFirstColumn="0" w:firstRowLastColumn="0" w:lastRowFirstColumn="0" w:lastRowLastColumn="0"/>
            <w:tcW w:w="1235" w:type="dxa"/>
            <w:tcBorders>
              <w:top w:val="single" w:sz="6" w:space="0" w:color="auto"/>
              <w:bottom w:val="single" w:sz="12" w:space="0" w:color="auto"/>
            </w:tcBorders>
          </w:tcPr>
          <w:p w:rsidR="00DF17E9" w:rsidRPr="007C3146" w:rsidRDefault="00DF17E9" w:rsidP="00044843">
            <w:r w:rsidRPr="007C3146">
              <w:rPr>
                <w:b/>
                <w:color w:val="000000"/>
              </w:rPr>
              <w:t>(148)</w:t>
            </w:r>
          </w:p>
        </w:tc>
        <w:tc>
          <w:tcPr>
            <w:tcW w:w="123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9</w:t>
            </w:r>
          </w:p>
        </w:tc>
        <w:tc>
          <w:tcPr>
            <w:cnfStyle w:val="000010000000" w:firstRow="0" w:lastRow="0" w:firstColumn="0" w:lastColumn="0" w:oddVBand="1" w:evenVBand="0" w:oddHBand="0" w:evenHBand="0" w:firstRowFirstColumn="0" w:firstRowLastColumn="0" w:lastRowFirstColumn="0" w:lastRowLastColumn="0"/>
            <w:tcW w:w="1232" w:type="dxa"/>
            <w:tcBorders>
              <w:top w:val="single" w:sz="6" w:space="0" w:color="auto"/>
              <w:bottom w:val="single" w:sz="12" w:space="0" w:color="auto"/>
            </w:tcBorders>
          </w:tcPr>
          <w:p w:rsidR="00DF17E9" w:rsidRPr="007C3146" w:rsidRDefault="00DF17E9" w:rsidP="00044843">
            <w:r w:rsidRPr="007C3146">
              <w:rPr>
                <w:b/>
                <w:color w:val="000000"/>
              </w:rPr>
              <w:t>(145)</w:t>
            </w:r>
          </w:p>
        </w:tc>
        <w:tc>
          <w:tcPr>
            <w:tcW w:w="1255"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32</w:t>
            </w:r>
          </w:p>
        </w:tc>
      </w:tr>
    </w:tbl>
    <w:p w:rsidR="00DF17E9" w:rsidRDefault="00DF17E9" w:rsidP="00044843">
      <w:pPr>
        <w:pStyle w:val="Note"/>
      </w:pPr>
      <w:r>
        <w:t>Note:</w:t>
      </w:r>
    </w:p>
    <w:p w:rsidR="00DF17E9" w:rsidRDefault="00DF17E9" w:rsidP="00416AC8">
      <w:pPr>
        <w:pStyle w:val="Note"/>
      </w:pPr>
      <w:r w:rsidRPr="00732D98">
        <w:t>(</w:t>
      </w:r>
      <w:r>
        <w:t>a)</w:t>
      </w:r>
      <w:r>
        <w:tab/>
      </w:r>
      <w:r w:rsidRPr="00732D98">
        <w:t>Any gain or loss on the disposal of non</w:t>
      </w:r>
      <w:r w:rsidRPr="00732D98">
        <w:noBreakHyphen/>
        <w:t>financial assets is recognised at the date of disposal.</w:t>
      </w:r>
    </w:p>
    <w:p w:rsidR="00DF17E9" w:rsidRDefault="00DF17E9" w:rsidP="00044843">
      <w:pPr>
        <w:pStyle w:val="Note"/>
        <w:sectPr w:rsidR="00DF17E9" w:rsidSect="00044843">
          <w:type w:val="continuous"/>
          <w:pgSz w:w="11906" w:h="16838" w:code="9"/>
          <w:pgMar w:top="1134" w:right="1134" w:bottom="1134" w:left="1134" w:header="624" w:footer="567" w:gutter="0"/>
          <w:cols w:space="720"/>
          <w:docGrid w:linePitch="360"/>
        </w:sectPr>
      </w:pPr>
    </w:p>
    <w:p w:rsidR="00DF17E9" w:rsidRPr="007C3146" w:rsidRDefault="00DF17E9" w:rsidP="00044843">
      <w:pPr>
        <w:pStyle w:val="Heading3"/>
        <w:tabs>
          <w:tab w:val="right" w:pos="14742"/>
        </w:tabs>
        <w:rPr>
          <w:rStyle w:val="TableUnitsChar"/>
          <w:lang w:val="en-US"/>
        </w:rPr>
      </w:pPr>
      <w:r>
        <w:lastRenderedPageBreak/>
        <w:t>Reconciliation of movements in carrying values during the financial period</w:t>
      </w:r>
      <w:r>
        <w:tab/>
      </w:r>
      <w:r>
        <w:tab/>
      </w:r>
      <w:r w:rsidRPr="001845E1">
        <w:rPr>
          <w:rStyle w:val="TableUnitsChar"/>
        </w:rPr>
        <w:t>($ million)</w:t>
      </w:r>
    </w:p>
    <w:tbl>
      <w:tblPr>
        <w:tblStyle w:val="TableDTFGeneral"/>
        <w:tblW w:w="14742" w:type="dxa"/>
        <w:tblLayout w:type="fixed"/>
        <w:tblLook w:val="02A0" w:firstRow="1" w:lastRow="0" w:firstColumn="1" w:lastColumn="0" w:noHBand="1" w:noVBand="0"/>
      </w:tblPr>
      <w:tblGrid>
        <w:gridCol w:w="3402"/>
        <w:gridCol w:w="1134"/>
        <w:gridCol w:w="1134"/>
        <w:gridCol w:w="1134"/>
        <w:gridCol w:w="1134"/>
        <w:gridCol w:w="1134"/>
        <w:gridCol w:w="1134"/>
        <w:gridCol w:w="1134"/>
        <w:gridCol w:w="1134"/>
        <w:gridCol w:w="1134"/>
        <w:gridCol w:w="1134"/>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8" w:type="dxa"/>
            <w:gridSpan w:val="2"/>
          </w:tcPr>
          <w:p w:rsidR="00416AC8" w:rsidRPr="007C3146" w:rsidRDefault="00416AC8" w:rsidP="00416AC8">
            <w:pPr>
              <w:jc w:val="center"/>
              <w:rPr>
                <w:color w:val="FFFFFF"/>
              </w:rPr>
            </w:pPr>
            <w:r w:rsidRPr="007C3146">
              <w:rPr>
                <w:color w:val="FFFFFF"/>
              </w:rPr>
              <w:t xml:space="preserve">Land and buildings  </w:t>
            </w:r>
          </w:p>
        </w:tc>
        <w:tc>
          <w:tcPr>
            <w:tcW w:w="2268" w:type="dxa"/>
            <w:gridSpan w:val="2"/>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Plant, equipment vehicle and infrastructure system </w:t>
            </w:r>
          </w:p>
        </w:tc>
        <w:tc>
          <w:tcPr>
            <w:cnfStyle w:val="000010000000" w:firstRow="0" w:lastRow="0" w:firstColumn="0" w:lastColumn="0" w:oddVBand="1" w:evenVBand="0" w:oddHBand="0" w:evenHBand="0" w:firstRowFirstColumn="0" w:firstRowLastColumn="0" w:lastRowFirstColumn="0" w:lastRowLastColumn="0"/>
            <w:tcW w:w="2268" w:type="dxa"/>
            <w:gridSpan w:val="2"/>
          </w:tcPr>
          <w:p w:rsidR="00416AC8" w:rsidRPr="007C3146" w:rsidRDefault="00416AC8" w:rsidP="00416AC8">
            <w:pPr>
              <w:jc w:val="center"/>
              <w:rPr>
                <w:color w:val="FFFFFF"/>
              </w:rPr>
            </w:pPr>
            <w:r w:rsidRPr="007C3146">
              <w:rPr>
                <w:color w:val="FFFFFF"/>
              </w:rPr>
              <w:t xml:space="preserve">Roads, road infrastructure and earthworks </w:t>
            </w:r>
          </w:p>
        </w:tc>
        <w:tc>
          <w:tcPr>
            <w:tcW w:w="2268" w:type="dxa"/>
            <w:gridSpan w:val="2"/>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Cultural assets </w:t>
            </w:r>
          </w:p>
        </w:tc>
        <w:tc>
          <w:tcPr>
            <w:cnfStyle w:val="000010000000" w:firstRow="0" w:lastRow="0" w:firstColumn="0" w:lastColumn="0" w:oddVBand="1" w:evenVBand="0" w:oddHBand="0" w:evenHBand="0" w:firstRowFirstColumn="0" w:firstRowLastColumn="0" w:lastRowFirstColumn="0" w:lastRowLastColumn="0"/>
            <w:tcW w:w="2268" w:type="dxa"/>
            <w:gridSpan w:val="2"/>
          </w:tcPr>
          <w:p w:rsidR="00416AC8" w:rsidRPr="007C3146" w:rsidRDefault="00416AC8" w:rsidP="00416AC8">
            <w:pPr>
              <w:jc w:val="center"/>
              <w:rPr>
                <w:color w:val="FFFFFF"/>
              </w:rPr>
            </w:pPr>
            <w:r w:rsidRPr="007C3146">
              <w:rPr>
                <w:color w:val="FFFFFF"/>
              </w:rPr>
              <w:t xml:space="preserve">Total </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FFFFFF"/>
              </w:rPr>
            </w:pPr>
            <w:r w:rsidRPr="007C3146">
              <w:rPr>
                <w:color w:val="FFFFFF"/>
              </w:rPr>
              <w:t>State of Victoria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2016</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2016</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2016</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2016</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2016</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113" w:hanging="113"/>
              <w:rPr>
                <w:color w:val="000000"/>
              </w:rPr>
            </w:pPr>
            <w:r w:rsidRPr="007C3146">
              <w:rPr>
                <w:b/>
                <w:color w:val="000000"/>
              </w:rPr>
              <w:t>Opening balance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108 081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100 939</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64 073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62 150</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29 241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29 858</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5 554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5 545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206 949</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198 492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113" w:hanging="113"/>
              <w:rPr>
                <w:color w:val="000000"/>
              </w:rPr>
            </w:pPr>
            <w:r w:rsidRPr="007C3146">
              <w:rPr>
                <w:color w:val="000000"/>
              </w:rPr>
              <w:t xml:space="preserve">Acquisitions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2 658</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2 212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4 464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3 387</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173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1 183</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28</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7 323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6 800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113" w:hanging="113"/>
              <w:rPr>
                <w:color w:val="000000"/>
              </w:rPr>
            </w:pPr>
            <w:r w:rsidRPr="007C3146">
              <w:rPr>
                <w:color w:val="000000"/>
              </w:rPr>
              <w:t xml:space="preserve">Reclassification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(32)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961</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(134)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(760)</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(532)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43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(123)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(334)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113" w:hanging="113"/>
              <w:rPr>
                <w:color w:val="000000"/>
              </w:rPr>
            </w:pPr>
            <w:r w:rsidRPr="007C3146">
              <w:rPr>
                <w:color w:val="000000"/>
              </w:rPr>
              <w:t>Revaluation</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10 724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5 731</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6 743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1 602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(199)</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(674)</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45</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17 314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6 664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113" w:hanging="113"/>
              <w:rPr>
                <w:color w:val="000000"/>
              </w:rPr>
            </w:pPr>
            <w:r w:rsidRPr="007C3146">
              <w:rPr>
                <w:color w:val="000000"/>
              </w:rPr>
              <w:t>Disposals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(401)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(350)</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(181)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(134)</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(584)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(486)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113" w:hanging="113"/>
              <w:rPr>
                <w:color w:val="000000"/>
              </w:rPr>
            </w:pPr>
            <w:r w:rsidRPr="007C3146">
              <w:rPr>
                <w:color w:val="000000"/>
              </w:rPr>
              <w:t>Assets recognised for the first time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132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103</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139</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32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303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DF17E9" w:rsidRPr="007C3146" w:rsidRDefault="00DF17E9" w:rsidP="00044843">
            <w:pPr>
              <w:ind w:left="113" w:hanging="113"/>
              <w:rPr>
                <w:color w:val="000000"/>
              </w:rPr>
            </w:pPr>
            <w:r w:rsidRPr="007C3146">
              <w:rPr>
                <w:color w:val="000000"/>
              </w:rPr>
              <w:t>Impairment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3146" w:rsidRDefault="00DF17E9" w:rsidP="00044843">
            <w:r w:rsidRPr="007C3146">
              <w:rPr>
                <w:color w:val="000000"/>
              </w:rPr>
              <w:t>(75)</w:t>
            </w:r>
          </w:p>
        </w:tc>
        <w:tc>
          <w:tcPr>
            <w:tcW w:w="1134"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(43)</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3146" w:rsidRDefault="00DF17E9" w:rsidP="00044843">
            <w:r w:rsidRPr="007C3146">
              <w:rPr>
                <w:color w:val="000000"/>
              </w:rPr>
              <w:t>(1)</w:t>
            </w:r>
          </w:p>
        </w:tc>
        <w:tc>
          <w:tcPr>
            <w:tcW w:w="1134"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(41)</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3146" w:rsidRDefault="00DF17E9" w:rsidP="00044843">
            <w:r w:rsidRPr="007C3146">
              <w:rPr>
                <w:color w:val="000000"/>
              </w:rPr>
              <w:t>(48)</w:t>
            </w:r>
          </w:p>
        </w:tc>
        <w:tc>
          <w:tcPr>
            <w:tcW w:w="1134"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3146" w:rsidRDefault="00DF17E9" w:rsidP="00044843">
            <w:r w:rsidRPr="007C3146">
              <w:rPr>
                <w:color w:val="000000"/>
              </w:rPr>
              <w:t>(1)</w:t>
            </w:r>
          </w:p>
        </w:tc>
        <w:tc>
          <w:tcPr>
            <w:tcW w:w="1134"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7C3146" w:rsidRDefault="00DF17E9" w:rsidP="00044843">
            <w:r w:rsidRPr="007C3146">
              <w:rPr>
                <w:color w:val="000000"/>
              </w:rPr>
              <w:t>(126)</w:t>
            </w:r>
          </w:p>
        </w:tc>
        <w:tc>
          <w:tcPr>
            <w:tcW w:w="1134"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DF17E9" w:rsidRPr="007C3146" w:rsidRDefault="00DF17E9" w:rsidP="00044843">
            <w:pPr>
              <w:ind w:left="113" w:hanging="113"/>
              <w:rPr>
                <w:color w:val="000000"/>
              </w:rPr>
            </w:pPr>
            <w:r w:rsidRPr="007C3146">
              <w:rPr>
                <w:color w:val="000000"/>
              </w:rPr>
              <w:t>Depreciation</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3146" w:rsidRDefault="00DF17E9" w:rsidP="00044843">
            <w:pPr>
              <w:rPr>
                <w:color w:val="000000"/>
              </w:rPr>
            </w:pPr>
            <w:r w:rsidRPr="007C3146">
              <w:rPr>
                <w:color w:val="000000"/>
              </w:rPr>
              <w:t>(1 569)</w:t>
            </w:r>
          </w:p>
        </w:tc>
        <w:tc>
          <w:tcPr>
            <w:tcW w:w="1134"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(1 471)</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3146" w:rsidRDefault="00DF17E9" w:rsidP="00044843">
            <w:pPr>
              <w:rPr>
                <w:color w:val="000000"/>
              </w:rPr>
            </w:pPr>
            <w:r w:rsidRPr="007C3146">
              <w:rPr>
                <w:color w:val="000000"/>
              </w:rPr>
              <w:t>(2 307)</w:t>
            </w:r>
          </w:p>
        </w:tc>
        <w:tc>
          <w:tcPr>
            <w:tcW w:w="1134"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(2 153)</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3146" w:rsidRDefault="00DF17E9" w:rsidP="00044843">
            <w:r w:rsidRPr="007C3146">
              <w:rPr>
                <w:color w:val="000000"/>
              </w:rPr>
              <w:t>(609)</w:t>
            </w:r>
          </w:p>
        </w:tc>
        <w:tc>
          <w:tcPr>
            <w:tcW w:w="1134"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(593)</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3146" w:rsidRDefault="00DF17E9" w:rsidP="00044843">
            <w:r w:rsidRPr="007C3146">
              <w:rPr>
                <w:color w:val="000000"/>
              </w:rPr>
              <w:t>(14)</w:t>
            </w:r>
          </w:p>
        </w:tc>
        <w:tc>
          <w:tcPr>
            <w:tcW w:w="1134"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7C3146" w:rsidRDefault="00DF17E9" w:rsidP="00044843">
            <w:pPr>
              <w:rPr>
                <w:color w:val="000000"/>
              </w:rPr>
            </w:pPr>
            <w:r w:rsidRPr="007C3146">
              <w:rPr>
                <w:color w:val="000000"/>
              </w:rPr>
              <w:t>(4 499)</w:t>
            </w:r>
          </w:p>
        </w:tc>
        <w:tc>
          <w:tcPr>
            <w:tcW w:w="1134"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(4 237)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rsidR="00DF17E9" w:rsidRPr="007C3146" w:rsidRDefault="00DF17E9" w:rsidP="00044843">
            <w:pPr>
              <w:ind w:left="113" w:hanging="113"/>
              <w:rPr>
                <w:color w:val="000000"/>
              </w:rPr>
            </w:pPr>
            <w:r w:rsidRPr="007C3146">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119 518</w:t>
            </w:r>
          </w:p>
        </w:tc>
        <w:tc>
          <w:tcPr>
            <w:tcW w:w="1134"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108 081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72 796</w:t>
            </w:r>
          </w:p>
        </w:tc>
        <w:tc>
          <w:tcPr>
            <w:tcW w:w="1134"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64 073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28 588</w:t>
            </w:r>
          </w:p>
        </w:tc>
        <w:tc>
          <w:tcPr>
            <w:tcW w:w="1134"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29 241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5 655</w:t>
            </w:r>
          </w:p>
        </w:tc>
        <w:tc>
          <w:tcPr>
            <w:tcW w:w="1134"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5 554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226 557</w:t>
            </w:r>
          </w:p>
        </w:tc>
        <w:tc>
          <w:tcPr>
            <w:tcW w:w="1134"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206 949</w:t>
            </w:r>
          </w:p>
        </w:tc>
      </w:tr>
    </w:tbl>
    <w:p w:rsidR="00DF17E9" w:rsidRPr="007C3146" w:rsidRDefault="00DF17E9" w:rsidP="00044843">
      <w:pPr>
        <w:rPr>
          <w:rStyle w:val="TableUnitsChar"/>
          <w:rFonts w:ascii="Calibri" w:hAnsi="Calibri"/>
          <w:sz w:val="16"/>
        </w:rPr>
      </w:pPr>
    </w:p>
    <w:tbl>
      <w:tblPr>
        <w:tblStyle w:val="TableDTFGeneral"/>
        <w:tblW w:w="14742" w:type="dxa"/>
        <w:tblLayout w:type="fixed"/>
        <w:tblLook w:val="02A0" w:firstRow="1" w:lastRow="0" w:firstColumn="1" w:lastColumn="0" w:noHBand="1" w:noVBand="0"/>
      </w:tblPr>
      <w:tblGrid>
        <w:gridCol w:w="3402"/>
        <w:gridCol w:w="1134"/>
        <w:gridCol w:w="1134"/>
        <w:gridCol w:w="1134"/>
        <w:gridCol w:w="1134"/>
        <w:gridCol w:w="1134"/>
        <w:gridCol w:w="1134"/>
        <w:gridCol w:w="1134"/>
        <w:gridCol w:w="1134"/>
        <w:gridCol w:w="1134"/>
        <w:gridCol w:w="1134"/>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FFFFFF"/>
              </w:rPr>
            </w:pPr>
            <w:r w:rsidRPr="007C3146">
              <w:rPr>
                <w:color w:val="FFFFFF"/>
              </w:rPr>
              <w:t>General government sector</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 xml:space="preserve"> </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 xml:space="preserve"> </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 xml:space="preserve"> </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 xml:space="preserve"> </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FFFFFF"/>
              </w:rPr>
            </w:pPr>
            <w:r w:rsidRPr="007C3146">
              <w:rPr>
                <w:color w:val="FFFFFF"/>
              </w:rPr>
              <w:t xml:space="preserve"> </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b/>
                <w:color w:val="000000"/>
              </w:rPr>
              <w:t>Opening balance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69 151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65 877</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3 740</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3 843</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29 175</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29 789</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5 496</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5 489</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b/>
                <w:color w:val="000000"/>
              </w:rPr>
              <w:t>107 562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104 999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color w:val="000000"/>
              </w:rPr>
              <w:t xml:space="preserve">Acquisitions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2 199</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1 507</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773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325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171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1 181</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28</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16</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3 172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3 029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color w:val="000000"/>
              </w:rPr>
              <w:t xml:space="preserve">Reclassification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(125)</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84</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(98)</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181</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(530)</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43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(180)</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(267)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color w:val="000000"/>
              </w:rPr>
              <w:t>Revaluation</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6 507</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2 928</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74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63</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(203)</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(674)</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40</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6 418</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2 321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color w:val="000000"/>
              </w:rPr>
              <w:t>Disposals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(235)</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(189)</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(92)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(329)</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(275)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color w:val="000000"/>
              </w:rPr>
              <w:t>Assets recognised for the first time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54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80</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15</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32</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pPr>
              <w:rPr>
                <w:color w:val="000000"/>
              </w:rPr>
            </w:pPr>
            <w:r w:rsidRPr="007C3146">
              <w:rPr>
                <w:color w:val="000000"/>
              </w:rPr>
              <w:t>..</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101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Pr>
          <w:p w:rsidR="00DF17E9" w:rsidRPr="007C3146" w:rsidRDefault="00DF17E9" w:rsidP="00044843">
            <w:pPr>
              <w:ind w:left="0" w:firstLine="0"/>
              <w:rPr>
                <w:color w:val="000000"/>
              </w:rPr>
            </w:pPr>
            <w:r w:rsidRPr="007C3146">
              <w:rPr>
                <w:color w:val="000000"/>
              </w:rPr>
              <w:t>Impairment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(61)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(42)</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(48)</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7C3146" w:rsidRDefault="00DF17E9" w:rsidP="00044843">
            <w:r w:rsidRPr="007C3146">
              <w:rPr>
                <w:color w:val="000000"/>
              </w:rPr>
              <w:t>(111)</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tcPr>
          <w:p w:rsidR="00DF17E9" w:rsidRPr="007C3146" w:rsidRDefault="00DF17E9" w:rsidP="00044843">
            <w:pPr>
              <w:ind w:left="0" w:firstLine="0"/>
              <w:rPr>
                <w:color w:val="000000"/>
              </w:rPr>
            </w:pPr>
            <w:r w:rsidRPr="007C3146">
              <w:rPr>
                <w:color w:val="000000"/>
              </w:rPr>
              <w:t>Depreciation</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tcPr>
          <w:p w:rsidR="00DF17E9" w:rsidRPr="007C3146" w:rsidRDefault="00DF17E9" w:rsidP="00044843">
            <w:r w:rsidRPr="007C3146">
              <w:rPr>
                <w:color w:val="000000"/>
              </w:rPr>
              <w:t xml:space="preserve">(1 </w:t>
            </w:r>
            <w:r w:rsidRPr="007C3146">
              <w:t>152)</w:t>
            </w:r>
          </w:p>
        </w:tc>
        <w:tc>
          <w:tcPr>
            <w:tcW w:w="1134" w:type="dxa"/>
            <w:tcBorders>
              <w:bottom w:val="single" w:sz="4"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 xml:space="preserve">(1 </w:t>
            </w:r>
            <w:r w:rsidRPr="007C3146">
              <w:t>095)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tcPr>
          <w:p w:rsidR="00DF17E9" w:rsidRPr="007C3146" w:rsidRDefault="00DF17E9" w:rsidP="00044843">
            <w:r w:rsidRPr="007C3146">
              <w:rPr>
                <w:color w:val="000000"/>
              </w:rPr>
              <w:t>(607)</w:t>
            </w:r>
          </w:p>
        </w:tc>
        <w:tc>
          <w:tcPr>
            <w:tcW w:w="1134" w:type="dxa"/>
            <w:tcBorders>
              <w:bottom w:val="single" w:sz="4"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(591)</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tcPr>
          <w:p w:rsidR="00DF17E9" w:rsidRPr="007C3146" w:rsidRDefault="00DF17E9" w:rsidP="00044843">
            <w:r w:rsidRPr="007C3146">
              <w:rPr>
                <w:color w:val="000000"/>
              </w:rPr>
              <w:t>(606)</w:t>
            </w:r>
          </w:p>
        </w:tc>
        <w:tc>
          <w:tcPr>
            <w:tcW w:w="1134" w:type="dxa"/>
            <w:tcBorders>
              <w:bottom w:val="single" w:sz="4"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tcPr>
          <w:p w:rsidR="00DF17E9" w:rsidRPr="007C3146" w:rsidRDefault="00DF17E9" w:rsidP="00044843">
            <w:r w:rsidRPr="007C3146">
              <w:rPr>
                <w:color w:val="000000"/>
              </w:rPr>
              <w:t>(14)</w:t>
            </w:r>
          </w:p>
        </w:tc>
        <w:tc>
          <w:tcPr>
            <w:tcW w:w="1134" w:type="dxa"/>
            <w:tcBorders>
              <w:bottom w:val="single" w:sz="4"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tcPr>
          <w:p w:rsidR="00DF17E9" w:rsidRPr="007C3146" w:rsidRDefault="00DF17E9" w:rsidP="00044843">
            <w:r w:rsidRPr="007C3146">
              <w:rPr>
                <w:color w:val="000000"/>
              </w:rPr>
              <w:t xml:space="preserve">(2 </w:t>
            </w:r>
            <w:r w:rsidRPr="007C3146">
              <w:t>379)</w:t>
            </w:r>
          </w:p>
        </w:tc>
        <w:tc>
          <w:tcPr>
            <w:tcW w:w="1134" w:type="dxa"/>
            <w:tcBorders>
              <w:bottom w:val="single" w:sz="4"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(2 296</w:t>
            </w:r>
            <w:r w:rsidRPr="007C3146">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tcPr>
          <w:p w:rsidR="00DF17E9" w:rsidRPr="007C3146" w:rsidRDefault="00DF17E9" w:rsidP="00044843">
            <w:pPr>
              <w:ind w:left="0" w:firstLine="0"/>
              <w:rPr>
                <w:b/>
              </w:rPr>
            </w:pPr>
            <w:r w:rsidRPr="007C3146">
              <w:rPr>
                <w:b/>
                <w:color w:val="000000"/>
              </w:rPr>
              <w:t xml:space="preserve">Closing </w:t>
            </w:r>
            <w:r w:rsidRPr="007C3146">
              <w:rPr>
                <w:b/>
              </w:rPr>
              <w:t>balance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12" w:space="0" w:color="auto"/>
            </w:tcBorders>
          </w:tcPr>
          <w:p w:rsidR="00DF17E9" w:rsidRPr="007C3146" w:rsidRDefault="00DF17E9" w:rsidP="00044843">
            <w:pPr>
              <w:rPr>
                <w:b/>
                <w:color w:val="000000"/>
              </w:rPr>
            </w:pPr>
            <w:r w:rsidRPr="007C3146">
              <w:rPr>
                <w:b/>
                <w:color w:val="000000"/>
              </w:rPr>
              <w:t>76 339</w:t>
            </w:r>
          </w:p>
        </w:tc>
        <w:tc>
          <w:tcPr>
            <w:tcW w:w="1134" w:type="dxa"/>
            <w:tcBorders>
              <w:top w:val="single" w:sz="4"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7C3146">
              <w:rPr>
                <w:b/>
                <w:color w:val="000000"/>
              </w:rPr>
              <w:t>69 151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12" w:space="0" w:color="auto"/>
            </w:tcBorders>
          </w:tcPr>
          <w:p w:rsidR="00DF17E9" w:rsidRPr="007C3146" w:rsidRDefault="00DF17E9" w:rsidP="00044843">
            <w:pPr>
              <w:rPr>
                <w:b/>
              </w:rPr>
            </w:pPr>
            <w:r w:rsidRPr="007C3146">
              <w:rPr>
                <w:b/>
                <w:color w:val="000000"/>
              </w:rPr>
              <w:t>3 804</w:t>
            </w:r>
          </w:p>
        </w:tc>
        <w:tc>
          <w:tcPr>
            <w:tcW w:w="1134" w:type="dxa"/>
            <w:tcBorders>
              <w:top w:val="single" w:sz="4"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rPr>
            </w:pPr>
            <w:r w:rsidRPr="007C3146">
              <w:rPr>
                <w:b/>
                <w:color w:val="000000"/>
              </w:rPr>
              <w:t>3 740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12" w:space="0" w:color="auto"/>
            </w:tcBorders>
          </w:tcPr>
          <w:p w:rsidR="00DF17E9" w:rsidRPr="007C3146" w:rsidRDefault="00DF17E9" w:rsidP="00044843">
            <w:pPr>
              <w:rPr>
                <w:b/>
              </w:rPr>
            </w:pPr>
            <w:r w:rsidRPr="007C3146">
              <w:rPr>
                <w:b/>
                <w:color w:val="000000"/>
              </w:rPr>
              <w:t>28 519</w:t>
            </w:r>
          </w:p>
        </w:tc>
        <w:tc>
          <w:tcPr>
            <w:tcW w:w="1134" w:type="dxa"/>
            <w:tcBorders>
              <w:top w:val="single" w:sz="4"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rPr>
            </w:pPr>
            <w:r w:rsidRPr="007C3146">
              <w:rPr>
                <w:b/>
                <w:color w:val="000000"/>
              </w:rPr>
              <w:t>29 175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12" w:space="0" w:color="auto"/>
            </w:tcBorders>
          </w:tcPr>
          <w:p w:rsidR="00DF17E9" w:rsidRPr="007C3146" w:rsidRDefault="00DF17E9" w:rsidP="00044843">
            <w:pPr>
              <w:rPr>
                <w:b/>
              </w:rPr>
            </w:pPr>
            <w:r w:rsidRPr="007C3146">
              <w:rPr>
                <w:b/>
                <w:color w:val="000000"/>
              </w:rPr>
              <w:t>5 592</w:t>
            </w:r>
          </w:p>
        </w:tc>
        <w:tc>
          <w:tcPr>
            <w:tcW w:w="1134" w:type="dxa"/>
            <w:tcBorders>
              <w:top w:val="single" w:sz="4"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rPr>
            </w:pPr>
            <w:r w:rsidRPr="007C3146">
              <w:rPr>
                <w:b/>
                <w:color w:val="000000"/>
              </w:rPr>
              <w:t>5 496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12" w:space="0" w:color="auto"/>
            </w:tcBorders>
          </w:tcPr>
          <w:p w:rsidR="00DF17E9" w:rsidRPr="007C3146" w:rsidRDefault="00DF17E9" w:rsidP="00044843">
            <w:pPr>
              <w:rPr>
                <w:b/>
                <w:color w:val="000000"/>
              </w:rPr>
            </w:pPr>
            <w:r w:rsidRPr="007C3146">
              <w:rPr>
                <w:b/>
                <w:color w:val="000000"/>
              </w:rPr>
              <w:t>114 254</w:t>
            </w:r>
          </w:p>
        </w:tc>
        <w:tc>
          <w:tcPr>
            <w:tcW w:w="1134" w:type="dxa"/>
            <w:tcBorders>
              <w:top w:val="single" w:sz="4"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7C3146">
              <w:rPr>
                <w:b/>
                <w:color w:val="000000"/>
              </w:rPr>
              <w:t>107 562</w:t>
            </w:r>
          </w:p>
        </w:tc>
      </w:tr>
    </w:tbl>
    <w:p w:rsidR="00DF17E9" w:rsidRPr="00DA338C" w:rsidRDefault="00DF17E9" w:rsidP="00044843">
      <w:pPr>
        <w:pStyle w:val="Note"/>
      </w:pPr>
      <w:r w:rsidRPr="00DA338C">
        <w:t>Note:</w:t>
      </w:r>
    </w:p>
    <w:p w:rsidR="00DF17E9" w:rsidRDefault="00DF17E9" w:rsidP="00044843">
      <w:pPr>
        <w:pStyle w:val="Note"/>
      </w:pPr>
      <w:r w:rsidRPr="00DA338C">
        <w:t>(a)</w:t>
      </w:r>
      <w:r w:rsidRPr="00DA338C">
        <w:tab/>
      </w:r>
      <w:r w:rsidRPr="00ED02DB">
        <w:t>June 2015 comparative figures have been restated to finalise the allocation of equity balances between contributed capital and accumulated funds related to prior year machinery of government changes.</w:t>
      </w:r>
    </w:p>
    <w:p w:rsidR="00DF17E9" w:rsidRDefault="00DF17E9">
      <w:pPr>
        <w:rPr>
          <w:rFonts w:asciiTheme="majorHAnsi" w:eastAsiaTheme="majorEastAsia" w:hAnsiTheme="majorHAnsi" w:cstheme="majorBidi"/>
          <w:b/>
          <w:bCs/>
          <w:spacing w:val="-2"/>
          <w:szCs w:val="26"/>
        </w:rPr>
      </w:pPr>
      <w:r>
        <w:br w:type="page"/>
      </w:r>
    </w:p>
    <w:p w:rsidR="00DF17E9" w:rsidRPr="007C3146" w:rsidRDefault="00DF17E9" w:rsidP="00044843">
      <w:pPr>
        <w:pStyle w:val="Heading3"/>
        <w:tabs>
          <w:tab w:val="right" w:pos="14742"/>
        </w:tabs>
        <w:rPr>
          <w:rStyle w:val="TableUnitsChar"/>
          <w:b w:val="0"/>
          <w:bCs w:val="0"/>
          <w:lang w:val="en-US"/>
        </w:rPr>
      </w:pPr>
      <w:r>
        <w:lastRenderedPageBreak/>
        <w:t>Total l</w:t>
      </w:r>
      <w:r w:rsidRPr="007D6D1A">
        <w:t>and, buildings, infrastructure, plant and equipment by government purpose</w:t>
      </w:r>
      <w:r>
        <w:tab/>
      </w:r>
      <w:r>
        <w:tab/>
      </w:r>
      <w:r w:rsidRPr="007D6D1A">
        <w:rPr>
          <w:rStyle w:val="TableUnitsChar"/>
        </w:rPr>
        <w:t>($ million)</w:t>
      </w:r>
    </w:p>
    <w:tbl>
      <w:tblPr>
        <w:tblStyle w:val="TableDTFGeneral"/>
        <w:tblW w:w="14741" w:type="dxa"/>
        <w:tblLayout w:type="fixed"/>
        <w:tblLook w:val="02A0" w:firstRow="1" w:lastRow="0" w:firstColumn="1" w:lastColumn="0" w:noHBand="1" w:noVBand="0"/>
      </w:tblPr>
      <w:tblGrid>
        <w:gridCol w:w="5699"/>
        <w:gridCol w:w="1276"/>
        <w:gridCol w:w="1105"/>
        <w:gridCol w:w="1163"/>
        <w:gridCol w:w="1276"/>
        <w:gridCol w:w="1701"/>
        <w:gridCol w:w="1559"/>
        <w:gridCol w:w="962"/>
      </w:tblGrid>
      <w:tr w:rsidR="00416AC8" w:rsidRPr="007C3146" w:rsidTr="003A32B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699" w:type="dxa"/>
          </w:tcPr>
          <w:p w:rsidR="00416AC8" w:rsidRPr="007C3146" w:rsidRDefault="00416AC8" w:rsidP="00416AC8">
            <w:pPr>
              <w:ind w:left="0" w:firstLine="0"/>
              <w:rPr>
                <w:i w:val="0"/>
                <w:color w:val="FFFFFF"/>
              </w:rPr>
            </w:pPr>
            <w:r w:rsidRPr="007C3146">
              <w:rPr>
                <w:color w:val="FFFFFF"/>
              </w:rPr>
              <w:t>State of Victoria</w:t>
            </w:r>
          </w:p>
          <w:p w:rsidR="00416AC8" w:rsidRPr="007C3146" w:rsidRDefault="00416AC8" w:rsidP="00416AC8">
            <w:pPr>
              <w:ind w:left="0" w:firstLine="0"/>
              <w:rPr>
                <w:color w:val="FFFFFF"/>
              </w:rPr>
            </w:pPr>
            <w:r w:rsidRPr="007C3146">
              <w:rPr>
                <w:color w:val="FFFFFF"/>
              </w:rPr>
              <w:t>2016</w:t>
            </w:r>
          </w:p>
        </w:tc>
        <w:tc>
          <w:tcPr>
            <w:cnfStyle w:val="000010000000" w:firstRow="0" w:lastRow="0" w:firstColumn="0" w:lastColumn="0" w:oddVBand="1" w:evenVBand="0" w:oddHBand="0" w:evenHBand="0" w:firstRowFirstColumn="0" w:firstRowLastColumn="0" w:lastRowFirstColumn="0" w:lastRowLastColumn="0"/>
            <w:tcW w:w="1276" w:type="dxa"/>
          </w:tcPr>
          <w:p w:rsidR="00416AC8" w:rsidRPr="007C3146" w:rsidRDefault="00416AC8" w:rsidP="00044843">
            <w:pPr>
              <w:rPr>
                <w:i w:val="0"/>
                <w:color w:val="FFFFFF"/>
              </w:rPr>
            </w:pPr>
            <w:r w:rsidRPr="007C3146">
              <w:rPr>
                <w:color w:val="FFFFFF"/>
              </w:rPr>
              <w:t>Public</w:t>
            </w:r>
          </w:p>
          <w:p w:rsidR="00416AC8" w:rsidRPr="007C3146" w:rsidRDefault="00416AC8" w:rsidP="00044843">
            <w:pPr>
              <w:rPr>
                <w:color w:val="FFFFFF"/>
              </w:rPr>
            </w:pPr>
            <w:r w:rsidRPr="007C3146">
              <w:rPr>
                <w:color w:val="FFFFFF"/>
              </w:rPr>
              <w:t>administration</w:t>
            </w:r>
          </w:p>
        </w:tc>
        <w:tc>
          <w:tcPr>
            <w:tcW w:w="1105" w:type="dxa"/>
          </w:tcPr>
          <w:p w:rsidR="00416AC8" w:rsidRPr="007C3146" w:rsidRDefault="00416AC8" w:rsidP="00416AC8">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Education </w:t>
            </w:r>
          </w:p>
        </w:tc>
        <w:tc>
          <w:tcPr>
            <w:cnfStyle w:val="000010000000" w:firstRow="0" w:lastRow="0" w:firstColumn="0" w:lastColumn="0" w:oddVBand="1" w:evenVBand="0" w:oddHBand="0" w:evenHBand="0" w:firstRowFirstColumn="0" w:firstRowLastColumn="0" w:lastRowFirstColumn="0" w:lastRowLastColumn="0"/>
            <w:tcW w:w="1163" w:type="dxa"/>
          </w:tcPr>
          <w:p w:rsidR="00416AC8" w:rsidRPr="007C3146" w:rsidRDefault="00416AC8" w:rsidP="00416AC8">
            <w:pPr>
              <w:rPr>
                <w:color w:val="FFFFFF"/>
              </w:rPr>
            </w:pPr>
            <w:r w:rsidRPr="007C3146">
              <w:rPr>
                <w:color w:val="FFFFFF"/>
              </w:rPr>
              <w:t xml:space="preserve">Health </w:t>
            </w:r>
            <w:r>
              <w:rPr>
                <w:color w:val="FFFFFF"/>
              </w:rPr>
              <w:br/>
            </w:r>
            <w:r w:rsidRPr="007C3146">
              <w:rPr>
                <w:color w:val="FFFFFF"/>
              </w:rPr>
              <w:t>and</w:t>
            </w:r>
            <w:r>
              <w:rPr>
                <w:color w:val="FFFFFF"/>
              </w:rPr>
              <w:t xml:space="preserve"> </w:t>
            </w:r>
            <w:r w:rsidRPr="007C3146">
              <w:rPr>
                <w:color w:val="FFFFFF"/>
              </w:rPr>
              <w:t>Welfare</w:t>
            </w:r>
          </w:p>
        </w:tc>
        <w:tc>
          <w:tcPr>
            <w:tcW w:w="1276" w:type="dxa"/>
          </w:tcPr>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7C3146">
              <w:rPr>
                <w:color w:val="FFFFFF"/>
              </w:rPr>
              <w:t>Community</w:t>
            </w:r>
          </w:p>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Housing</w:t>
            </w:r>
          </w:p>
        </w:tc>
        <w:tc>
          <w:tcPr>
            <w:cnfStyle w:val="000010000000" w:firstRow="0" w:lastRow="0" w:firstColumn="0" w:lastColumn="0" w:oddVBand="1" w:evenVBand="0" w:oddHBand="0" w:evenHBand="0" w:firstRowFirstColumn="0" w:firstRowLastColumn="0" w:lastRowFirstColumn="0" w:lastRowLastColumn="0"/>
            <w:tcW w:w="1701" w:type="dxa"/>
          </w:tcPr>
          <w:p w:rsidR="00416AC8" w:rsidRPr="007C3146" w:rsidRDefault="00416AC8" w:rsidP="00416AC8">
            <w:pPr>
              <w:rPr>
                <w:color w:val="FFFFFF"/>
              </w:rPr>
            </w:pPr>
            <w:r w:rsidRPr="007C3146">
              <w:rPr>
                <w:color w:val="FFFFFF"/>
              </w:rPr>
              <w:t xml:space="preserve">Transportation </w:t>
            </w:r>
            <w:r>
              <w:rPr>
                <w:color w:val="FFFFFF"/>
              </w:rPr>
              <w:br/>
            </w:r>
            <w:r w:rsidRPr="007C3146">
              <w:rPr>
                <w:color w:val="FFFFFF"/>
              </w:rPr>
              <w:t>and</w:t>
            </w:r>
            <w:r>
              <w:rPr>
                <w:color w:val="FFFFFF"/>
              </w:rPr>
              <w:t xml:space="preserve"> </w:t>
            </w:r>
            <w:r w:rsidRPr="007C3146">
              <w:rPr>
                <w:color w:val="FFFFFF"/>
              </w:rPr>
              <w:t>Communication</w:t>
            </w:r>
          </w:p>
        </w:tc>
        <w:tc>
          <w:tcPr>
            <w:tcW w:w="1559" w:type="dxa"/>
          </w:tcPr>
          <w:p w:rsidR="00416AC8" w:rsidRPr="007C3146" w:rsidRDefault="00416AC8" w:rsidP="00416AC8">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Public Safety </w:t>
            </w:r>
            <w:r>
              <w:rPr>
                <w:color w:val="FFFFFF"/>
              </w:rPr>
              <w:br/>
            </w:r>
            <w:r w:rsidRPr="007C3146">
              <w:rPr>
                <w:color w:val="FFFFFF"/>
              </w:rPr>
              <w:t>and</w:t>
            </w:r>
            <w:r>
              <w:rPr>
                <w:color w:val="FFFFFF"/>
              </w:rPr>
              <w:t xml:space="preserve"> </w:t>
            </w:r>
            <w:r w:rsidRPr="007C3146">
              <w:rPr>
                <w:color w:val="FFFFFF"/>
              </w:rPr>
              <w:t>Environment</w:t>
            </w:r>
          </w:p>
        </w:tc>
        <w:tc>
          <w:tcPr>
            <w:cnfStyle w:val="000010000000" w:firstRow="0" w:lastRow="0" w:firstColumn="0" w:lastColumn="0" w:oddVBand="1" w:evenVBand="0" w:oddHBand="0" w:evenHBand="0" w:firstRowFirstColumn="0" w:firstRowLastColumn="0" w:lastRowFirstColumn="0" w:lastRowLastColumn="0"/>
            <w:tcW w:w="962" w:type="dxa"/>
          </w:tcPr>
          <w:p w:rsidR="00416AC8" w:rsidRPr="007C3146" w:rsidRDefault="00416AC8" w:rsidP="00416AC8">
            <w:pPr>
              <w:rPr>
                <w:color w:val="FFFFFF"/>
              </w:rPr>
            </w:pPr>
            <w:r w:rsidRPr="007C3146">
              <w:rPr>
                <w:color w:val="FFFFFF"/>
              </w:rPr>
              <w:t xml:space="preserve">Total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2 314</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11 579</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sidRPr="007C3146">
              <w:rPr>
                <w:color w:val="000000"/>
              </w:rPr>
              <w:t>8 968</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8 632</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5 852</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7 324</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44 669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1 325</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9 873</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sidRPr="007C3146">
              <w:rPr>
                <w:color w:val="000000"/>
              </w:rPr>
              <w:t>2 574</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14 295</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26 970</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15 386</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70 423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87</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165</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sidRPr="007C3146">
              <w:rPr>
                <w:color w:val="000000"/>
              </w:rPr>
              <w:t>2 656</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37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1 476</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4 425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44</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23 257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37 308</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60 610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Leased infrastructure systems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Pr>
                <w:color w:val="000000"/>
              </w:rPr>
              <w:t>..</w:t>
            </w:r>
            <w:r w:rsidRPr="007C3146">
              <w:rPr>
                <w:color w:val="000000"/>
              </w:rPr>
              <w:t xml:space="preserve"> </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4 529</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4 529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538</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188</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sidRPr="007C3146">
              <w:rPr>
                <w:color w:val="000000"/>
              </w:rPr>
              <w:t>1 062</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3 709</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1 099</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6 598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r w:rsidRPr="007C3146">
              <w:rPr>
                <w:color w:val="000000"/>
              </w:rPr>
              <w:t>61</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989</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1 060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22</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19 150</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928</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pPr>
              <w:rPr>
                <w:color w:val="000000"/>
              </w:rPr>
            </w:pPr>
            <w:r w:rsidRPr="007C3146">
              <w:rPr>
                <w:color w:val="000000"/>
              </w:rPr>
              <w:t>20 100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7C3146" w:rsidRDefault="00DF17E9" w:rsidP="00044843">
            <w:pPr>
              <w:ind w:left="0" w:firstLine="0"/>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5"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3" w:type="dxa"/>
          </w:tcPr>
          <w:p w:rsidR="00DF17E9" w:rsidRPr="007C3146" w:rsidRDefault="00DF17E9" w:rsidP="00044843">
            <w:pPr>
              <w:rPr>
                <w:color w:val="000000"/>
              </w:rPr>
            </w:pPr>
            <w:r w:rsidRPr="007C3146">
              <w:rPr>
                <w:color w:val="000000"/>
              </w:rPr>
              <w:t>..</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575</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62" w:type="dxa"/>
          </w:tcPr>
          <w:p w:rsidR="00DF17E9" w:rsidRPr="007C3146" w:rsidRDefault="00DF17E9" w:rsidP="00044843">
            <w:r w:rsidRPr="007C3146">
              <w:rPr>
                <w:color w:val="000000"/>
              </w:rPr>
              <w:t>575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Borders>
              <w:bottom w:val="nil"/>
            </w:tcBorders>
          </w:tcPr>
          <w:p w:rsidR="00DF17E9" w:rsidRPr="007C3146" w:rsidRDefault="00DF17E9" w:rsidP="00044843">
            <w:pPr>
              <w:ind w:left="0" w:firstLine="0"/>
              <w:rPr>
                <w:color w:val="000000"/>
              </w:rPr>
            </w:pPr>
            <w:r w:rsidRPr="007C3146">
              <w:rPr>
                <w:color w:val="000000"/>
              </w:rPr>
              <w:t>Earthworks</w:t>
            </w:r>
          </w:p>
        </w:tc>
        <w:tc>
          <w:tcPr>
            <w:cnfStyle w:val="000010000000" w:firstRow="0" w:lastRow="0" w:firstColumn="0" w:lastColumn="0" w:oddVBand="1" w:evenVBand="0" w:oddHBand="0" w:evenHBand="0" w:firstRowFirstColumn="0" w:firstRowLastColumn="0" w:lastRowFirstColumn="0" w:lastRowLastColumn="0"/>
            <w:tcW w:w="1276" w:type="dxa"/>
            <w:tcBorders>
              <w:bottom w:val="nil"/>
            </w:tcBorders>
          </w:tcPr>
          <w:p w:rsidR="00DF17E9" w:rsidRPr="007C3146" w:rsidRDefault="00DF17E9" w:rsidP="00044843">
            <w:pPr>
              <w:rPr>
                <w:color w:val="000000"/>
              </w:rPr>
            </w:pPr>
            <w:r w:rsidRPr="007C3146">
              <w:rPr>
                <w:color w:val="000000"/>
              </w:rPr>
              <w:t>..</w:t>
            </w:r>
          </w:p>
        </w:tc>
        <w:tc>
          <w:tcPr>
            <w:tcW w:w="1105"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3" w:type="dxa"/>
            <w:tcBorders>
              <w:bottom w:val="nil"/>
            </w:tcBorders>
          </w:tcPr>
          <w:p w:rsidR="00DF17E9" w:rsidRPr="007C3146" w:rsidRDefault="00DF17E9" w:rsidP="00044843">
            <w:pPr>
              <w:rPr>
                <w:color w:val="000000"/>
              </w:rPr>
            </w:pPr>
            <w:r>
              <w:rPr>
                <w:color w:val="000000"/>
              </w:rPr>
              <w:t>..</w:t>
            </w:r>
            <w:r w:rsidRPr="007C3146">
              <w:rPr>
                <w:color w:val="000000"/>
              </w:rPr>
              <w:t xml:space="preserve"> </w:t>
            </w:r>
          </w:p>
        </w:tc>
        <w:tc>
          <w:tcPr>
            <w:tcW w:w="127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nil"/>
            </w:tcBorders>
          </w:tcPr>
          <w:p w:rsidR="00DF17E9" w:rsidRPr="007C3146" w:rsidRDefault="00DF17E9" w:rsidP="00044843">
            <w:pPr>
              <w:rPr>
                <w:color w:val="000000"/>
              </w:rPr>
            </w:pPr>
            <w:r w:rsidRPr="007C3146">
              <w:rPr>
                <w:color w:val="000000"/>
              </w:rPr>
              <w:t>7 913</w:t>
            </w:r>
          </w:p>
        </w:tc>
        <w:tc>
          <w:tcPr>
            <w:tcW w:w="1559"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62" w:type="dxa"/>
            <w:tcBorders>
              <w:bottom w:val="nil"/>
            </w:tcBorders>
          </w:tcPr>
          <w:p w:rsidR="00DF17E9" w:rsidRPr="007C3146" w:rsidRDefault="00DF17E9" w:rsidP="00044843">
            <w:pPr>
              <w:rPr>
                <w:color w:val="000000"/>
              </w:rPr>
            </w:pPr>
            <w:r w:rsidRPr="007C3146">
              <w:rPr>
                <w:color w:val="000000"/>
              </w:rPr>
              <w:t>7 913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rsidR="00DF17E9" w:rsidRPr="007C3146" w:rsidRDefault="00DF17E9" w:rsidP="00044843">
            <w:pPr>
              <w:ind w:left="0" w:firstLine="0"/>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6" w:space="0" w:color="auto"/>
            </w:tcBorders>
          </w:tcPr>
          <w:p w:rsidR="00DF17E9" w:rsidRPr="007C3146" w:rsidRDefault="00DF17E9" w:rsidP="00044843">
            <w:r w:rsidRPr="007C3146">
              <w:rPr>
                <w:color w:val="000000"/>
              </w:rPr>
              <w:t>532</w:t>
            </w:r>
          </w:p>
        </w:tc>
        <w:tc>
          <w:tcPr>
            <w:tcW w:w="1105"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163" w:type="dxa"/>
            <w:tcBorders>
              <w:bottom w:val="single" w:sz="6" w:space="0" w:color="auto"/>
            </w:tcBorders>
          </w:tcPr>
          <w:p w:rsidR="00DF17E9" w:rsidRPr="007C3146" w:rsidRDefault="00DF17E9" w:rsidP="00044843">
            <w:r w:rsidRPr="007C3146">
              <w:rPr>
                <w:color w:val="000000"/>
              </w:rPr>
              <w:t>4</w:t>
            </w:r>
          </w:p>
        </w:tc>
        <w:tc>
          <w:tcPr>
            <w:tcW w:w="127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7C3146" w:rsidRDefault="00DF17E9" w:rsidP="00044843">
            <w:r w:rsidRPr="007C3146">
              <w:rPr>
                <w:color w:val="000000"/>
              </w:rPr>
              <w:t>2</w:t>
            </w:r>
          </w:p>
        </w:tc>
        <w:tc>
          <w:tcPr>
            <w:tcW w:w="155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5 114</w:t>
            </w:r>
          </w:p>
        </w:tc>
        <w:tc>
          <w:tcPr>
            <w:cnfStyle w:val="000010000000" w:firstRow="0" w:lastRow="0" w:firstColumn="0" w:lastColumn="0" w:oddVBand="1" w:evenVBand="0" w:oddHBand="0" w:evenHBand="0" w:firstRowFirstColumn="0" w:firstRowLastColumn="0" w:lastRowFirstColumn="0" w:lastRowLastColumn="0"/>
            <w:tcW w:w="962" w:type="dxa"/>
            <w:tcBorders>
              <w:bottom w:val="single" w:sz="6" w:space="0" w:color="auto"/>
            </w:tcBorders>
          </w:tcPr>
          <w:p w:rsidR="00DF17E9" w:rsidRPr="007C3146" w:rsidRDefault="00DF17E9" w:rsidP="00044843">
            <w:pPr>
              <w:rPr>
                <w:color w:val="000000"/>
              </w:rPr>
            </w:pPr>
            <w:r w:rsidRPr="007C3146">
              <w:rPr>
                <w:color w:val="000000"/>
              </w:rPr>
              <w:t>5 655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land, buildings, infrastructure, plant and equipment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4 863</w:t>
            </w:r>
          </w:p>
        </w:tc>
        <w:tc>
          <w:tcPr>
            <w:tcW w:w="1105"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21 812</w:t>
            </w:r>
          </w:p>
        </w:tc>
        <w:tc>
          <w:tcPr>
            <w:cnfStyle w:val="000010000000" w:firstRow="0" w:lastRow="0" w:firstColumn="0" w:lastColumn="0" w:oddVBand="1" w:evenVBand="0" w:oddHBand="0" w:evenHBand="0" w:firstRowFirstColumn="0" w:firstRowLastColumn="0" w:lastRowFirstColumn="0" w:lastRowLastColumn="0"/>
            <w:tcW w:w="1163"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15 325</w:t>
            </w:r>
          </w:p>
        </w:tc>
        <w:tc>
          <w:tcPr>
            <w:tcW w:w="127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22 932</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88 454</w:t>
            </w:r>
          </w:p>
        </w:tc>
        <w:tc>
          <w:tcPr>
            <w:tcW w:w="155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73 171</w:t>
            </w:r>
          </w:p>
        </w:tc>
        <w:tc>
          <w:tcPr>
            <w:cnfStyle w:val="000010000000" w:firstRow="0" w:lastRow="0" w:firstColumn="0" w:lastColumn="0" w:oddVBand="1" w:evenVBand="0" w:oddHBand="0" w:evenHBand="0" w:firstRowFirstColumn="0" w:firstRowLastColumn="0" w:lastRowFirstColumn="0" w:lastRowLastColumn="0"/>
            <w:tcW w:w="96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226 557</w:t>
            </w:r>
          </w:p>
        </w:tc>
      </w:tr>
    </w:tbl>
    <w:p w:rsidR="00DF17E9" w:rsidRPr="007C3146" w:rsidRDefault="00DF17E9" w:rsidP="00044843">
      <w:pPr>
        <w:pStyle w:val="Notes"/>
        <w:rPr>
          <w:rFonts w:asciiTheme="majorHAnsi" w:hAnsiTheme="majorHAnsi"/>
          <w:b/>
          <w:bCs/>
          <w:spacing w:val="-2"/>
          <w:lang w:val="en-US"/>
        </w:rPr>
      </w:pPr>
    </w:p>
    <w:tbl>
      <w:tblPr>
        <w:tblStyle w:val="TableDTFGeneral"/>
        <w:tblW w:w="14742" w:type="dxa"/>
        <w:tblLayout w:type="fixed"/>
        <w:tblLook w:val="02A0" w:firstRow="1" w:lastRow="0" w:firstColumn="1" w:lastColumn="0" w:noHBand="1" w:noVBand="0"/>
      </w:tblPr>
      <w:tblGrid>
        <w:gridCol w:w="5698"/>
        <w:gridCol w:w="1276"/>
        <w:gridCol w:w="1106"/>
        <w:gridCol w:w="1162"/>
        <w:gridCol w:w="1276"/>
        <w:gridCol w:w="1701"/>
        <w:gridCol w:w="1559"/>
        <w:gridCol w:w="964"/>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FFFFFF"/>
              </w:rPr>
            </w:pPr>
            <w:r w:rsidRPr="007C3146">
              <w:rPr>
                <w:color w:val="FFFFFF"/>
              </w:rPr>
              <w:t xml:space="preserve"> </w:t>
            </w:r>
          </w:p>
        </w:tc>
        <w:tc>
          <w:tcPr>
            <w:tcW w:w="110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FFFFFF"/>
              </w:rPr>
            </w:pPr>
            <w:r w:rsidRPr="007C3146">
              <w:rPr>
                <w:color w:val="FFFFFF"/>
              </w:rPr>
              <w:t xml:space="preserve"> </w:t>
            </w:r>
          </w:p>
        </w:tc>
        <w:tc>
          <w:tcPr>
            <w:tcW w:w="127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FFFFFF"/>
              </w:rPr>
            </w:pPr>
            <w:r w:rsidRPr="007C3146">
              <w:rPr>
                <w:color w:val="FFFFFF"/>
              </w:rPr>
              <w:t xml:space="preserve"> </w:t>
            </w:r>
          </w:p>
        </w:tc>
        <w:tc>
          <w:tcPr>
            <w:tcW w:w="1559"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FFFFFF"/>
              </w:rPr>
            </w:pPr>
            <w:r w:rsidRPr="007C3146">
              <w:rPr>
                <w:color w:val="FFFFFF"/>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1 671</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9 956</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9 202</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8 696</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5 875</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7 642</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43 041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1 488</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8 367</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2 279</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12 003</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25 834</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12 536</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62 508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87</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208</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1 387</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40</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807</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2 532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58</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17 219</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34 704</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51 981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infrastructure systems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Pr>
                <w:color w:val="000000"/>
              </w:rPr>
              <w:t>..</w:t>
            </w:r>
            <w:r w:rsidRPr="007C3146">
              <w:rPr>
                <w:color w:val="000000"/>
              </w:rPr>
              <w:t xml:space="preserve"> </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3</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4 554</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4 556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 xml:space="preserve">Plant, equipment and vehicles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526</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265</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1 029</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3 582</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1 033</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6 435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r w:rsidRPr="007C3146">
              <w:rPr>
                <w:color w:val="000000"/>
              </w:rPr>
              <w:t>49</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1 027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21</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1 100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17</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19 802</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1 143</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20 962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584</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r w:rsidRPr="007C3146">
              <w:rPr>
                <w:color w:val="000000"/>
              </w:rPr>
              <w:t>584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7C3146" w:rsidRDefault="00DF17E9" w:rsidP="00044843">
            <w:pPr>
              <w:ind w:left="0" w:firstLine="0"/>
              <w:rPr>
                <w:color w:val="000000"/>
              </w:rPr>
            </w:pPr>
            <w:r w:rsidRPr="007C3146">
              <w:rPr>
                <w:color w:val="000000"/>
              </w:rPr>
              <w:t>Earthworks</w:t>
            </w:r>
          </w:p>
        </w:tc>
        <w:tc>
          <w:tcPr>
            <w:cnfStyle w:val="000010000000" w:firstRow="0" w:lastRow="0" w:firstColumn="0" w:lastColumn="0" w:oddVBand="1" w:evenVBand="0" w:oddHBand="0" w:evenHBand="0" w:firstRowFirstColumn="0" w:firstRowLastColumn="0" w:lastRowFirstColumn="0" w:lastRowLastColumn="0"/>
            <w:tcW w:w="1276" w:type="dxa"/>
            <w:tcBorders>
              <w:bottom w:val="nil"/>
            </w:tcBorders>
          </w:tcPr>
          <w:p w:rsidR="00DF17E9" w:rsidRPr="007C3146" w:rsidRDefault="00DF17E9" w:rsidP="00044843">
            <w:r w:rsidRPr="007C3146">
              <w:rPr>
                <w:color w:val="000000"/>
              </w:rPr>
              <w:t>4</w:t>
            </w:r>
          </w:p>
        </w:tc>
        <w:tc>
          <w:tcPr>
            <w:tcW w:w="110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Borders>
              <w:bottom w:val="nil"/>
            </w:tcBorders>
          </w:tcPr>
          <w:p w:rsidR="00DF17E9" w:rsidRPr="007C3146" w:rsidRDefault="00DF17E9" w:rsidP="00044843">
            <w:pPr>
              <w:rPr>
                <w:color w:val="000000"/>
              </w:rPr>
            </w:pPr>
            <w:r>
              <w:rPr>
                <w:color w:val="000000"/>
              </w:rPr>
              <w:t>..</w:t>
            </w:r>
            <w:r w:rsidRPr="007C3146">
              <w:rPr>
                <w:color w:val="000000"/>
              </w:rPr>
              <w:t xml:space="preserve"> </w:t>
            </w:r>
          </w:p>
        </w:tc>
        <w:tc>
          <w:tcPr>
            <w:tcW w:w="127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nil"/>
            </w:tcBorders>
          </w:tcPr>
          <w:p w:rsidR="00DF17E9" w:rsidRPr="007C3146" w:rsidRDefault="00DF17E9" w:rsidP="00044843">
            <w:pPr>
              <w:rPr>
                <w:color w:val="000000"/>
              </w:rPr>
            </w:pPr>
            <w:r w:rsidRPr="007C3146">
              <w:rPr>
                <w:color w:val="000000"/>
              </w:rPr>
              <w:t>7 690</w:t>
            </w:r>
          </w:p>
        </w:tc>
        <w:tc>
          <w:tcPr>
            <w:tcW w:w="1559"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64" w:type="dxa"/>
            <w:tcBorders>
              <w:bottom w:val="nil"/>
            </w:tcBorders>
          </w:tcPr>
          <w:p w:rsidR="00DF17E9" w:rsidRPr="007C3146" w:rsidRDefault="00DF17E9" w:rsidP="00044843">
            <w:pPr>
              <w:rPr>
                <w:color w:val="000000"/>
              </w:rPr>
            </w:pPr>
            <w:r w:rsidRPr="007C3146">
              <w:rPr>
                <w:color w:val="000000"/>
              </w:rPr>
              <w:t>7 694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7C3146" w:rsidRDefault="00DF17E9" w:rsidP="00044843">
            <w:pPr>
              <w:ind w:left="0" w:firstLine="0"/>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6" w:space="0" w:color="auto"/>
            </w:tcBorders>
          </w:tcPr>
          <w:p w:rsidR="00DF17E9" w:rsidRPr="007C3146" w:rsidRDefault="00DF17E9" w:rsidP="00044843">
            <w:r w:rsidRPr="007C3146">
              <w:rPr>
                <w:color w:val="000000"/>
              </w:rPr>
              <w:t>315</w:t>
            </w:r>
          </w:p>
        </w:tc>
        <w:tc>
          <w:tcPr>
            <w:tcW w:w="110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1162" w:type="dxa"/>
            <w:tcBorders>
              <w:bottom w:val="single" w:sz="6" w:space="0" w:color="auto"/>
            </w:tcBorders>
          </w:tcPr>
          <w:p w:rsidR="00DF17E9" w:rsidRPr="007C3146" w:rsidRDefault="00DF17E9" w:rsidP="00044843">
            <w:r w:rsidRPr="007C3146">
              <w:rPr>
                <w:color w:val="000000"/>
              </w:rPr>
              <w:t>57</w:t>
            </w:r>
          </w:p>
        </w:tc>
        <w:tc>
          <w:tcPr>
            <w:tcW w:w="127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7C3146" w:rsidRDefault="00DF17E9" w:rsidP="00044843">
            <w:r w:rsidRPr="007C3146">
              <w:rPr>
                <w:color w:val="000000"/>
              </w:rPr>
              <w:t>2</w:t>
            </w:r>
          </w:p>
        </w:tc>
        <w:tc>
          <w:tcPr>
            <w:tcW w:w="155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5 175</w:t>
            </w:r>
          </w:p>
        </w:tc>
        <w:tc>
          <w:tcPr>
            <w:cnfStyle w:val="000010000000" w:firstRow="0" w:lastRow="0" w:firstColumn="0" w:lastColumn="0" w:oddVBand="1" w:evenVBand="0" w:oddHBand="0" w:evenHBand="0" w:firstRowFirstColumn="0" w:firstRowLastColumn="0" w:lastRowFirstColumn="0" w:lastRowLastColumn="0"/>
            <w:tcW w:w="964" w:type="dxa"/>
            <w:tcBorders>
              <w:bottom w:val="single" w:sz="6" w:space="0" w:color="auto"/>
            </w:tcBorders>
          </w:tcPr>
          <w:p w:rsidR="00DF17E9" w:rsidRPr="007C3146" w:rsidRDefault="00DF17E9" w:rsidP="00044843">
            <w:pPr>
              <w:rPr>
                <w:color w:val="000000"/>
              </w:rPr>
            </w:pPr>
            <w:r w:rsidRPr="007C3146">
              <w:rPr>
                <w:color w:val="000000"/>
              </w:rPr>
              <w:t>5 554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 xml:space="preserve">Total land, buildings, infrastructure, plant and equipment </w:t>
            </w:r>
            <w:r w:rsidRPr="007C3146">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276"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4 167</w:t>
            </w:r>
          </w:p>
        </w:tc>
        <w:tc>
          <w:tcPr>
            <w:tcW w:w="110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18 803</w:t>
            </w:r>
          </w:p>
        </w:tc>
        <w:tc>
          <w:tcPr>
            <w:cnfStyle w:val="000010000000" w:firstRow="0" w:lastRow="0" w:firstColumn="0" w:lastColumn="0" w:oddVBand="1" w:evenVBand="0" w:oddHBand="0" w:evenHBand="0" w:firstRowFirstColumn="0" w:firstRowLastColumn="0" w:lastRowFirstColumn="0" w:lastRowLastColumn="0"/>
            <w:tcW w:w="116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14 003</w:t>
            </w:r>
          </w:p>
        </w:tc>
        <w:tc>
          <w:tcPr>
            <w:tcW w:w="127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20 703</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81 658</w:t>
            </w:r>
          </w:p>
        </w:tc>
        <w:tc>
          <w:tcPr>
            <w:tcW w:w="155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67 615</w:t>
            </w:r>
          </w:p>
        </w:tc>
        <w:tc>
          <w:tcPr>
            <w:cnfStyle w:val="000010000000" w:firstRow="0" w:lastRow="0" w:firstColumn="0" w:lastColumn="0" w:oddVBand="1" w:evenVBand="0" w:oddHBand="0" w:evenHBand="0" w:firstRowFirstColumn="0" w:firstRowLastColumn="0" w:lastRowFirstColumn="0" w:lastRowLastColumn="0"/>
            <w:tcW w:w="96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206 949</w:t>
            </w:r>
          </w:p>
        </w:tc>
      </w:tr>
    </w:tbl>
    <w:p w:rsidR="00DF17E9" w:rsidRDefault="00DF17E9" w:rsidP="00044843">
      <w:pPr>
        <w:pStyle w:val="Note"/>
      </w:pPr>
      <w:r>
        <w:t>Note:</w:t>
      </w:r>
    </w:p>
    <w:p w:rsidR="00DF17E9" w:rsidRDefault="00DF17E9" w:rsidP="00044843">
      <w:pPr>
        <w:pStyle w:val="Note"/>
      </w:pPr>
      <w:r>
        <w:t xml:space="preserve">(a) </w:t>
      </w:r>
      <w:r>
        <w:tab/>
      </w:r>
      <w:r w:rsidRPr="00ED02DB">
        <w:t>June 2015 comparative figures have been restated to finalise the allocation of equity balances between contributed capital and accumulated funds related to prior year machinery of government changes.</w:t>
      </w:r>
    </w:p>
    <w:p w:rsidR="00DF17E9" w:rsidRDefault="00DF17E9" w:rsidP="00044843">
      <w:r>
        <w:br w:type="page"/>
      </w:r>
    </w:p>
    <w:p w:rsidR="00DF17E9" w:rsidRPr="007C3146" w:rsidRDefault="00DF17E9" w:rsidP="00044843">
      <w:pPr>
        <w:pStyle w:val="Heading3"/>
        <w:numPr>
          <w:ilvl w:val="2"/>
          <w:numId w:val="18"/>
        </w:numPr>
        <w:tabs>
          <w:tab w:val="right" w:pos="14742"/>
        </w:tabs>
        <w:rPr>
          <w:lang w:val="en-US"/>
        </w:rPr>
      </w:pPr>
      <w:r>
        <w:lastRenderedPageBreak/>
        <w:t>Total land, buildings, infrastructure, plant and equipment by government purpose</w:t>
      </w:r>
      <w:r w:rsidRPr="00A44B7C">
        <w:rPr>
          <w:i/>
        </w:rPr>
        <w:t xml:space="preserve"> (continued)</w:t>
      </w:r>
      <w:r>
        <w:tab/>
      </w:r>
      <w:r>
        <w:tab/>
      </w:r>
      <w:r w:rsidRPr="00A44B7C">
        <w:rPr>
          <w:sz w:val="19"/>
          <w:szCs w:val="19"/>
        </w:rPr>
        <w:t>($ million)</w:t>
      </w:r>
    </w:p>
    <w:tbl>
      <w:tblPr>
        <w:tblStyle w:val="TableDTFGeneral"/>
        <w:tblW w:w="14742" w:type="dxa"/>
        <w:tblLayout w:type="fixed"/>
        <w:tblLook w:val="02A0" w:firstRow="1" w:lastRow="0" w:firstColumn="1" w:lastColumn="0" w:noHBand="1" w:noVBand="0"/>
      </w:tblPr>
      <w:tblGrid>
        <w:gridCol w:w="5698"/>
        <w:gridCol w:w="1276"/>
        <w:gridCol w:w="1106"/>
        <w:gridCol w:w="1162"/>
        <w:gridCol w:w="1276"/>
        <w:gridCol w:w="1701"/>
        <w:gridCol w:w="1559"/>
        <w:gridCol w:w="964"/>
      </w:tblGrid>
      <w:tr w:rsidR="00416AC8" w:rsidRPr="007C3146" w:rsidTr="003A32B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698" w:type="dxa"/>
          </w:tcPr>
          <w:p w:rsidR="00416AC8" w:rsidRPr="007C3146" w:rsidRDefault="00416AC8" w:rsidP="00416AC8">
            <w:pPr>
              <w:ind w:left="0" w:firstLine="0"/>
              <w:rPr>
                <w:i w:val="0"/>
                <w:color w:val="FFFFFF"/>
              </w:rPr>
            </w:pPr>
            <w:r w:rsidRPr="007C3146">
              <w:rPr>
                <w:color w:val="FFFFFF"/>
              </w:rPr>
              <w:t>General government sector</w:t>
            </w:r>
          </w:p>
          <w:p w:rsidR="00416AC8" w:rsidRPr="007C3146" w:rsidRDefault="00416AC8" w:rsidP="00416AC8">
            <w:pPr>
              <w:ind w:left="0" w:firstLine="0"/>
              <w:rPr>
                <w:color w:val="FFFFFF"/>
              </w:rPr>
            </w:pPr>
            <w:r w:rsidRPr="007C3146">
              <w:rPr>
                <w:color w:val="FFFFFF"/>
              </w:rPr>
              <w:t>2016</w:t>
            </w:r>
          </w:p>
        </w:tc>
        <w:tc>
          <w:tcPr>
            <w:cnfStyle w:val="000010000000" w:firstRow="0" w:lastRow="0" w:firstColumn="0" w:lastColumn="0" w:oddVBand="1" w:evenVBand="0" w:oddHBand="0" w:evenHBand="0" w:firstRowFirstColumn="0" w:firstRowLastColumn="0" w:lastRowFirstColumn="0" w:lastRowLastColumn="0"/>
            <w:tcW w:w="1276" w:type="dxa"/>
          </w:tcPr>
          <w:p w:rsidR="00416AC8" w:rsidRPr="007C3146" w:rsidRDefault="00416AC8" w:rsidP="00044843">
            <w:pPr>
              <w:rPr>
                <w:i w:val="0"/>
                <w:color w:val="FFFFFF"/>
              </w:rPr>
            </w:pPr>
            <w:r w:rsidRPr="007C3146">
              <w:rPr>
                <w:color w:val="FFFFFF"/>
              </w:rPr>
              <w:t>Public</w:t>
            </w:r>
          </w:p>
          <w:p w:rsidR="00416AC8" w:rsidRPr="007C3146" w:rsidRDefault="00416AC8" w:rsidP="00044843">
            <w:pPr>
              <w:rPr>
                <w:color w:val="FFFFFF"/>
              </w:rPr>
            </w:pPr>
            <w:r w:rsidRPr="007C3146">
              <w:rPr>
                <w:color w:val="FFFFFF"/>
              </w:rPr>
              <w:t>administration</w:t>
            </w:r>
          </w:p>
        </w:tc>
        <w:tc>
          <w:tcPr>
            <w:tcW w:w="1106" w:type="dxa"/>
          </w:tcPr>
          <w:p w:rsidR="00416AC8" w:rsidRPr="007C3146" w:rsidRDefault="00416AC8" w:rsidP="00416AC8">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Education </w:t>
            </w:r>
          </w:p>
        </w:tc>
        <w:tc>
          <w:tcPr>
            <w:cnfStyle w:val="000010000000" w:firstRow="0" w:lastRow="0" w:firstColumn="0" w:lastColumn="0" w:oddVBand="1" w:evenVBand="0" w:oddHBand="0" w:evenHBand="0" w:firstRowFirstColumn="0" w:firstRowLastColumn="0" w:lastRowFirstColumn="0" w:lastRowLastColumn="0"/>
            <w:tcW w:w="1162" w:type="dxa"/>
          </w:tcPr>
          <w:p w:rsidR="00416AC8" w:rsidRPr="007C3146" w:rsidRDefault="00416AC8" w:rsidP="00416AC8">
            <w:pPr>
              <w:rPr>
                <w:color w:val="FFFFFF"/>
              </w:rPr>
            </w:pPr>
            <w:r w:rsidRPr="007C3146">
              <w:rPr>
                <w:color w:val="FFFFFF"/>
              </w:rPr>
              <w:t xml:space="preserve">Health </w:t>
            </w:r>
            <w:r>
              <w:rPr>
                <w:color w:val="FFFFFF"/>
              </w:rPr>
              <w:br/>
            </w:r>
            <w:r w:rsidRPr="007C3146">
              <w:rPr>
                <w:color w:val="FFFFFF"/>
              </w:rPr>
              <w:t>and</w:t>
            </w:r>
            <w:r>
              <w:rPr>
                <w:color w:val="FFFFFF"/>
              </w:rPr>
              <w:t xml:space="preserve"> </w:t>
            </w:r>
            <w:r w:rsidRPr="007C3146">
              <w:rPr>
                <w:color w:val="FFFFFF"/>
              </w:rPr>
              <w:t>Welfare</w:t>
            </w:r>
          </w:p>
        </w:tc>
        <w:tc>
          <w:tcPr>
            <w:tcW w:w="1276" w:type="dxa"/>
          </w:tcPr>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7C3146">
              <w:rPr>
                <w:color w:val="FFFFFF"/>
              </w:rPr>
              <w:t>Community</w:t>
            </w:r>
          </w:p>
          <w:p w:rsidR="00416AC8" w:rsidRPr="007C3146" w:rsidRDefault="00416AC8"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Housing</w:t>
            </w:r>
          </w:p>
        </w:tc>
        <w:tc>
          <w:tcPr>
            <w:cnfStyle w:val="000010000000" w:firstRow="0" w:lastRow="0" w:firstColumn="0" w:lastColumn="0" w:oddVBand="1" w:evenVBand="0" w:oddHBand="0" w:evenHBand="0" w:firstRowFirstColumn="0" w:firstRowLastColumn="0" w:lastRowFirstColumn="0" w:lastRowLastColumn="0"/>
            <w:tcW w:w="1701" w:type="dxa"/>
          </w:tcPr>
          <w:p w:rsidR="00416AC8" w:rsidRPr="007C3146" w:rsidRDefault="00416AC8" w:rsidP="00416AC8">
            <w:pPr>
              <w:rPr>
                <w:color w:val="FFFFFF"/>
              </w:rPr>
            </w:pPr>
            <w:r w:rsidRPr="007C3146">
              <w:rPr>
                <w:color w:val="FFFFFF"/>
              </w:rPr>
              <w:t xml:space="preserve">Transportation </w:t>
            </w:r>
            <w:r>
              <w:rPr>
                <w:color w:val="FFFFFF"/>
              </w:rPr>
              <w:br/>
            </w:r>
            <w:r w:rsidRPr="007C3146">
              <w:rPr>
                <w:color w:val="FFFFFF"/>
              </w:rPr>
              <w:t>and</w:t>
            </w:r>
            <w:r>
              <w:rPr>
                <w:color w:val="FFFFFF"/>
              </w:rPr>
              <w:t xml:space="preserve"> </w:t>
            </w:r>
            <w:r w:rsidRPr="007C3146">
              <w:rPr>
                <w:color w:val="FFFFFF"/>
              </w:rPr>
              <w:t>Communication</w:t>
            </w:r>
          </w:p>
        </w:tc>
        <w:tc>
          <w:tcPr>
            <w:tcW w:w="1559" w:type="dxa"/>
          </w:tcPr>
          <w:p w:rsidR="00416AC8" w:rsidRPr="007C3146" w:rsidRDefault="00416AC8" w:rsidP="00416AC8">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Public Safety </w:t>
            </w:r>
            <w:r>
              <w:rPr>
                <w:color w:val="FFFFFF"/>
              </w:rPr>
              <w:br/>
            </w:r>
            <w:r w:rsidRPr="007C3146">
              <w:rPr>
                <w:color w:val="FFFFFF"/>
              </w:rPr>
              <w:t>and</w:t>
            </w:r>
            <w:r>
              <w:rPr>
                <w:color w:val="FFFFFF"/>
              </w:rPr>
              <w:t xml:space="preserve"> </w:t>
            </w:r>
            <w:r w:rsidRPr="007C3146">
              <w:rPr>
                <w:color w:val="FFFFFF"/>
              </w:rPr>
              <w:t>Environment</w:t>
            </w:r>
          </w:p>
        </w:tc>
        <w:tc>
          <w:tcPr>
            <w:cnfStyle w:val="000010000000" w:firstRow="0" w:lastRow="0" w:firstColumn="0" w:lastColumn="0" w:oddVBand="1" w:evenVBand="0" w:oddHBand="0" w:evenHBand="0" w:firstRowFirstColumn="0" w:firstRowLastColumn="0" w:lastRowFirstColumn="0" w:lastRowLastColumn="0"/>
            <w:tcW w:w="964" w:type="dxa"/>
          </w:tcPr>
          <w:p w:rsidR="00416AC8" w:rsidRPr="007C3146" w:rsidRDefault="00416AC8" w:rsidP="00416AC8">
            <w:pPr>
              <w:rPr>
                <w:color w:val="FFFFFF"/>
              </w:rPr>
            </w:pPr>
            <w:r w:rsidRPr="007C3146">
              <w:rPr>
                <w:color w:val="FFFFFF"/>
              </w:rPr>
              <w:t xml:space="preserve">Total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647</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11 579</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8 954</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607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5 826</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27 612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1 195</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9 873</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2 568</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19 828</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11 261</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44 724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46</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165</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2 656</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37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w:t>
            </w:r>
            <w:r w:rsidRPr="007C3146">
              <w:t xml:space="preserve"> 097</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4 002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39</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355</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927</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1 320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199</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188</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1 062</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27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850</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2 326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r w:rsidRPr="007C3146">
              <w:rPr>
                <w:color w:val="000000"/>
              </w:rPr>
              <w:t>61</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87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r w:rsidRPr="007C3146">
              <w:rPr>
                <w:color w:val="000000"/>
              </w:rPr>
              <w:t>158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Pr>
                <w:color w:val="000000"/>
              </w:rPr>
              <w:t>..</w:t>
            </w:r>
            <w:r w:rsidRPr="007C3146">
              <w:rPr>
                <w:color w:val="000000"/>
              </w:rPr>
              <w:t xml:space="preserve"> </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19 150</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882</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20 031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575</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r w:rsidRPr="007C3146">
              <w:rPr>
                <w:color w:val="000000"/>
              </w:rPr>
              <w:t>575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7C3146" w:rsidRDefault="00DF17E9" w:rsidP="00044843">
            <w:pPr>
              <w:ind w:left="0" w:firstLine="0"/>
              <w:rPr>
                <w:color w:val="000000"/>
              </w:rPr>
            </w:pPr>
            <w:r w:rsidRPr="007C3146">
              <w:rPr>
                <w:color w:val="000000"/>
              </w:rPr>
              <w:t>Earthworks</w:t>
            </w:r>
          </w:p>
        </w:tc>
        <w:tc>
          <w:tcPr>
            <w:cnfStyle w:val="000010000000" w:firstRow="0" w:lastRow="0" w:firstColumn="0" w:lastColumn="0" w:oddVBand="1" w:evenVBand="0" w:oddHBand="0" w:evenHBand="0" w:firstRowFirstColumn="0" w:firstRowLastColumn="0" w:lastRowFirstColumn="0" w:lastRowLastColumn="0"/>
            <w:tcW w:w="1276" w:type="dxa"/>
            <w:tcBorders>
              <w:bottom w:val="nil"/>
            </w:tcBorders>
          </w:tcPr>
          <w:p w:rsidR="00DF17E9" w:rsidRPr="007C3146" w:rsidRDefault="00DF17E9" w:rsidP="00044843">
            <w:pPr>
              <w:rPr>
                <w:color w:val="000000"/>
              </w:rPr>
            </w:pPr>
            <w:r>
              <w:rPr>
                <w:color w:val="000000"/>
              </w:rPr>
              <w:t>..</w:t>
            </w:r>
            <w:r w:rsidRPr="007C3146">
              <w:rPr>
                <w:color w:val="000000"/>
              </w:rPr>
              <w:t xml:space="preserve"> </w:t>
            </w:r>
          </w:p>
        </w:tc>
        <w:tc>
          <w:tcPr>
            <w:tcW w:w="110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Borders>
              <w:bottom w:val="nil"/>
            </w:tcBorders>
          </w:tcPr>
          <w:p w:rsidR="00DF17E9" w:rsidRPr="007C3146" w:rsidRDefault="00DF17E9" w:rsidP="00044843">
            <w:pPr>
              <w:rPr>
                <w:color w:val="000000"/>
              </w:rPr>
            </w:pPr>
            <w:r>
              <w:rPr>
                <w:color w:val="000000"/>
              </w:rPr>
              <w:t>..</w:t>
            </w:r>
            <w:r w:rsidRPr="007C3146">
              <w:rPr>
                <w:color w:val="000000"/>
              </w:rPr>
              <w:t xml:space="preserve"> </w:t>
            </w:r>
          </w:p>
        </w:tc>
        <w:tc>
          <w:tcPr>
            <w:tcW w:w="127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nil"/>
            </w:tcBorders>
          </w:tcPr>
          <w:p w:rsidR="00DF17E9" w:rsidRPr="007C3146" w:rsidRDefault="00DF17E9" w:rsidP="00044843">
            <w:pPr>
              <w:rPr>
                <w:color w:val="000000"/>
              </w:rPr>
            </w:pPr>
            <w:r w:rsidRPr="007C3146">
              <w:rPr>
                <w:color w:val="000000"/>
              </w:rPr>
              <w:t>7 913</w:t>
            </w:r>
          </w:p>
        </w:tc>
        <w:tc>
          <w:tcPr>
            <w:tcW w:w="1559"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64" w:type="dxa"/>
            <w:tcBorders>
              <w:bottom w:val="nil"/>
            </w:tcBorders>
          </w:tcPr>
          <w:p w:rsidR="00DF17E9" w:rsidRPr="007C3146" w:rsidRDefault="00DF17E9" w:rsidP="00044843">
            <w:pPr>
              <w:rPr>
                <w:color w:val="000000"/>
              </w:rPr>
            </w:pPr>
            <w:r w:rsidRPr="007C3146">
              <w:rPr>
                <w:color w:val="000000"/>
              </w:rPr>
              <w:t>7 913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7C3146" w:rsidRDefault="00DF17E9" w:rsidP="00044843">
            <w:pPr>
              <w:ind w:left="0" w:firstLine="0"/>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6" w:space="0" w:color="auto"/>
            </w:tcBorders>
          </w:tcPr>
          <w:p w:rsidR="00DF17E9" w:rsidRPr="007C3146" w:rsidRDefault="00DF17E9" w:rsidP="00044843">
            <w:r w:rsidRPr="007C3146">
              <w:rPr>
                <w:color w:val="000000"/>
              </w:rPr>
              <w:t>532</w:t>
            </w:r>
          </w:p>
        </w:tc>
        <w:tc>
          <w:tcPr>
            <w:tcW w:w="110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1162" w:type="dxa"/>
            <w:tcBorders>
              <w:bottom w:val="single" w:sz="6" w:space="0" w:color="auto"/>
            </w:tcBorders>
          </w:tcPr>
          <w:p w:rsidR="00DF17E9" w:rsidRPr="007C3146" w:rsidRDefault="00DF17E9" w:rsidP="00044843">
            <w:r w:rsidRPr="007C3146">
              <w:rPr>
                <w:color w:val="000000"/>
              </w:rPr>
              <w:t>4</w:t>
            </w:r>
          </w:p>
        </w:tc>
        <w:tc>
          <w:tcPr>
            <w:tcW w:w="127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7C3146" w:rsidRDefault="00DF17E9" w:rsidP="00044843">
            <w:r w:rsidRPr="007C3146">
              <w:rPr>
                <w:color w:val="000000"/>
              </w:rPr>
              <w:t>2</w:t>
            </w:r>
          </w:p>
        </w:tc>
        <w:tc>
          <w:tcPr>
            <w:tcW w:w="155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5 051</w:t>
            </w:r>
          </w:p>
        </w:tc>
        <w:tc>
          <w:tcPr>
            <w:cnfStyle w:val="000010000000" w:firstRow="0" w:lastRow="0" w:firstColumn="0" w:lastColumn="0" w:oddVBand="1" w:evenVBand="0" w:oddHBand="0" w:evenHBand="0" w:firstRowFirstColumn="0" w:firstRowLastColumn="0" w:lastRowFirstColumn="0" w:lastRowLastColumn="0"/>
            <w:tcW w:w="964" w:type="dxa"/>
            <w:tcBorders>
              <w:bottom w:val="single" w:sz="6" w:space="0" w:color="auto"/>
            </w:tcBorders>
          </w:tcPr>
          <w:p w:rsidR="00DF17E9" w:rsidRPr="007C3146" w:rsidRDefault="00DF17E9" w:rsidP="00044843">
            <w:pPr>
              <w:rPr>
                <w:color w:val="000000"/>
              </w:rPr>
            </w:pPr>
            <w:r w:rsidRPr="007C3146">
              <w:rPr>
                <w:color w:val="000000"/>
              </w:rPr>
              <w:t>5 592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land, buildings, infrastructure, plant and equipment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2 658</w:t>
            </w:r>
          </w:p>
        </w:tc>
        <w:tc>
          <w:tcPr>
            <w:tcW w:w="110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21 812</w:t>
            </w:r>
          </w:p>
        </w:tc>
        <w:tc>
          <w:tcPr>
            <w:cnfStyle w:val="000010000000" w:firstRow="0" w:lastRow="0" w:firstColumn="0" w:lastColumn="0" w:oddVBand="1" w:evenVBand="0" w:oddHBand="0" w:evenHBand="0" w:firstRowFirstColumn="0" w:firstRowLastColumn="0" w:lastRowFirstColumn="0" w:lastRowLastColumn="0"/>
            <w:tcW w:w="116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15 304</w:t>
            </w:r>
          </w:p>
        </w:tc>
        <w:tc>
          <w:tcPr>
            <w:tcW w:w="127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48 581</w:t>
            </w:r>
          </w:p>
        </w:tc>
        <w:tc>
          <w:tcPr>
            <w:tcW w:w="155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25 900</w:t>
            </w:r>
          </w:p>
        </w:tc>
        <w:tc>
          <w:tcPr>
            <w:cnfStyle w:val="000010000000" w:firstRow="0" w:lastRow="0" w:firstColumn="0" w:lastColumn="0" w:oddVBand="1" w:evenVBand="0" w:oddHBand="0" w:evenHBand="0" w:firstRowFirstColumn="0" w:firstRowLastColumn="0" w:lastRowFirstColumn="0" w:lastRowLastColumn="0"/>
            <w:tcW w:w="96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114 254</w:t>
            </w:r>
          </w:p>
        </w:tc>
      </w:tr>
    </w:tbl>
    <w:p w:rsidR="00DF17E9" w:rsidRPr="007C3146" w:rsidRDefault="00DF17E9" w:rsidP="00044843">
      <w:pPr>
        <w:rPr>
          <w:b/>
          <w:bCs/>
          <w:lang w:val="en-US"/>
        </w:rPr>
      </w:pPr>
    </w:p>
    <w:tbl>
      <w:tblPr>
        <w:tblStyle w:val="TableDTFGeneral"/>
        <w:tblW w:w="14742" w:type="dxa"/>
        <w:tblLayout w:type="fixed"/>
        <w:tblLook w:val="02A0" w:firstRow="1" w:lastRow="0" w:firstColumn="1" w:lastColumn="0" w:noHBand="1" w:noVBand="0"/>
      </w:tblPr>
      <w:tblGrid>
        <w:gridCol w:w="5698"/>
        <w:gridCol w:w="1276"/>
        <w:gridCol w:w="1106"/>
        <w:gridCol w:w="1162"/>
        <w:gridCol w:w="1276"/>
        <w:gridCol w:w="1701"/>
        <w:gridCol w:w="1559"/>
        <w:gridCol w:w="964"/>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FFFFFF"/>
              </w:rPr>
            </w:pPr>
            <w:r w:rsidRPr="007C3146">
              <w:rPr>
                <w:color w:val="FFFFFF"/>
              </w:rPr>
              <w:t xml:space="preserve"> </w:t>
            </w:r>
          </w:p>
        </w:tc>
        <w:tc>
          <w:tcPr>
            <w:tcW w:w="110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FFFFFF"/>
              </w:rPr>
            </w:pPr>
            <w:r w:rsidRPr="007C3146">
              <w:rPr>
                <w:color w:val="FFFFFF"/>
              </w:rPr>
              <w:t xml:space="preserve"> </w:t>
            </w:r>
          </w:p>
        </w:tc>
        <w:tc>
          <w:tcPr>
            <w:tcW w:w="127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FFFFFF"/>
              </w:rPr>
            </w:pPr>
            <w:r w:rsidRPr="007C3146">
              <w:rPr>
                <w:color w:val="FFFFFF"/>
              </w:rPr>
              <w:t xml:space="preserve"> </w:t>
            </w:r>
          </w:p>
        </w:tc>
        <w:tc>
          <w:tcPr>
            <w:tcW w:w="1559"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FFFFFF"/>
              </w:rPr>
            </w:pPr>
            <w:r w:rsidRPr="007C3146">
              <w:rPr>
                <w:color w:val="FFFFFF"/>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598</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9 956</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9 187</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616</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5 619</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25 976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998</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8 367</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2 274</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19 767</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9 293</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40 699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buildings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44</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208</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1 387</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40</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798</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2 476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39</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411</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849</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1 299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 xml:space="preserve">Plant, equipment and vehicles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r w:rsidRPr="007C3146">
              <w:rPr>
                <w:color w:val="000000"/>
              </w:rPr>
              <w:t>231</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265</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1 029</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25</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725</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2 275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plant, equipment and vehicles</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r w:rsidRPr="007C3146">
              <w:rPr>
                <w:color w:val="000000"/>
              </w:rPr>
              <w:t>49</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93</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21</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r w:rsidRPr="007C3146">
              <w:rPr>
                <w:color w:val="000000"/>
              </w:rPr>
              <w:t>166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Pr>
                <w:color w:val="000000"/>
              </w:rPr>
              <w:t>..</w:t>
            </w:r>
            <w:r w:rsidRPr="007C3146">
              <w:rPr>
                <w:color w:val="000000"/>
              </w:rPr>
              <w:t xml:space="preserve"> </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Pr>
                <w:color w:val="000000"/>
              </w:rPr>
              <w:t>..</w:t>
            </w:r>
            <w:r w:rsidRPr="007C3146">
              <w:rPr>
                <w:color w:val="000000"/>
              </w:rPr>
              <w:t xml:space="preserve"> </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pPr>
              <w:rPr>
                <w:color w:val="000000"/>
              </w:rPr>
            </w:pPr>
            <w:r w:rsidRPr="007C3146">
              <w:rPr>
                <w:color w:val="000000"/>
              </w:rPr>
              <w:t>19 802</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1 098</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pPr>
              <w:rPr>
                <w:color w:val="000000"/>
              </w:rPr>
            </w:pPr>
            <w:r w:rsidRPr="007C3146">
              <w:rPr>
                <w:color w:val="000000"/>
              </w:rPr>
              <w:t>20 901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000000"/>
              </w:rPr>
            </w:pPr>
            <w:r w:rsidRPr="007C3146">
              <w:rPr>
                <w:color w:val="000000"/>
              </w:rPr>
              <w:t>Leased roads and road infrastructure</w:t>
            </w:r>
          </w:p>
        </w:tc>
        <w:tc>
          <w:tcPr>
            <w:cnfStyle w:val="000010000000" w:firstRow="0" w:lastRow="0" w:firstColumn="0" w:lastColumn="0" w:oddVBand="1" w:evenVBand="0" w:oddHBand="0" w:evenHBand="0" w:firstRowFirstColumn="0" w:firstRowLastColumn="0" w:lastRowFirstColumn="0" w:lastRowLastColumn="0"/>
            <w:tcW w:w="1276" w:type="dxa"/>
          </w:tcPr>
          <w:p w:rsidR="00DF17E9" w:rsidRPr="007C3146" w:rsidRDefault="00DF17E9" w:rsidP="00044843">
            <w:pPr>
              <w:rPr>
                <w:color w:val="000000"/>
              </w:rPr>
            </w:pPr>
            <w:r w:rsidRPr="007C3146">
              <w:rPr>
                <w:color w:val="000000"/>
              </w:rPr>
              <w:t>..</w:t>
            </w:r>
          </w:p>
        </w:tc>
        <w:tc>
          <w:tcPr>
            <w:tcW w:w="110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162" w:type="dxa"/>
          </w:tcPr>
          <w:p w:rsidR="00DF17E9" w:rsidRPr="007C3146" w:rsidRDefault="00DF17E9" w:rsidP="00044843">
            <w:pPr>
              <w:rPr>
                <w:color w:val="000000"/>
              </w:rPr>
            </w:pPr>
            <w:r w:rsidRPr="007C3146">
              <w:rPr>
                <w:color w:val="000000"/>
              </w:rPr>
              <w:t>..</w:t>
            </w:r>
          </w:p>
        </w:tc>
        <w:tc>
          <w:tcPr>
            <w:tcW w:w="127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1701" w:type="dxa"/>
          </w:tcPr>
          <w:p w:rsidR="00DF17E9" w:rsidRPr="007C3146" w:rsidRDefault="00DF17E9" w:rsidP="00044843">
            <w:r w:rsidRPr="007C3146">
              <w:rPr>
                <w:color w:val="000000"/>
              </w:rPr>
              <w:t>584</w:t>
            </w:r>
          </w:p>
        </w:tc>
        <w:tc>
          <w:tcPr>
            <w:tcW w:w="1559"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64" w:type="dxa"/>
          </w:tcPr>
          <w:p w:rsidR="00DF17E9" w:rsidRPr="007C3146" w:rsidRDefault="00DF17E9" w:rsidP="00044843">
            <w:r w:rsidRPr="007C3146">
              <w:rPr>
                <w:color w:val="000000"/>
              </w:rPr>
              <w:t>584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7C3146" w:rsidRDefault="00DF17E9" w:rsidP="00044843">
            <w:pPr>
              <w:ind w:left="0" w:firstLine="0"/>
              <w:rPr>
                <w:color w:val="000000"/>
              </w:rPr>
            </w:pPr>
            <w:r w:rsidRPr="007C3146">
              <w:rPr>
                <w:color w:val="000000"/>
              </w:rPr>
              <w:t>Earthworks</w:t>
            </w:r>
          </w:p>
        </w:tc>
        <w:tc>
          <w:tcPr>
            <w:cnfStyle w:val="000010000000" w:firstRow="0" w:lastRow="0" w:firstColumn="0" w:lastColumn="0" w:oddVBand="1" w:evenVBand="0" w:oddHBand="0" w:evenHBand="0" w:firstRowFirstColumn="0" w:firstRowLastColumn="0" w:lastRowFirstColumn="0" w:lastRowLastColumn="0"/>
            <w:tcW w:w="1276" w:type="dxa"/>
            <w:tcBorders>
              <w:bottom w:val="nil"/>
            </w:tcBorders>
          </w:tcPr>
          <w:p w:rsidR="00DF17E9" w:rsidRPr="007C3146" w:rsidRDefault="00DF17E9" w:rsidP="00044843">
            <w:pPr>
              <w:rPr>
                <w:color w:val="000000"/>
              </w:rPr>
            </w:pPr>
            <w:r>
              <w:rPr>
                <w:color w:val="000000"/>
              </w:rPr>
              <w:t>..</w:t>
            </w:r>
            <w:r w:rsidRPr="007C3146">
              <w:rPr>
                <w:color w:val="000000"/>
              </w:rPr>
              <w:t xml:space="preserve"> </w:t>
            </w:r>
          </w:p>
        </w:tc>
        <w:tc>
          <w:tcPr>
            <w:tcW w:w="110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2" w:type="dxa"/>
            <w:tcBorders>
              <w:bottom w:val="nil"/>
            </w:tcBorders>
          </w:tcPr>
          <w:p w:rsidR="00DF17E9" w:rsidRPr="007C3146" w:rsidRDefault="00DF17E9" w:rsidP="00044843">
            <w:pPr>
              <w:rPr>
                <w:color w:val="000000"/>
              </w:rPr>
            </w:pPr>
            <w:r>
              <w:rPr>
                <w:color w:val="000000"/>
              </w:rPr>
              <w:t>..</w:t>
            </w:r>
            <w:r w:rsidRPr="007C3146">
              <w:rPr>
                <w:color w:val="000000"/>
              </w:rPr>
              <w:t xml:space="preserve"> </w:t>
            </w:r>
          </w:p>
        </w:tc>
        <w:tc>
          <w:tcPr>
            <w:tcW w:w="127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nil"/>
            </w:tcBorders>
          </w:tcPr>
          <w:p w:rsidR="00DF17E9" w:rsidRPr="007C3146" w:rsidRDefault="00DF17E9" w:rsidP="00044843">
            <w:pPr>
              <w:rPr>
                <w:color w:val="000000"/>
              </w:rPr>
            </w:pPr>
            <w:r w:rsidRPr="007C3146">
              <w:rPr>
                <w:color w:val="000000"/>
              </w:rPr>
              <w:t>7 690</w:t>
            </w:r>
          </w:p>
        </w:tc>
        <w:tc>
          <w:tcPr>
            <w:tcW w:w="1559"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64" w:type="dxa"/>
            <w:tcBorders>
              <w:bottom w:val="nil"/>
            </w:tcBorders>
          </w:tcPr>
          <w:p w:rsidR="00DF17E9" w:rsidRPr="007C3146" w:rsidRDefault="00DF17E9" w:rsidP="00044843">
            <w:pPr>
              <w:rPr>
                <w:color w:val="000000"/>
              </w:rPr>
            </w:pPr>
            <w:r w:rsidRPr="007C3146">
              <w:rPr>
                <w:color w:val="000000"/>
              </w:rPr>
              <w:t>7 690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7C3146" w:rsidRDefault="00DF17E9" w:rsidP="00044843">
            <w:pPr>
              <w:ind w:left="0" w:firstLine="0"/>
              <w:rPr>
                <w:color w:val="000000"/>
              </w:rPr>
            </w:pPr>
            <w:r w:rsidRPr="007C3146">
              <w:rPr>
                <w:color w:val="000000"/>
              </w:rPr>
              <w:t>Cultural assets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6" w:space="0" w:color="auto"/>
            </w:tcBorders>
          </w:tcPr>
          <w:p w:rsidR="00DF17E9" w:rsidRPr="007C3146" w:rsidRDefault="00DF17E9" w:rsidP="00044843">
            <w:r w:rsidRPr="007C3146">
              <w:rPr>
                <w:color w:val="000000"/>
              </w:rPr>
              <w:t>315</w:t>
            </w:r>
          </w:p>
        </w:tc>
        <w:tc>
          <w:tcPr>
            <w:tcW w:w="110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1162" w:type="dxa"/>
            <w:tcBorders>
              <w:bottom w:val="single" w:sz="6" w:space="0" w:color="auto"/>
            </w:tcBorders>
          </w:tcPr>
          <w:p w:rsidR="00DF17E9" w:rsidRPr="007C3146" w:rsidRDefault="00DF17E9" w:rsidP="00044843">
            <w:r w:rsidRPr="007C3146">
              <w:rPr>
                <w:color w:val="000000"/>
              </w:rPr>
              <w:t>1</w:t>
            </w:r>
          </w:p>
        </w:tc>
        <w:tc>
          <w:tcPr>
            <w:tcW w:w="127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7C3146" w:rsidRDefault="00DF17E9" w:rsidP="00044843">
            <w:r w:rsidRPr="007C3146">
              <w:rPr>
                <w:color w:val="000000"/>
              </w:rPr>
              <w:t>2</w:t>
            </w:r>
          </w:p>
        </w:tc>
        <w:tc>
          <w:tcPr>
            <w:tcW w:w="155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5 174</w:t>
            </w:r>
          </w:p>
        </w:tc>
        <w:tc>
          <w:tcPr>
            <w:cnfStyle w:val="000010000000" w:firstRow="0" w:lastRow="0" w:firstColumn="0" w:lastColumn="0" w:oddVBand="1" w:evenVBand="0" w:oddHBand="0" w:evenHBand="0" w:firstRowFirstColumn="0" w:firstRowLastColumn="0" w:lastRowFirstColumn="0" w:lastRowLastColumn="0"/>
            <w:tcW w:w="964" w:type="dxa"/>
            <w:tcBorders>
              <w:bottom w:val="single" w:sz="6" w:space="0" w:color="auto"/>
            </w:tcBorders>
          </w:tcPr>
          <w:p w:rsidR="00DF17E9" w:rsidRPr="007C3146" w:rsidRDefault="00DF17E9" w:rsidP="00044843">
            <w:pPr>
              <w:rPr>
                <w:color w:val="000000"/>
              </w:rPr>
            </w:pPr>
            <w:r w:rsidRPr="007C3146">
              <w:rPr>
                <w:color w:val="000000"/>
              </w:rPr>
              <w:t>5 496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 xml:space="preserve">Total land, buildings, infrastructure, plant and equipment </w:t>
            </w:r>
            <w:r w:rsidRPr="007C3146">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276"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2 225</w:t>
            </w:r>
          </w:p>
        </w:tc>
        <w:tc>
          <w:tcPr>
            <w:tcW w:w="110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18 803</w:t>
            </w:r>
          </w:p>
        </w:tc>
        <w:tc>
          <w:tcPr>
            <w:cnfStyle w:val="000010000000" w:firstRow="0" w:lastRow="0" w:firstColumn="0" w:lastColumn="0" w:oddVBand="1" w:evenVBand="0" w:oddHBand="0" w:evenHBand="0" w:firstRowFirstColumn="0" w:firstRowLastColumn="0" w:lastRowFirstColumn="0" w:lastRowLastColumn="0"/>
            <w:tcW w:w="116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13 927</w:t>
            </w:r>
          </w:p>
        </w:tc>
        <w:tc>
          <w:tcPr>
            <w:tcW w:w="127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49 030</w:t>
            </w:r>
          </w:p>
        </w:tc>
        <w:tc>
          <w:tcPr>
            <w:tcW w:w="155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23 577</w:t>
            </w:r>
          </w:p>
        </w:tc>
        <w:tc>
          <w:tcPr>
            <w:cnfStyle w:val="000010000000" w:firstRow="0" w:lastRow="0" w:firstColumn="0" w:lastColumn="0" w:oddVBand="1" w:evenVBand="0" w:oddHBand="0" w:evenHBand="0" w:firstRowFirstColumn="0" w:firstRowLastColumn="0" w:lastRowFirstColumn="0" w:lastRowLastColumn="0"/>
            <w:tcW w:w="964"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107 562</w:t>
            </w:r>
          </w:p>
        </w:tc>
      </w:tr>
    </w:tbl>
    <w:p w:rsidR="00DF17E9" w:rsidRDefault="00DF17E9" w:rsidP="00044843">
      <w:pPr>
        <w:pStyle w:val="Note"/>
      </w:pPr>
      <w:r>
        <w:t>Note:</w:t>
      </w:r>
    </w:p>
    <w:p w:rsidR="00DF17E9" w:rsidRDefault="00DF17E9" w:rsidP="00044843">
      <w:pPr>
        <w:pStyle w:val="Note"/>
      </w:pPr>
      <w:r>
        <w:t xml:space="preserve">(a) </w:t>
      </w:r>
      <w:r>
        <w:tab/>
        <w:t>June 2015 comparative figures have been restated to correct contributed capital and accumulated funds balances from the prior year machinery of government changes.</w:t>
      </w:r>
    </w:p>
    <w:p w:rsidR="00DF17E9" w:rsidRDefault="00DF17E9" w:rsidP="00044843">
      <w:pPr>
        <w:pStyle w:val="Note"/>
      </w:pPr>
    </w:p>
    <w:p w:rsidR="00DF17E9" w:rsidRDefault="00DF17E9" w:rsidP="00044843">
      <w:pPr>
        <w:pStyle w:val="Note"/>
        <w:sectPr w:rsidR="00DF17E9" w:rsidSect="00044843">
          <w:headerReference w:type="even" r:id="rId134"/>
          <w:headerReference w:type="default" r:id="rId135"/>
          <w:footerReference w:type="even" r:id="rId136"/>
          <w:footerReference w:type="default" r:id="rId137"/>
          <w:pgSz w:w="16838" w:h="11906" w:orient="landscape" w:code="9"/>
          <w:pgMar w:top="1134" w:right="1134" w:bottom="1134" w:left="1134" w:header="624" w:footer="567" w:gutter="0"/>
          <w:cols w:space="720"/>
          <w:docGrid w:linePitch="360"/>
        </w:sectPr>
      </w:pPr>
    </w:p>
    <w:p w:rsidR="00DF17E9" w:rsidRPr="007C3146" w:rsidRDefault="00DF17E9" w:rsidP="00044843">
      <w:pPr>
        <w:pStyle w:val="Heading2"/>
        <w:rPr>
          <w:bCs/>
          <w:lang w:val="en-US"/>
        </w:rPr>
      </w:pPr>
      <w:bookmarkStart w:id="38" w:name="_Toc459976215"/>
      <w:r w:rsidRPr="00F037A4">
        <w:lastRenderedPageBreak/>
        <w:t>Other non-financial assets</w:t>
      </w:r>
      <w:r w:rsidRPr="00F037A4">
        <w:tab/>
      </w:r>
      <w:r w:rsidRPr="00F037A4">
        <w:rPr>
          <w:rStyle w:val="TableUnitsChar"/>
        </w:rPr>
        <w:t>($ million)</w:t>
      </w:r>
      <w:bookmarkEnd w:id="38"/>
    </w:p>
    <w:tbl>
      <w:tblPr>
        <w:tblStyle w:val="TableDTFGeneral"/>
        <w:tblW w:w="9632" w:type="dxa"/>
        <w:tblLayout w:type="fixed"/>
        <w:tblLook w:val="02A0" w:firstRow="1" w:lastRow="0" w:firstColumn="1" w:lastColumn="0" w:noHBand="1" w:noVBand="0"/>
      </w:tblPr>
      <w:tblGrid>
        <w:gridCol w:w="5089"/>
        <w:gridCol w:w="1132"/>
        <w:gridCol w:w="1132"/>
        <w:gridCol w:w="11"/>
        <w:gridCol w:w="1121"/>
        <w:gridCol w:w="1147"/>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89" w:type="dxa"/>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75" w:type="dxa"/>
            <w:gridSpan w:val="3"/>
          </w:tcPr>
          <w:p w:rsidR="00416AC8" w:rsidRPr="007C3146" w:rsidRDefault="00416AC8" w:rsidP="00416AC8">
            <w:pPr>
              <w:jc w:val="center"/>
              <w:rPr>
                <w:color w:val="FFFFFF"/>
              </w:rPr>
            </w:pPr>
            <w:r w:rsidRPr="007C3146">
              <w:rPr>
                <w:color w:val="FFFFFF"/>
              </w:rPr>
              <w:t xml:space="preserve">State of Victoria </w:t>
            </w:r>
          </w:p>
        </w:tc>
        <w:tc>
          <w:tcPr>
            <w:tcW w:w="2268" w:type="dxa"/>
            <w:gridSpan w:val="2"/>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r w:rsidRPr="007C3146">
              <w:rPr>
                <w:color w:val="FFFFFF"/>
              </w:rPr>
              <w:br/>
              <w:t xml:space="preserve">government sector </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89"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2" w:type="dxa"/>
          </w:tcPr>
          <w:p w:rsidR="00DF17E9" w:rsidRPr="007C3146" w:rsidRDefault="00DF17E9" w:rsidP="00044843">
            <w:pPr>
              <w:rPr>
                <w:color w:val="FFFFFF"/>
              </w:rPr>
            </w:pPr>
            <w:r w:rsidRPr="007C3146">
              <w:rPr>
                <w:color w:val="FFFFFF"/>
              </w:rPr>
              <w:t>2016</w:t>
            </w:r>
          </w:p>
        </w:tc>
        <w:tc>
          <w:tcPr>
            <w:tcW w:w="1132"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132" w:type="dxa"/>
            <w:gridSpan w:val="2"/>
          </w:tcPr>
          <w:p w:rsidR="00DF17E9" w:rsidRPr="007C3146" w:rsidRDefault="00DF17E9" w:rsidP="00044843">
            <w:pPr>
              <w:rPr>
                <w:color w:val="FFFFFF"/>
              </w:rPr>
            </w:pPr>
            <w:r w:rsidRPr="007C3146">
              <w:rPr>
                <w:color w:val="FFFFFF"/>
              </w:rPr>
              <w:t>2016</w:t>
            </w:r>
          </w:p>
        </w:tc>
        <w:tc>
          <w:tcPr>
            <w:tcW w:w="114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Pr>
          <w:p w:rsidR="00DF17E9" w:rsidRPr="007C3146" w:rsidRDefault="00DF17E9" w:rsidP="00044843">
            <w:pPr>
              <w:ind w:left="0" w:firstLine="0"/>
              <w:rPr>
                <w:color w:val="000000"/>
              </w:rPr>
            </w:pPr>
            <w:r w:rsidRPr="007C3146">
              <w:rPr>
                <w:color w:val="000000"/>
              </w:rPr>
              <w:t xml:space="preserve">Intangible produced assets </w:t>
            </w:r>
          </w:p>
        </w:tc>
        <w:tc>
          <w:tcPr>
            <w:cnfStyle w:val="000010000000" w:firstRow="0" w:lastRow="0" w:firstColumn="0" w:lastColumn="0" w:oddVBand="1" w:evenVBand="0" w:oddHBand="0" w:evenHBand="0" w:firstRowFirstColumn="0" w:firstRowLastColumn="0" w:lastRowFirstColumn="0" w:lastRowLastColumn="0"/>
            <w:tcW w:w="1132" w:type="dxa"/>
          </w:tcPr>
          <w:p w:rsidR="00DF17E9" w:rsidRPr="007C3146" w:rsidRDefault="00DF17E9" w:rsidP="00044843">
            <w:pPr>
              <w:rPr>
                <w:color w:val="000000"/>
              </w:rPr>
            </w:pPr>
            <w:r w:rsidRPr="007C3146">
              <w:rPr>
                <w:color w:val="000000"/>
              </w:rPr>
              <w:t>2 475</w:t>
            </w:r>
          </w:p>
        </w:tc>
        <w:tc>
          <w:tcPr>
            <w:tcW w:w="1132"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2 294</w:t>
            </w:r>
          </w:p>
        </w:tc>
        <w:tc>
          <w:tcPr>
            <w:cnfStyle w:val="000010000000" w:firstRow="0" w:lastRow="0" w:firstColumn="0" w:lastColumn="0" w:oddVBand="1" w:evenVBand="0" w:oddHBand="0" w:evenHBand="0" w:firstRowFirstColumn="0" w:firstRowLastColumn="0" w:lastRowFirstColumn="0" w:lastRowLastColumn="0"/>
            <w:tcW w:w="1132" w:type="dxa"/>
            <w:gridSpan w:val="2"/>
          </w:tcPr>
          <w:p w:rsidR="00DF17E9" w:rsidRPr="007C3146" w:rsidRDefault="00DF17E9" w:rsidP="00044843">
            <w:pPr>
              <w:rPr>
                <w:color w:val="000000"/>
              </w:rPr>
            </w:pPr>
            <w:r w:rsidRPr="007C3146">
              <w:rPr>
                <w:color w:val="000000"/>
              </w:rPr>
              <w:t>1 421</w:t>
            </w:r>
          </w:p>
        </w:tc>
        <w:tc>
          <w:tcPr>
            <w:tcW w:w="114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1 287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Pr>
          <w:p w:rsidR="00DF17E9" w:rsidRPr="007C3146" w:rsidRDefault="00DF17E9" w:rsidP="00044843">
            <w:pPr>
              <w:ind w:left="0" w:firstLine="0"/>
              <w:rPr>
                <w:color w:val="000000"/>
              </w:rPr>
            </w:pPr>
            <w:r w:rsidRPr="007C3146">
              <w:rPr>
                <w:color w:val="000000"/>
              </w:rPr>
              <w:t>Accumulated depreciation</w:t>
            </w:r>
          </w:p>
        </w:tc>
        <w:tc>
          <w:tcPr>
            <w:cnfStyle w:val="000010000000" w:firstRow="0" w:lastRow="0" w:firstColumn="0" w:lastColumn="0" w:oddVBand="1" w:evenVBand="0" w:oddHBand="0" w:evenHBand="0" w:firstRowFirstColumn="0" w:firstRowLastColumn="0" w:lastRowFirstColumn="0" w:lastRowLastColumn="0"/>
            <w:tcW w:w="1132" w:type="dxa"/>
          </w:tcPr>
          <w:p w:rsidR="00DF17E9" w:rsidRPr="007C3146" w:rsidRDefault="00DF17E9" w:rsidP="00044843">
            <w:r w:rsidRPr="007C3146">
              <w:rPr>
                <w:color w:val="000000"/>
              </w:rPr>
              <w:t>(1 291)</w:t>
            </w:r>
          </w:p>
        </w:tc>
        <w:tc>
          <w:tcPr>
            <w:tcW w:w="1132"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(1 149)</w:t>
            </w:r>
          </w:p>
        </w:tc>
        <w:tc>
          <w:tcPr>
            <w:cnfStyle w:val="000010000000" w:firstRow="0" w:lastRow="0" w:firstColumn="0" w:lastColumn="0" w:oddVBand="1" w:evenVBand="0" w:oddHBand="0" w:evenHBand="0" w:firstRowFirstColumn="0" w:firstRowLastColumn="0" w:lastRowFirstColumn="0" w:lastRowLastColumn="0"/>
            <w:tcW w:w="1132" w:type="dxa"/>
            <w:gridSpan w:val="2"/>
          </w:tcPr>
          <w:p w:rsidR="00DF17E9" w:rsidRPr="007C3146" w:rsidRDefault="00DF17E9" w:rsidP="00044843">
            <w:r w:rsidRPr="007C3146">
              <w:rPr>
                <w:color w:val="000000"/>
              </w:rPr>
              <w:t>(786)</w:t>
            </w:r>
          </w:p>
        </w:tc>
        <w:tc>
          <w:tcPr>
            <w:tcW w:w="114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(701)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Borders>
              <w:bottom w:val="nil"/>
            </w:tcBorders>
          </w:tcPr>
          <w:p w:rsidR="00DF17E9" w:rsidRPr="007C3146" w:rsidRDefault="00DF17E9" w:rsidP="00044843">
            <w:pPr>
              <w:ind w:left="0" w:firstLine="0"/>
              <w:rPr>
                <w:color w:val="000000"/>
              </w:rPr>
            </w:pPr>
            <w:r w:rsidRPr="007C3146">
              <w:rPr>
                <w:color w:val="000000"/>
              </w:rPr>
              <w:t xml:space="preserve">Intangible non-produced assets </w:t>
            </w:r>
          </w:p>
        </w:tc>
        <w:tc>
          <w:tcPr>
            <w:cnfStyle w:val="000010000000" w:firstRow="0" w:lastRow="0" w:firstColumn="0" w:lastColumn="0" w:oddVBand="1" w:evenVBand="0" w:oddHBand="0" w:evenHBand="0" w:firstRowFirstColumn="0" w:firstRowLastColumn="0" w:lastRowFirstColumn="0" w:lastRowLastColumn="0"/>
            <w:tcW w:w="1132" w:type="dxa"/>
            <w:tcBorders>
              <w:bottom w:val="nil"/>
            </w:tcBorders>
          </w:tcPr>
          <w:p w:rsidR="00DF17E9" w:rsidRPr="007C3146" w:rsidRDefault="00DF17E9" w:rsidP="00044843">
            <w:r w:rsidRPr="007C3146">
              <w:rPr>
                <w:color w:val="000000"/>
              </w:rPr>
              <w:t>831</w:t>
            </w:r>
          </w:p>
        </w:tc>
        <w:tc>
          <w:tcPr>
            <w:tcW w:w="1132"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853</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nil"/>
            </w:tcBorders>
          </w:tcPr>
          <w:p w:rsidR="00DF17E9" w:rsidRPr="007C3146" w:rsidRDefault="00DF17E9" w:rsidP="00044843">
            <w:r w:rsidRPr="007C3146">
              <w:rPr>
                <w:color w:val="000000"/>
              </w:rPr>
              <w:t>109</w:t>
            </w:r>
          </w:p>
        </w:tc>
        <w:tc>
          <w:tcPr>
            <w:tcW w:w="114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154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Borders>
              <w:bottom w:val="single" w:sz="6" w:space="0" w:color="auto"/>
            </w:tcBorders>
          </w:tcPr>
          <w:p w:rsidR="00DF17E9" w:rsidRPr="007C3146" w:rsidRDefault="00DF17E9" w:rsidP="00044843">
            <w:pPr>
              <w:ind w:left="0" w:firstLine="0"/>
              <w:rPr>
                <w:color w:val="000000"/>
              </w:rPr>
            </w:pPr>
            <w:r w:rsidRPr="007C3146">
              <w:rPr>
                <w:color w:val="000000"/>
              </w:rPr>
              <w:t>Accumulated amortisation</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7C3146" w:rsidRDefault="00DF17E9" w:rsidP="00044843">
            <w:r w:rsidRPr="007C3146">
              <w:rPr>
                <w:color w:val="000000"/>
              </w:rPr>
              <w:t>(211)</w:t>
            </w:r>
          </w:p>
        </w:tc>
        <w:tc>
          <w:tcPr>
            <w:tcW w:w="1132"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(211)</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single" w:sz="6" w:space="0" w:color="auto"/>
            </w:tcBorders>
          </w:tcPr>
          <w:p w:rsidR="00DF17E9" w:rsidRPr="007C3146" w:rsidRDefault="00DF17E9" w:rsidP="00044843">
            <w:r w:rsidRPr="007C3146">
              <w:rPr>
                <w:color w:val="000000"/>
              </w:rPr>
              <w:t>(36)</w:t>
            </w:r>
          </w:p>
        </w:tc>
        <w:tc>
          <w:tcPr>
            <w:tcW w:w="114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Borders>
              <w:top w:val="single" w:sz="6" w:space="0" w:color="auto"/>
            </w:tcBorders>
          </w:tcPr>
          <w:p w:rsidR="00DF17E9" w:rsidRPr="007C3146" w:rsidRDefault="00DF17E9" w:rsidP="00044843">
            <w:pPr>
              <w:ind w:left="0" w:firstLine="0"/>
              <w:rPr>
                <w:color w:val="000000"/>
              </w:rPr>
            </w:pPr>
            <w:r w:rsidRPr="007C3146">
              <w:rPr>
                <w:b/>
                <w:color w:val="000000"/>
              </w:rPr>
              <w:t xml:space="preserve">Total intangibles </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tcBorders>
          </w:tcPr>
          <w:p w:rsidR="00DF17E9" w:rsidRPr="007C3146" w:rsidRDefault="00DF17E9" w:rsidP="00044843">
            <w:pPr>
              <w:rPr>
                <w:color w:val="000000"/>
              </w:rPr>
            </w:pPr>
            <w:r w:rsidRPr="007C3146">
              <w:rPr>
                <w:b/>
                <w:color w:val="000000"/>
              </w:rPr>
              <w:t>1 804</w:t>
            </w:r>
          </w:p>
        </w:tc>
        <w:tc>
          <w:tcPr>
            <w:tcW w:w="1132"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1 788</w:t>
            </w:r>
          </w:p>
        </w:tc>
        <w:tc>
          <w:tcPr>
            <w:cnfStyle w:val="000010000000" w:firstRow="0" w:lastRow="0" w:firstColumn="0" w:lastColumn="0" w:oddVBand="1" w:evenVBand="0" w:oddHBand="0" w:evenHBand="0" w:firstRowFirstColumn="0" w:firstRowLastColumn="0" w:lastRowFirstColumn="0" w:lastRowLastColumn="0"/>
            <w:tcW w:w="1132" w:type="dxa"/>
            <w:gridSpan w:val="2"/>
            <w:tcBorders>
              <w:top w:val="single" w:sz="6" w:space="0" w:color="auto"/>
            </w:tcBorders>
          </w:tcPr>
          <w:p w:rsidR="00DF17E9" w:rsidRPr="007C3146" w:rsidRDefault="00DF17E9" w:rsidP="00044843">
            <w:r w:rsidRPr="007C3146">
              <w:rPr>
                <w:b/>
                <w:color w:val="000000"/>
              </w:rPr>
              <w:t>708</w:t>
            </w:r>
          </w:p>
        </w:tc>
        <w:tc>
          <w:tcPr>
            <w:tcW w:w="1147"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670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Pr>
          <w:p w:rsidR="00DF17E9" w:rsidRPr="007C3146" w:rsidRDefault="00DF17E9" w:rsidP="00044843">
            <w:pPr>
              <w:ind w:left="0" w:firstLine="0"/>
              <w:rPr>
                <w:color w:val="000000"/>
              </w:rPr>
            </w:pPr>
            <w:r w:rsidRPr="007C3146">
              <w:rPr>
                <w:color w:val="000000"/>
              </w:rPr>
              <w:t>Investment properties</w:t>
            </w:r>
          </w:p>
        </w:tc>
        <w:tc>
          <w:tcPr>
            <w:cnfStyle w:val="000010000000" w:firstRow="0" w:lastRow="0" w:firstColumn="0" w:lastColumn="0" w:oddVBand="1" w:evenVBand="0" w:oddHBand="0" w:evenHBand="0" w:firstRowFirstColumn="0" w:firstRowLastColumn="0" w:lastRowFirstColumn="0" w:lastRowLastColumn="0"/>
            <w:tcW w:w="1132" w:type="dxa"/>
          </w:tcPr>
          <w:p w:rsidR="00DF17E9" w:rsidRPr="007C3146" w:rsidRDefault="00DF17E9" w:rsidP="00044843">
            <w:r w:rsidRPr="007C3146">
              <w:rPr>
                <w:color w:val="000000"/>
              </w:rPr>
              <w:t>158</w:t>
            </w:r>
          </w:p>
        </w:tc>
        <w:tc>
          <w:tcPr>
            <w:tcW w:w="1132"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76</w:t>
            </w:r>
          </w:p>
        </w:tc>
        <w:tc>
          <w:tcPr>
            <w:cnfStyle w:val="000010000000" w:firstRow="0" w:lastRow="0" w:firstColumn="0" w:lastColumn="0" w:oddVBand="1" w:evenVBand="0" w:oddHBand="0" w:evenHBand="0" w:firstRowFirstColumn="0" w:firstRowLastColumn="0" w:lastRowFirstColumn="0" w:lastRowLastColumn="0"/>
            <w:tcW w:w="1132" w:type="dxa"/>
            <w:gridSpan w:val="2"/>
          </w:tcPr>
          <w:p w:rsidR="00DF17E9" w:rsidRPr="007C3146" w:rsidRDefault="00DF17E9" w:rsidP="00044843">
            <w:r w:rsidRPr="007C3146">
              <w:rPr>
                <w:color w:val="000000"/>
              </w:rPr>
              <w:t>151</w:t>
            </w:r>
          </w:p>
        </w:tc>
        <w:tc>
          <w:tcPr>
            <w:tcW w:w="114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Borders>
              <w:bottom w:val="nil"/>
            </w:tcBorders>
          </w:tcPr>
          <w:p w:rsidR="00DF17E9" w:rsidRPr="007C3146" w:rsidRDefault="00DF17E9" w:rsidP="00044843">
            <w:pPr>
              <w:ind w:left="0" w:firstLine="0"/>
              <w:rPr>
                <w:color w:val="000000"/>
              </w:rPr>
            </w:pPr>
            <w:r w:rsidRPr="007C3146">
              <w:rPr>
                <w:color w:val="000000"/>
              </w:rPr>
              <w:t xml:space="preserve">Biological assets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32" w:type="dxa"/>
            <w:tcBorders>
              <w:bottom w:val="nil"/>
            </w:tcBorders>
          </w:tcPr>
          <w:p w:rsidR="00DF17E9" w:rsidRPr="007C3146" w:rsidRDefault="00DF17E9" w:rsidP="00044843">
            <w:r w:rsidRPr="007C3146">
              <w:rPr>
                <w:color w:val="000000"/>
              </w:rPr>
              <w:t>61</w:t>
            </w:r>
          </w:p>
        </w:tc>
        <w:tc>
          <w:tcPr>
            <w:tcW w:w="1132"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64</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nil"/>
            </w:tcBorders>
          </w:tcPr>
          <w:p w:rsidR="00DF17E9" w:rsidRPr="007C3146" w:rsidRDefault="00DF17E9" w:rsidP="00044843">
            <w:r w:rsidRPr="007C3146">
              <w:rPr>
                <w:color w:val="000000"/>
              </w:rPr>
              <w:t>2</w:t>
            </w:r>
          </w:p>
        </w:tc>
        <w:tc>
          <w:tcPr>
            <w:tcW w:w="114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Borders>
              <w:bottom w:val="single" w:sz="6" w:space="0" w:color="auto"/>
            </w:tcBorders>
          </w:tcPr>
          <w:p w:rsidR="00DF17E9" w:rsidRPr="007C3146" w:rsidRDefault="00DF17E9" w:rsidP="00044843">
            <w:pPr>
              <w:ind w:left="0" w:firstLine="0"/>
              <w:rPr>
                <w:color w:val="000000"/>
              </w:rPr>
            </w:pPr>
            <w:r w:rsidRPr="007C3146">
              <w:rPr>
                <w:color w:val="000000"/>
              </w:rPr>
              <w:t>Other assets</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7C3146" w:rsidRDefault="00DF17E9" w:rsidP="00044843">
            <w:r w:rsidRPr="007C3146">
              <w:rPr>
                <w:color w:val="000000"/>
              </w:rPr>
              <w:t>340</w:t>
            </w:r>
          </w:p>
        </w:tc>
        <w:tc>
          <w:tcPr>
            <w:tcW w:w="1132"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200</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single" w:sz="6" w:space="0" w:color="auto"/>
            </w:tcBorders>
          </w:tcPr>
          <w:p w:rsidR="00DF17E9" w:rsidRPr="007C3146" w:rsidRDefault="00DF17E9" w:rsidP="00044843">
            <w:r w:rsidRPr="007C3146">
              <w:rPr>
                <w:color w:val="000000"/>
              </w:rPr>
              <w:t>220</w:t>
            </w:r>
          </w:p>
        </w:tc>
        <w:tc>
          <w:tcPr>
            <w:tcW w:w="114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295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89"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other non-financial assets</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2 363</w:t>
            </w:r>
          </w:p>
        </w:tc>
        <w:tc>
          <w:tcPr>
            <w:tcW w:w="1132"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2 127</w:t>
            </w:r>
          </w:p>
        </w:tc>
        <w:tc>
          <w:tcPr>
            <w:cnfStyle w:val="000010000000" w:firstRow="0" w:lastRow="0" w:firstColumn="0" w:lastColumn="0" w:oddVBand="1" w:evenVBand="0" w:oddHBand="0" w:evenHBand="0" w:firstRowFirstColumn="0" w:firstRowLastColumn="0" w:lastRowFirstColumn="0" w:lastRowLastColumn="0"/>
            <w:tcW w:w="1132"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1 081</w:t>
            </w:r>
          </w:p>
        </w:tc>
        <w:tc>
          <w:tcPr>
            <w:tcW w:w="114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1 038</w:t>
            </w:r>
          </w:p>
        </w:tc>
      </w:tr>
    </w:tbl>
    <w:p w:rsidR="00DF17E9" w:rsidRDefault="00DF17E9" w:rsidP="00044843">
      <w:pPr>
        <w:pStyle w:val="Note"/>
      </w:pPr>
      <w:r>
        <w:t>Note:</w:t>
      </w:r>
    </w:p>
    <w:p w:rsidR="00DF17E9" w:rsidRDefault="00DF17E9" w:rsidP="00044843">
      <w:pPr>
        <w:pStyle w:val="Note"/>
      </w:pPr>
      <w:r>
        <w:t>(a)</w:t>
      </w:r>
      <w:r>
        <w:tab/>
        <w:t>The majority of biological assets are commercial forests and also includes any living animal, plant or agricultural produce which is the harvested product of biological assets</w:t>
      </w:r>
      <w:r w:rsidRPr="004520D3">
        <w:t>.</w:t>
      </w:r>
    </w:p>
    <w:p w:rsidR="00DF17E9" w:rsidRPr="00475D53" w:rsidRDefault="00DF17E9" w:rsidP="00044843">
      <w:pPr>
        <w:pStyle w:val="Note"/>
      </w:pPr>
    </w:p>
    <w:p w:rsidR="00DF17E9" w:rsidRPr="007C3146" w:rsidRDefault="00DF17E9" w:rsidP="00044843">
      <w:pPr>
        <w:pStyle w:val="Subheading"/>
        <w:rPr>
          <w:rStyle w:val="TableUnitsChar"/>
          <w:bCs/>
          <w:lang w:val="en-US"/>
        </w:rPr>
      </w:pPr>
      <w:r w:rsidRPr="00475D53">
        <w:t>Reconciliation of movement in intangibles, investment properties and biological assets</w:t>
      </w:r>
      <w:r>
        <w:t xml:space="preserve"> </w:t>
      </w:r>
      <w:r w:rsidRPr="008A2665">
        <w:rPr>
          <w:vertAlign w:val="superscript"/>
        </w:rPr>
        <w:t>(a)</w:t>
      </w:r>
      <w:r>
        <w:tab/>
      </w:r>
      <w:r w:rsidRPr="00CC3DD5">
        <w:rPr>
          <w:rStyle w:val="TableUnitsChar"/>
        </w:rPr>
        <w:t>($ million)</w:t>
      </w:r>
    </w:p>
    <w:tbl>
      <w:tblPr>
        <w:tblStyle w:val="TableDTFGeneral"/>
        <w:tblW w:w="9637" w:type="dxa"/>
        <w:tblLayout w:type="fixed"/>
        <w:tblLook w:val="02A0" w:firstRow="1" w:lastRow="0" w:firstColumn="1" w:lastColumn="0" w:noHBand="1" w:noVBand="0"/>
      </w:tblPr>
      <w:tblGrid>
        <w:gridCol w:w="5097"/>
        <w:gridCol w:w="1133"/>
        <w:gridCol w:w="1134"/>
        <w:gridCol w:w="1366"/>
        <w:gridCol w:w="907"/>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7" w:type="dxa"/>
            <w:gridSpan w:val="2"/>
          </w:tcPr>
          <w:p w:rsidR="00416AC8" w:rsidRPr="007C3146" w:rsidRDefault="00416AC8" w:rsidP="00044843">
            <w:pPr>
              <w:jc w:val="center"/>
              <w:rPr>
                <w:color w:val="FFFFFF"/>
              </w:rPr>
            </w:pPr>
            <w:r w:rsidRPr="007C3146">
              <w:rPr>
                <w:color w:val="FFFFFF"/>
              </w:rPr>
              <w:t>State of Victoria</w:t>
            </w:r>
          </w:p>
        </w:tc>
        <w:tc>
          <w:tcPr>
            <w:tcW w:w="2273" w:type="dxa"/>
            <w:gridSpan w:val="2"/>
          </w:tcPr>
          <w:p w:rsidR="00416AC8" w:rsidRPr="007C3146" w:rsidRDefault="00416AC8"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p>
          <w:p w:rsidR="00416AC8" w:rsidRPr="007C3146" w:rsidRDefault="00416AC8"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government sector</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jc w:val="right"/>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pPr>
              <w:rPr>
                <w:color w:val="FFFFFF"/>
              </w:rPr>
            </w:pPr>
            <w:r w:rsidRPr="007C3146">
              <w:rPr>
                <w:color w:val="FFFFFF"/>
              </w:rPr>
              <w:t>2016</w:t>
            </w:r>
          </w:p>
        </w:tc>
        <w:tc>
          <w:tcPr>
            <w:tcW w:w="1134"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rPr>
                <w:color w:val="000000"/>
              </w:rPr>
            </w:pPr>
            <w:r w:rsidRPr="007C3146">
              <w:rPr>
                <w:color w:val="000000"/>
              </w:rPr>
              <w:t>Opening balance</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pPr>
              <w:rPr>
                <w:color w:val="000000"/>
              </w:rPr>
            </w:pPr>
            <w:r w:rsidRPr="007C3146">
              <w:rPr>
                <w:color w:val="000000"/>
              </w:rPr>
              <w:t>1 927</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2 119</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r w:rsidRPr="007C3146">
              <w:rPr>
                <w:color w:val="000000"/>
              </w:rPr>
              <w:t>743</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914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rPr>
                <w:color w:val="000000"/>
              </w:rPr>
            </w:pPr>
            <w:r w:rsidRPr="007C3146">
              <w:rPr>
                <w:color w:val="000000"/>
              </w:rPr>
              <w:t>Acquisitions</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r w:rsidRPr="007C3146">
              <w:rPr>
                <w:color w:val="000000"/>
              </w:rPr>
              <w:t>266</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246</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r w:rsidRPr="007C3146">
              <w:rPr>
                <w:color w:val="000000"/>
              </w:rPr>
              <w:t>167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rPr>
                <w:color w:val="000000"/>
              </w:rPr>
            </w:pPr>
            <w:r w:rsidRPr="007C3146">
              <w:rPr>
                <w:color w:val="000000"/>
              </w:rPr>
              <w:t xml:space="preserve">Reclassification </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r w:rsidRPr="007C3146">
              <w:rPr>
                <w:color w:val="000000"/>
              </w:rPr>
              <w:t>77</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(50)</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r w:rsidRPr="007C3146">
              <w:rPr>
                <w:color w:val="000000"/>
              </w:rPr>
              <w:t>67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rPr>
                <w:color w:val="000000"/>
              </w:rPr>
            </w:pPr>
            <w:r w:rsidRPr="007C3146">
              <w:rPr>
                <w:color w:val="000000"/>
              </w:rPr>
              <w:t>Revaluation</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r w:rsidRPr="007C3146">
              <w:rPr>
                <w:color w:val="000000"/>
              </w:rPr>
              <w:t>15</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15</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r w:rsidRPr="007C3146">
              <w:rPr>
                <w:color w:val="000000"/>
              </w:rPr>
              <w:t>19</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rPr>
                <w:color w:val="000000"/>
              </w:rPr>
            </w:pPr>
            <w:r w:rsidRPr="007C3146">
              <w:rPr>
                <w:color w:val="000000"/>
              </w:rPr>
              <w:t xml:space="preserve">Disposals </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r w:rsidRPr="007C3146">
              <w:rPr>
                <w:color w:val="000000"/>
              </w:rPr>
              <w:t>(16)</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(98)</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r w:rsidRPr="007C3146">
              <w:rPr>
                <w:color w:val="000000"/>
              </w:rPr>
              <w:t>(7)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Pr>
          <w:p w:rsidR="00DF17E9" w:rsidRPr="007C3146" w:rsidRDefault="00DF17E9" w:rsidP="00044843">
            <w:pPr>
              <w:ind w:left="0" w:firstLine="0"/>
              <w:rPr>
                <w:color w:val="000000"/>
              </w:rPr>
            </w:pPr>
            <w:r w:rsidRPr="007C3146">
              <w:rPr>
                <w:color w:val="000000"/>
              </w:rPr>
              <w:t>Assets recognised for the first time</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7C3146" w:rsidRDefault="00DF17E9" w:rsidP="00044843">
            <w:r w:rsidRPr="007C3146">
              <w:rPr>
                <w:color w:val="000000"/>
              </w:rPr>
              <w:t>14</w:t>
            </w:r>
          </w:p>
        </w:tc>
        <w:tc>
          <w:tcPr>
            <w:tcW w:w="1134"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11</w:t>
            </w:r>
          </w:p>
        </w:tc>
        <w:tc>
          <w:tcPr>
            <w:cnfStyle w:val="000010000000" w:firstRow="0" w:lastRow="0" w:firstColumn="0" w:lastColumn="0" w:oddVBand="1" w:evenVBand="0" w:oddHBand="0" w:evenHBand="0" w:firstRowFirstColumn="0" w:firstRowLastColumn="0" w:lastRowFirstColumn="0" w:lastRowLastColumn="0"/>
            <w:tcW w:w="1366" w:type="dxa"/>
          </w:tcPr>
          <w:p w:rsidR="00DF17E9" w:rsidRPr="007C3146" w:rsidRDefault="00DF17E9" w:rsidP="00044843">
            <w:r w:rsidRPr="007C3146">
              <w:rPr>
                <w:color w:val="000000"/>
              </w:rPr>
              <w:t>15</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Borders>
              <w:bottom w:val="nil"/>
            </w:tcBorders>
          </w:tcPr>
          <w:p w:rsidR="00DF17E9" w:rsidRPr="007C3146" w:rsidRDefault="00DF17E9" w:rsidP="00044843">
            <w:pPr>
              <w:ind w:left="0" w:firstLine="0"/>
              <w:rPr>
                <w:color w:val="000000"/>
              </w:rPr>
            </w:pPr>
            <w:r w:rsidRPr="007C3146">
              <w:rPr>
                <w:color w:val="000000"/>
              </w:rPr>
              <w:t>Impairment</w:t>
            </w:r>
          </w:p>
        </w:tc>
        <w:tc>
          <w:tcPr>
            <w:cnfStyle w:val="000010000000" w:firstRow="0" w:lastRow="0" w:firstColumn="0" w:lastColumn="0" w:oddVBand="1" w:evenVBand="0" w:oddHBand="0" w:evenHBand="0" w:firstRowFirstColumn="0" w:firstRowLastColumn="0" w:lastRowFirstColumn="0" w:lastRowLastColumn="0"/>
            <w:tcW w:w="1133" w:type="dxa"/>
            <w:tcBorders>
              <w:bottom w:val="nil"/>
            </w:tcBorders>
          </w:tcPr>
          <w:p w:rsidR="00DF17E9" w:rsidRPr="007C3146" w:rsidRDefault="00DF17E9" w:rsidP="00044843">
            <w:r w:rsidRPr="007C3146">
              <w:rPr>
                <w:color w:val="000000"/>
              </w:rPr>
              <w:t>(16)</w:t>
            </w:r>
          </w:p>
        </w:tc>
        <w:tc>
          <w:tcPr>
            <w:tcW w:w="1134"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(65)</w:t>
            </w:r>
          </w:p>
        </w:tc>
        <w:tc>
          <w:tcPr>
            <w:cnfStyle w:val="000010000000" w:firstRow="0" w:lastRow="0" w:firstColumn="0" w:lastColumn="0" w:oddVBand="1" w:evenVBand="0" w:oddHBand="0" w:evenHBand="0" w:firstRowFirstColumn="0" w:firstRowLastColumn="0" w:lastRowFirstColumn="0" w:lastRowLastColumn="0"/>
            <w:tcW w:w="1366" w:type="dxa"/>
            <w:tcBorders>
              <w:bottom w:val="nil"/>
            </w:tcBorders>
          </w:tcPr>
          <w:p w:rsidR="00DF17E9" w:rsidRPr="007C3146" w:rsidRDefault="00DF17E9" w:rsidP="00044843">
            <w:r w:rsidRPr="007C3146">
              <w:rPr>
                <w:color w:val="000000"/>
              </w:rPr>
              <w:t>(15)</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Borders>
              <w:bottom w:val="single" w:sz="6" w:space="0" w:color="auto"/>
            </w:tcBorders>
          </w:tcPr>
          <w:p w:rsidR="00DF17E9" w:rsidRPr="007C3146" w:rsidRDefault="00DF17E9" w:rsidP="00044843">
            <w:pPr>
              <w:ind w:left="0" w:firstLine="0"/>
              <w:rPr>
                <w:color w:val="000000"/>
              </w:rPr>
            </w:pPr>
            <w:r w:rsidRPr="007C3146">
              <w:rPr>
                <w:color w:val="000000"/>
              </w:rPr>
              <w:t xml:space="preserve">Amortisation and depreciation </w:t>
            </w:r>
            <w:r w:rsidRPr="007C3146">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133" w:type="dxa"/>
            <w:tcBorders>
              <w:bottom w:val="single" w:sz="6" w:space="0" w:color="auto"/>
            </w:tcBorders>
          </w:tcPr>
          <w:p w:rsidR="00DF17E9" w:rsidRPr="007C3146" w:rsidRDefault="00DF17E9" w:rsidP="00044843">
            <w:r w:rsidRPr="007C3146">
              <w:rPr>
                <w:color w:val="000000"/>
              </w:rPr>
              <w:t>(244)</w:t>
            </w:r>
          </w:p>
        </w:tc>
        <w:tc>
          <w:tcPr>
            <w:tcW w:w="1134"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(250)</w:t>
            </w:r>
          </w:p>
        </w:tc>
        <w:tc>
          <w:tcPr>
            <w:cnfStyle w:val="000010000000" w:firstRow="0" w:lastRow="0" w:firstColumn="0" w:lastColumn="0" w:oddVBand="1" w:evenVBand="0" w:oddHBand="0" w:evenHBand="0" w:firstRowFirstColumn="0" w:firstRowLastColumn="0" w:lastRowFirstColumn="0" w:lastRowLastColumn="0"/>
            <w:tcW w:w="1366" w:type="dxa"/>
            <w:tcBorders>
              <w:bottom w:val="single" w:sz="6" w:space="0" w:color="auto"/>
            </w:tcBorders>
          </w:tcPr>
          <w:p w:rsidR="00DF17E9" w:rsidRPr="007C3146" w:rsidRDefault="00DF17E9" w:rsidP="00044843">
            <w:r w:rsidRPr="007C3146">
              <w:rPr>
                <w:color w:val="000000"/>
              </w:rPr>
              <w:t>(128)</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097"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1133"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2 023</w:t>
            </w:r>
          </w:p>
        </w:tc>
        <w:tc>
          <w:tcPr>
            <w:tcW w:w="1134"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1 927</w:t>
            </w:r>
          </w:p>
        </w:tc>
        <w:tc>
          <w:tcPr>
            <w:cnfStyle w:val="000010000000" w:firstRow="0" w:lastRow="0" w:firstColumn="0" w:lastColumn="0" w:oddVBand="1" w:evenVBand="0" w:oddHBand="0" w:evenHBand="0" w:firstRowFirstColumn="0" w:firstRowLastColumn="0" w:lastRowFirstColumn="0" w:lastRowLastColumn="0"/>
            <w:tcW w:w="1366" w:type="dxa"/>
            <w:tcBorders>
              <w:top w:val="single" w:sz="6" w:space="0" w:color="auto"/>
              <w:bottom w:val="single" w:sz="12" w:space="0" w:color="auto"/>
            </w:tcBorders>
          </w:tcPr>
          <w:p w:rsidR="00DF17E9" w:rsidRPr="007C3146" w:rsidRDefault="00DF17E9" w:rsidP="00044843">
            <w:r w:rsidRPr="007C3146">
              <w:rPr>
                <w:b/>
                <w:color w:val="000000"/>
              </w:rPr>
              <w:t>861</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743</w:t>
            </w:r>
          </w:p>
        </w:tc>
      </w:tr>
    </w:tbl>
    <w:p w:rsidR="00DF17E9" w:rsidRDefault="00DF17E9" w:rsidP="00A341C7">
      <w:pPr>
        <w:pStyle w:val="Note"/>
      </w:pPr>
      <w:r>
        <w:t>Notes:</w:t>
      </w:r>
    </w:p>
    <w:p w:rsidR="00DF17E9" w:rsidRDefault="00DF17E9" w:rsidP="00044843">
      <w:pPr>
        <w:pStyle w:val="Note"/>
        <w:numPr>
          <w:ilvl w:val="4"/>
          <w:numId w:val="2"/>
        </w:numPr>
        <w:ind w:left="284"/>
      </w:pPr>
      <w:r>
        <w:t>Reconciliation does not include movements in other assets</w:t>
      </w:r>
      <w:r w:rsidRPr="004520D3">
        <w:t>.</w:t>
      </w:r>
    </w:p>
    <w:p w:rsidR="00DF17E9" w:rsidRDefault="00DF17E9" w:rsidP="00044843">
      <w:pPr>
        <w:pStyle w:val="Note"/>
        <w:numPr>
          <w:ilvl w:val="4"/>
          <w:numId w:val="2"/>
        </w:numPr>
        <w:ind w:left="284"/>
      </w:pPr>
      <w:r>
        <w:t>For produced and non-produced intangible assets.</w:t>
      </w:r>
    </w:p>
    <w:p w:rsidR="00DF17E9" w:rsidRDefault="00DF17E9" w:rsidP="00044843"/>
    <w:p w:rsidR="00DF17E9" w:rsidRDefault="00DF17E9" w:rsidP="0064203B">
      <w:pPr>
        <w:pStyle w:val="ListBullet"/>
        <w:numPr>
          <w:ilvl w:val="0"/>
          <w:numId w:val="0"/>
        </w:numPr>
        <w:ind w:left="397" w:hanging="397"/>
        <w:sectPr w:rsidR="00DF17E9" w:rsidSect="00F74BC1">
          <w:headerReference w:type="even" r:id="rId138"/>
          <w:headerReference w:type="default" r:id="rId139"/>
          <w:footerReference w:type="even" r:id="rId140"/>
          <w:footerReference w:type="default" r:id="rId141"/>
          <w:pgSz w:w="11906" w:h="16838" w:code="9"/>
          <w:pgMar w:top="1134" w:right="1134" w:bottom="1134" w:left="1134" w:header="624" w:footer="567" w:gutter="0"/>
          <w:cols w:space="708"/>
          <w:docGrid w:linePitch="360"/>
        </w:sectPr>
      </w:pPr>
    </w:p>
    <w:p w:rsidR="00DF17E9" w:rsidRPr="00AF413A" w:rsidRDefault="00DF17E9" w:rsidP="00955210">
      <w:r w:rsidRPr="00AF413A">
        <w:lastRenderedPageBreak/>
        <w:t xml:space="preserve">Purchased </w:t>
      </w:r>
      <w:r w:rsidRPr="00AF413A">
        <w:rPr>
          <w:b/>
        </w:rPr>
        <w:t>intangible assets</w:t>
      </w:r>
      <w:r w:rsidRPr="00AF413A">
        <w:t xml:space="preserve"> are initially recognised at cost. When the recognition criteria in AASB 138 </w:t>
      </w:r>
      <w:r w:rsidRPr="007B0C7E">
        <w:rPr>
          <w:i/>
        </w:rPr>
        <w:t>Intangible Assets</w:t>
      </w:r>
      <w:r w:rsidRPr="00AF413A">
        <w:t xml:space="preserve"> is met, internally generated intangible assets are recognised at cost. Subsequently, intangible assets with finite useful lives are carried at cost less accumulated amortisation and accumulated impairment losses.</w:t>
      </w:r>
    </w:p>
    <w:p w:rsidR="00DF17E9" w:rsidRDefault="00DF17E9" w:rsidP="00955210">
      <w:r w:rsidRPr="00AF413A">
        <w:rPr>
          <w:b/>
        </w:rPr>
        <w:t>Investment properties</w:t>
      </w:r>
      <w:r w:rsidRPr="00AF413A">
        <w:t xml:space="preserve"> represent properties held to earn rentals or for capital appreciation, or both. Investment properties exclude properties held to meet service delivery objectives of the State. Investment properties are initially recognised at cost. Costs incurred subsequent to initial acquisition are capitalised when it is probable that future economic benefits in excess of the originally assessed performance of the asset will flow to the State.</w:t>
      </w:r>
      <w:r>
        <w:t xml:space="preserve"> </w:t>
      </w:r>
      <w:r w:rsidRPr="00AF413A">
        <w:t xml:space="preserve">Subsequent to initial recognition at cost, </w:t>
      </w:r>
    </w:p>
    <w:p w:rsidR="00DF17E9" w:rsidRDefault="00DF17E9" w:rsidP="00955210">
      <w:r>
        <w:br w:type="column"/>
      </w:r>
      <w:r w:rsidRPr="00AF413A">
        <w:lastRenderedPageBreak/>
        <w:t>investment properties are revalued to fair value</w:t>
      </w:r>
      <w:r>
        <w:t>,</w:t>
      </w:r>
      <w:r w:rsidRPr="00AF413A">
        <w:t xml:space="preserve"> with changes in the fair value recognised as other economic flows in the comprehensive operating statement in the period that they arise.</w:t>
      </w:r>
    </w:p>
    <w:p w:rsidR="00DF17E9" w:rsidRPr="00AF413A" w:rsidRDefault="00DF17E9" w:rsidP="00955210">
      <w:r w:rsidRPr="00AF413A">
        <w:t>Fair values are determined</w:t>
      </w:r>
      <w:r>
        <w:t xml:space="preserve"> </w:t>
      </w:r>
      <w:r w:rsidRPr="00AF413A">
        <w:t>based on a market comparable approach that reflects recent transaction prices for similar</w:t>
      </w:r>
      <w:r>
        <w:t xml:space="preserve"> properties</w:t>
      </w:r>
      <w:r w:rsidRPr="00AF413A">
        <w:t>.</w:t>
      </w:r>
    </w:p>
    <w:p w:rsidR="00DF17E9" w:rsidRDefault="00DF17E9" w:rsidP="00955210">
      <w:r w:rsidRPr="00AF413A">
        <w:rPr>
          <w:b/>
        </w:rPr>
        <w:t>Biological assets</w:t>
      </w:r>
      <w:r w:rsidRPr="00AF413A">
        <w:t xml:space="preserve"> comprise productive trees in commercial native forests and any living animal (o</w:t>
      </w:r>
      <w:r w:rsidR="00494A92">
        <w:t>r </w:t>
      </w:r>
      <w:r w:rsidRPr="00AF413A">
        <w:t>breeding stock), plant or agricultural produce that is the harvested product of biological assets. These biological assets are measured at fair value less costs to sell and are revalued at 30 June each year. An increase or decrease in the fair value of these biological assets is recognised in the consolidated comprehensive operating statement as an ‘Other economic flow’.</w:t>
      </w:r>
    </w:p>
    <w:p w:rsidR="00DF17E9" w:rsidRDefault="00DF17E9">
      <w:pPr>
        <w:rPr>
          <w:b/>
        </w:rPr>
      </w:pPr>
      <w:r>
        <w:rPr>
          <w:b/>
        </w:rPr>
        <w:br w:type="page"/>
      </w:r>
    </w:p>
    <w:p w:rsidR="00DF17E9" w:rsidRDefault="00DF17E9" w:rsidP="00955210">
      <w:r w:rsidRPr="00004769">
        <w:rPr>
          <w:b/>
        </w:rPr>
        <w:lastRenderedPageBreak/>
        <w:t>Other non</w:t>
      </w:r>
      <w:r w:rsidRPr="00004769">
        <w:rPr>
          <w:b/>
        </w:rPr>
        <w:noBreakHyphen/>
        <w:t>financial assets</w:t>
      </w:r>
      <w:r w:rsidRPr="00004769">
        <w:t xml:space="preserve"> include prepayments which represent payments in advance of receipt of goods or services or that part of expenditure made in one accounting period covering a term extending beyond that period</w:t>
      </w:r>
    </w:p>
    <w:p w:rsidR="00DF17E9" w:rsidRPr="00195B47" w:rsidRDefault="00DF17E9" w:rsidP="00044843">
      <w:pPr>
        <w:pStyle w:val="Heading2"/>
      </w:pPr>
      <w:bookmarkStart w:id="39" w:name="_Toc459976216"/>
      <w:r w:rsidRPr="00195B47">
        <w:t>Non-financial assets held for sale</w:t>
      </w:r>
      <w:bookmarkEnd w:id="39"/>
    </w:p>
    <w:p w:rsidR="00DF17E9" w:rsidRDefault="00DF17E9" w:rsidP="00044843">
      <w:r>
        <w:t>Non-financial physical assets (including disposal group assets) are treated as current and classified as held for sale if their carryi</w:t>
      </w:r>
      <w:r w:rsidRPr="00D4176F">
        <w:t xml:space="preserve">ng </w:t>
      </w:r>
      <w:r>
        <w:t xml:space="preserve">amount will be recovered through a sale transaction rather than through continuing use. </w:t>
      </w:r>
    </w:p>
    <w:p w:rsidR="00DF17E9" w:rsidRDefault="00DF17E9" w:rsidP="00044843">
      <w:r>
        <w:br w:type="column"/>
      </w:r>
      <w:r>
        <w:lastRenderedPageBreak/>
        <w:t>This condition is regarded as met only when:</w:t>
      </w:r>
    </w:p>
    <w:p w:rsidR="00DF17E9" w:rsidRPr="00D4176F" w:rsidRDefault="00DF17E9" w:rsidP="00044843">
      <w:pPr>
        <w:pStyle w:val="ListBullet"/>
      </w:pPr>
      <w:r w:rsidRPr="00D4176F">
        <w:t xml:space="preserve">the asset is available for immediate use in the current condition; and </w:t>
      </w:r>
    </w:p>
    <w:p w:rsidR="00DF17E9" w:rsidRPr="00D4176F" w:rsidRDefault="00DF17E9" w:rsidP="00044843">
      <w:pPr>
        <w:pStyle w:val="ListBullet"/>
      </w:pPr>
      <w:r w:rsidRPr="00D4176F">
        <w:t>the sale is highly probable and the asset’s sale is expected to be completed within 12 months from the date of classification.</w:t>
      </w:r>
    </w:p>
    <w:p w:rsidR="00DF17E9" w:rsidRDefault="00DF17E9" w:rsidP="00044843">
      <w:r>
        <w:t>These non-financial physical assets, related liabilities and financial assets are measured at the lower of carrying amount and fair value less costs to sell, and are not subject to depreciation or amortisation.</w:t>
      </w:r>
    </w:p>
    <w:p w:rsidR="00DF17E9" w:rsidRDefault="00DF17E9" w:rsidP="00044843">
      <w:pPr>
        <w:sectPr w:rsidR="00DF17E9" w:rsidSect="00D4176F">
          <w:headerReference w:type="even" r:id="rId142"/>
          <w:headerReference w:type="default" r:id="rId143"/>
          <w:footerReference w:type="even" r:id="rId144"/>
          <w:footerReference w:type="default" r:id="rId145"/>
          <w:type w:val="continuous"/>
          <w:pgSz w:w="11906" w:h="16838" w:code="9"/>
          <w:pgMar w:top="1134" w:right="1134" w:bottom="1134" w:left="1134" w:header="624" w:footer="567" w:gutter="0"/>
          <w:cols w:num="2" w:space="708"/>
          <w:docGrid w:linePitch="360"/>
        </w:sectPr>
      </w:pPr>
    </w:p>
    <w:p w:rsidR="00DF17E9" w:rsidRPr="007C3146" w:rsidRDefault="00DF17E9" w:rsidP="00044843">
      <w:pPr>
        <w:pStyle w:val="Subheading"/>
        <w:rPr>
          <w:bCs/>
          <w:lang w:val="en-US"/>
        </w:rPr>
      </w:pPr>
      <w:r>
        <w:lastRenderedPageBreak/>
        <w:tab/>
      </w:r>
      <w:r w:rsidRPr="00D4176F">
        <w:rPr>
          <w:rStyle w:val="TableUnitsChar"/>
        </w:rPr>
        <w:t>($ million)</w:t>
      </w:r>
    </w:p>
    <w:tbl>
      <w:tblPr>
        <w:tblStyle w:val="TableDTFGeneral"/>
        <w:tblW w:w="9642" w:type="dxa"/>
        <w:tblLayout w:type="fixed"/>
        <w:tblLook w:val="02A0" w:firstRow="1" w:lastRow="0" w:firstColumn="1" w:lastColumn="0" w:noHBand="1" w:noVBand="0"/>
      </w:tblPr>
      <w:tblGrid>
        <w:gridCol w:w="5698"/>
        <w:gridCol w:w="986"/>
        <w:gridCol w:w="986"/>
        <w:gridCol w:w="986"/>
        <w:gridCol w:w="986"/>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972" w:type="dxa"/>
            <w:gridSpan w:val="2"/>
          </w:tcPr>
          <w:p w:rsidR="00416AC8" w:rsidRPr="007C3146" w:rsidRDefault="00416AC8" w:rsidP="00416AC8">
            <w:pPr>
              <w:jc w:val="center"/>
              <w:rPr>
                <w:color w:val="FFFFFF"/>
              </w:rPr>
            </w:pPr>
            <w:r w:rsidRPr="007C3146">
              <w:rPr>
                <w:color w:val="FFFFFF"/>
              </w:rPr>
              <w:t>State of Victoria</w:t>
            </w:r>
          </w:p>
        </w:tc>
        <w:tc>
          <w:tcPr>
            <w:tcW w:w="1972" w:type="dxa"/>
            <w:gridSpan w:val="2"/>
          </w:tcPr>
          <w:p w:rsidR="00416AC8" w:rsidRPr="007C3146" w:rsidRDefault="00416AC8" w:rsidP="00416AC8">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r w:rsidRPr="007C3146">
              <w:rPr>
                <w:color w:val="FFFFFF"/>
              </w:rPr>
              <w:br/>
              <w:t>government sector</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7C3146" w:rsidRDefault="00DF17E9" w:rsidP="00044843">
            <w:pPr>
              <w:rPr>
                <w:color w:val="FFFFFF"/>
              </w:rPr>
            </w:pPr>
            <w:r w:rsidRPr="007C3146">
              <w:rPr>
                <w:color w:val="FFFFFF"/>
              </w:rPr>
              <w:t>2016</w:t>
            </w:r>
          </w:p>
        </w:tc>
        <w:tc>
          <w:tcPr>
            <w:tcW w:w="98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7C3146" w:rsidRDefault="00DF17E9" w:rsidP="00044843">
            <w:pPr>
              <w:rPr>
                <w:color w:val="FFFFFF"/>
              </w:rPr>
            </w:pPr>
            <w:r w:rsidRPr="007C3146">
              <w:rPr>
                <w:color w:val="FFFFFF"/>
              </w:rPr>
              <w:t>2016</w:t>
            </w:r>
          </w:p>
        </w:tc>
        <w:tc>
          <w:tcPr>
            <w:tcW w:w="986"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7C3146" w:rsidRDefault="00DF17E9" w:rsidP="00044843">
            <w:pPr>
              <w:ind w:left="0" w:firstLine="0"/>
              <w:rPr>
                <w:color w:val="000000"/>
              </w:rPr>
            </w:pPr>
            <w:r w:rsidRPr="007C3146">
              <w:rPr>
                <w:color w:val="000000"/>
              </w:rPr>
              <w:t>Land</w:t>
            </w:r>
          </w:p>
        </w:tc>
        <w:tc>
          <w:tcPr>
            <w:cnfStyle w:val="000010000000" w:firstRow="0" w:lastRow="0" w:firstColumn="0" w:lastColumn="0" w:oddVBand="1" w:evenVBand="0" w:oddHBand="0" w:evenHBand="0" w:firstRowFirstColumn="0" w:firstRowLastColumn="0" w:lastRowFirstColumn="0" w:lastRowLastColumn="0"/>
            <w:tcW w:w="986" w:type="dxa"/>
            <w:tcBorders>
              <w:bottom w:val="nil"/>
            </w:tcBorders>
          </w:tcPr>
          <w:p w:rsidR="00DF17E9" w:rsidRPr="007C3146" w:rsidRDefault="00DF17E9" w:rsidP="00044843">
            <w:r w:rsidRPr="007C3146">
              <w:rPr>
                <w:color w:val="000000"/>
              </w:rPr>
              <w:t>173</w:t>
            </w:r>
          </w:p>
        </w:tc>
        <w:tc>
          <w:tcPr>
            <w:tcW w:w="98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191</w:t>
            </w:r>
          </w:p>
        </w:tc>
        <w:tc>
          <w:tcPr>
            <w:cnfStyle w:val="000010000000" w:firstRow="0" w:lastRow="0" w:firstColumn="0" w:lastColumn="0" w:oddVBand="1" w:evenVBand="0" w:oddHBand="0" w:evenHBand="0" w:firstRowFirstColumn="0" w:firstRowLastColumn="0" w:lastRowFirstColumn="0" w:lastRowLastColumn="0"/>
            <w:tcW w:w="986" w:type="dxa"/>
            <w:tcBorders>
              <w:bottom w:val="nil"/>
            </w:tcBorders>
          </w:tcPr>
          <w:p w:rsidR="00DF17E9" w:rsidRPr="007C3146" w:rsidRDefault="00DF17E9" w:rsidP="00044843">
            <w:r w:rsidRPr="007C3146">
              <w:rPr>
                <w:color w:val="000000"/>
              </w:rPr>
              <w:t>163</w:t>
            </w:r>
          </w:p>
        </w:tc>
        <w:tc>
          <w:tcPr>
            <w:tcW w:w="98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165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7C3146" w:rsidRDefault="00DF17E9" w:rsidP="00044843">
            <w:pPr>
              <w:ind w:left="0" w:firstLine="0"/>
              <w:rPr>
                <w:color w:val="000000"/>
              </w:rPr>
            </w:pPr>
            <w:r w:rsidRPr="007C3146">
              <w:rPr>
                <w:color w:val="000000"/>
              </w:rPr>
              <w:t xml:space="preserve">Other </w:t>
            </w:r>
          </w:p>
        </w:tc>
        <w:tc>
          <w:tcPr>
            <w:cnfStyle w:val="000010000000" w:firstRow="0" w:lastRow="0" w:firstColumn="0" w:lastColumn="0" w:oddVBand="1" w:evenVBand="0" w:oddHBand="0" w:evenHBand="0" w:firstRowFirstColumn="0" w:firstRowLastColumn="0" w:lastRowFirstColumn="0" w:lastRowLastColumn="0"/>
            <w:tcW w:w="986" w:type="dxa"/>
            <w:tcBorders>
              <w:bottom w:val="single" w:sz="6" w:space="0" w:color="auto"/>
            </w:tcBorders>
          </w:tcPr>
          <w:p w:rsidR="00DF17E9" w:rsidRPr="007C3146" w:rsidRDefault="00DF17E9" w:rsidP="00044843">
            <w:r w:rsidRPr="007C3146">
              <w:rPr>
                <w:color w:val="000000"/>
              </w:rPr>
              <w:t>27</w:t>
            </w:r>
          </w:p>
        </w:tc>
        <w:tc>
          <w:tcPr>
            <w:tcW w:w="98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15</w:t>
            </w:r>
          </w:p>
        </w:tc>
        <w:tc>
          <w:tcPr>
            <w:cnfStyle w:val="000010000000" w:firstRow="0" w:lastRow="0" w:firstColumn="0" w:lastColumn="0" w:oddVBand="1" w:evenVBand="0" w:oddHBand="0" w:evenHBand="0" w:firstRowFirstColumn="0" w:firstRowLastColumn="0" w:lastRowFirstColumn="0" w:lastRowLastColumn="0"/>
            <w:tcW w:w="986" w:type="dxa"/>
            <w:tcBorders>
              <w:bottom w:val="single" w:sz="6" w:space="0" w:color="auto"/>
            </w:tcBorders>
          </w:tcPr>
          <w:p w:rsidR="00DF17E9" w:rsidRPr="007C3146" w:rsidRDefault="00DF17E9" w:rsidP="00044843">
            <w:r w:rsidRPr="007C3146">
              <w:rPr>
                <w:color w:val="000000"/>
              </w:rPr>
              <w:t>25</w:t>
            </w:r>
          </w:p>
        </w:tc>
        <w:tc>
          <w:tcPr>
            <w:tcW w:w="98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non-financial assets held for sale</w:t>
            </w:r>
          </w:p>
        </w:tc>
        <w:tc>
          <w:tcPr>
            <w:cnfStyle w:val="000010000000" w:firstRow="0" w:lastRow="0" w:firstColumn="0" w:lastColumn="0" w:oddVBand="1" w:evenVBand="0" w:oddHBand="0" w:evenHBand="0" w:firstRowFirstColumn="0" w:firstRowLastColumn="0" w:lastRowFirstColumn="0" w:lastRowLastColumn="0"/>
            <w:tcW w:w="986" w:type="dxa"/>
            <w:tcBorders>
              <w:top w:val="single" w:sz="6" w:space="0" w:color="auto"/>
              <w:bottom w:val="single" w:sz="12" w:space="0" w:color="auto"/>
            </w:tcBorders>
          </w:tcPr>
          <w:p w:rsidR="00DF17E9" w:rsidRPr="007C3146" w:rsidRDefault="00DF17E9" w:rsidP="00044843">
            <w:r w:rsidRPr="007C3146">
              <w:rPr>
                <w:b/>
                <w:color w:val="000000"/>
              </w:rPr>
              <w:t>200</w:t>
            </w:r>
          </w:p>
        </w:tc>
        <w:tc>
          <w:tcPr>
            <w:tcW w:w="98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205</w:t>
            </w:r>
          </w:p>
        </w:tc>
        <w:tc>
          <w:tcPr>
            <w:cnfStyle w:val="000010000000" w:firstRow="0" w:lastRow="0" w:firstColumn="0" w:lastColumn="0" w:oddVBand="1" w:evenVBand="0" w:oddHBand="0" w:evenHBand="0" w:firstRowFirstColumn="0" w:firstRowLastColumn="0" w:lastRowFirstColumn="0" w:lastRowLastColumn="0"/>
            <w:tcW w:w="986" w:type="dxa"/>
            <w:tcBorders>
              <w:top w:val="single" w:sz="6" w:space="0" w:color="auto"/>
              <w:bottom w:val="single" w:sz="12" w:space="0" w:color="auto"/>
            </w:tcBorders>
          </w:tcPr>
          <w:p w:rsidR="00DF17E9" w:rsidRPr="007C3146" w:rsidRDefault="00DF17E9" w:rsidP="00044843">
            <w:r w:rsidRPr="007C3146">
              <w:rPr>
                <w:b/>
                <w:color w:val="000000"/>
              </w:rPr>
              <w:t>188</w:t>
            </w:r>
          </w:p>
        </w:tc>
        <w:tc>
          <w:tcPr>
            <w:tcW w:w="98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175</w:t>
            </w:r>
          </w:p>
        </w:tc>
      </w:tr>
    </w:tbl>
    <w:p w:rsidR="00DF17E9" w:rsidRDefault="00DF17E9" w:rsidP="00044843"/>
    <w:p w:rsidR="00DF17E9" w:rsidRPr="00377403" w:rsidRDefault="00DF17E9" w:rsidP="00044843">
      <w:pPr>
        <w:sectPr w:rsidR="00DF17E9" w:rsidRPr="00377403" w:rsidSect="007A0115">
          <w:footerReference w:type="even" r:id="rId146"/>
          <w:type w:val="continuous"/>
          <w:pgSz w:w="11906" w:h="16838" w:code="9"/>
          <w:pgMar w:top="1134" w:right="1134" w:bottom="1134" w:left="1134" w:header="624" w:footer="567" w:gutter="0"/>
          <w:cols w:space="708"/>
          <w:docGrid w:linePitch="360"/>
        </w:sectPr>
      </w:pPr>
    </w:p>
    <w:p w:rsidR="00DF17E9" w:rsidRPr="0037400C" w:rsidRDefault="00DF17E9" w:rsidP="00044843">
      <w:pPr>
        <w:pStyle w:val="Heading2"/>
      </w:pPr>
      <w:bookmarkStart w:id="40" w:name="_Toc459976217"/>
      <w:r>
        <w:lastRenderedPageBreak/>
        <w:t>Investments accounted for using the equity method and other joint operations</w:t>
      </w:r>
      <w:bookmarkEnd w:id="40"/>
    </w:p>
    <w:p w:rsidR="00DF17E9" w:rsidRDefault="00DF17E9" w:rsidP="003936D1">
      <w:r>
        <w:t>I</w:t>
      </w:r>
      <w:r w:rsidRPr="00D26FA7">
        <w:t>nvestments are classified as either</w:t>
      </w:r>
      <w:r>
        <w:t xml:space="preserve"> </w:t>
      </w:r>
      <w:r>
        <w:rPr>
          <w:b/>
        </w:rPr>
        <w:t xml:space="preserve">associates or </w:t>
      </w:r>
      <w:r w:rsidRPr="003846D1">
        <w:rPr>
          <w:b/>
        </w:rPr>
        <w:t>joint arrangements</w:t>
      </w:r>
      <w:r w:rsidRPr="00440B2B">
        <w:rPr>
          <w:b/>
        </w:rPr>
        <w:t xml:space="preserve"> </w:t>
      </w:r>
      <w:r w:rsidRPr="003846D1">
        <w:t xml:space="preserve">(joint ventures or joint operations). </w:t>
      </w:r>
    </w:p>
    <w:p w:rsidR="00DF17E9" w:rsidRDefault="00DF17E9" w:rsidP="003936D1">
      <w:r w:rsidRPr="003846D1">
        <w:t>The classification</w:t>
      </w:r>
      <w:r w:rsidRPr="00D26FA7">
        <w:t xml:space="preserve"> depends on the contractual rights and obligations of</w:t>
      </w:r>
      <w:r>
        <w:t xml:space="preserve"> </w:t>
      </w:r>
      <w:r w:rsidRPr="00D26FA7">
        <w:t>each investor, rather than the legal structure of the joint arrangement.</w:t>
      </w:r>
    </w:p>
    <w:p w:rsidR="00DF17E9" w:rsidRDefault="00DF17E9" w:rsidP="00044843">
      <w:r w:rsidRPr="00C96588">
        <w:t xml:space="preserve">Joint </w:t>
      </w:r>
      <w:r>
        <w:t>arrangements</w:t>
      </w:r>
      <w:r w:rsidRPr="00C96588">
        <w:t xml:space="preserve"> are contractual arrangements between the State </w:t>
      </w:r>
      <w:r>
        <w:t>(</w:t>
      </w:r>
      <w:r w:rsidRPr="00C96588">
        <w:t>or a subsidiary entity</w:t>
      </w:r>
      <w:r>
        <w:t>)</w:t>
      </w:r>
      <w:r w:rsidRPr="00C96588">
        <w:t xml:space="preserve"> and one or more other parties to undertake an economic activity that is subject to joint control. </w:t>
      </w:r>
    </w:p>
    <w:p w:rsidR="00DF17E9" w:rsidRPr="00AF413A" w:rsidRDefault="00DF17E9" w:rsidP="00044843">
      <w:r>
        <w:t>The investments accounted for using the equity method (associates and joint ventures) and other joint operations are disclosed below.</w:t>
      </w:r>
    </w:p>
    <w:p w:rsidR="00DF17E9" w:rsidRDefault="00DF17E9" w:rsidP="00044843">
      <w:pPr>
        <w:pStyle w:val="Heading3"/>
        <w:tabs>
          <w:tab w:val="right" w:pos="14742"/>
        </w:tabs>
      </w:pPr>
      <w:r w:rsidRPr="005D27C7">
        <w:t>Investments accounted for using the equity method</w:t>
      </w:r>
    </w:p>
    <w:p w:rsidR="00DF17E9" w:rsidRPr="00CF70FF" w:rsidRDefault="00DF17E9" w:rsidP="00044843">
      <w:pPr>
        <w:rPr>
          <w:lang w:val="en-US"/>
        </w:rPr>
      </w:pPr>
      <w:r w:rsidRPr="00CF70FF">
        <w:rPr>
          <w:lang w:val="en-US"/>
        </w:rPr>
        <w:t>Associates and joint ventures are accounted for using the equity method, after initially being recognised at cost in the consolidated balance sheet.</w:t>
      </w:r>
    </w:p>
    <w:p w:rsidR="00DF17E9" w:rsidRPr="00CF70FF" w:rsidRDefault="00DF17E9" w:rsidP="00336F0B">
      <w:pPr>
        <w:pStyle w:val="Subheadingunderline"/>
        <w:pBdr>
          <w:bottom w:val="none" w:sz="0" w:space="0" w:color="auto"/>
        </w:pBdr>
        <w:spacing w:before="260"/>
      </w:pPr>
      <w:r w:rsidRPr="00CF70FF">
        <w:lastRenderedPageBreak/>
        <w:t>Associates</w:t>
      </w:r>
    </w:p>
    <w:p w:rsidR="00DF17E9" w:rsidRPr="00CF70FF" w:rsidRDefault="00DF17E9" w:rsidP="00044843">
      <w:pPr>
        <w:rPr>
          <w:lang w:val="en-US"/>
        </w:rPr>
      </w:pPr>
      <w:r w:rsidRPr="00CF70FF">
        <w:rPr>
          <w:lang w:val="en-US"/>
        </w:rPr>
        <w:t xml:space="preserve">Associates are those entities over which the State exercises significant influence, but not control. </w:t>
      </w:r>
    </w:p>
    <w:p w:rsidR="00DF17E9" w:rsidRPr="00CF70FF" w:rsidRDefault="00DF17E9" w:rsidP="00044843">
      <w:pPr>
        <w:rPr>
          <w:lang w:val="en-US"/>
        </w:rPr>
      </w:pPr>
      <w:r w:rsidRPr="00CF70FF">
        <w:rPr>
          <w:lang w:val="en-US"/>
        </w:rPr>
        <w:t xml:space="preserve">Investments in associates are accounted for in the consolidated financial statements using the equity method. Under this method, the State’s share of the </w:t>
      </w:r>
      <w:r>
        <w:rPr>
          <w:lang w:val="en-US"/>
        </w:rPr>
        <w:t>post-</w:t>
      </w:r>
      <w:r w:rsidRPr="00CF70FF">
        <w:rPr>
          <w:lang w:val="en-US"/>
        </w:rPr>
        <w:t>acquisition profits or losses of associates is recognised in the net result as other ec</w:t>
      </w:r>
      <w:r>
        <w:rPr>
          <w:lang w:val="en-US"/>
        </w:rPr>
        <w:t>onomic flows. The share of post-</w:t>
      </w:r>
      <w:r w:rsidRPr="00CF70FF">
        <w:rPr>
          <w:lang w:val="en-US"/>
        </w:rPr>
        <w:t>acquisition movements in revaluation surpluses and any other reserves is recognised in both the comprehensive operating statement and the statement of changes in equity. The cumulative post acquisition movements are adjusted against the cost of the investment.</w:t>
      </w:r>
    </w:p>
    <w:p w:rsidR="00DF17E9" w:rsidRPr="00CF70FF" w:rsidRDefault="00DF17E9" w:rsidP="00044843">
      <w:pPr>
        <w:pStyle w:val="Subheadingunderline"/>
        <w:pBdr>
          <w:bottom w:val="none" w:sz="0" w:space="0" w:color="auto"/>
        </w:pBdr>
      </w:pPr>
      <w:r w:rsidRPr="00CF70FF">
        <w:t>Joint ventures</w:t>
      </w:r>
    </w:p>
    <w:p w:rsidR="00DF17E9" w:rsidRDefault="00DF17E9" w:rsidP="00044843">
      <w:pPr>
        <w:rPr>
          <w:lang w:val="en-US"/>
        </w:rPr>
      </w:pPr>
      <w:r w:rsidRPr="00CF70FF">
        <w:rPr>
          <w:lang w:val="en-US"/>
        </w:rPr>
        <w:t>Joint ventures are joint arrangements whereby the State or a subsidiary entity and one or more other parties that have joint control of the arrangements have rights to the net assets of the arrangements. Joint control only exists when decisions about the relevant activity require the unanimous consent of the parties sharing control (the venturers).</w:t>
      </w:r>
    </w:p>
    <w:p w:rsidR="00DF17E9" w:rsidRDefault="00DF17E9" w:rsidP="00044843"/>
    <w:p w:rsidR="00DF17E9" w:rsidRDefault="00DF17E9" w:rsidP="00983AF0">
      <w:pPr>
        <w:pStyle w:val="BodyText"/>
        <w:sectPr w:rsidR="00DF17E9" w:rsidSect="00536ACD">
          <w:type w:val="continuous"/>
          <w:pgSz w:w="11906" w:h="16838" w:code="9"/>
          <w:pgMar w:top="1134" w:right="1134" w:bottom="1134" w:left="1134" w:header="624" w:footer="567" w:gutter="0"/>
          <w:cols w:num="2" w:space="708"/>
          <w:docGrid w:linePitch="360"/>
        </w:sectPr>
      </w:pPr>
    </w:p>
    <w:p w:rsidR="00DF17E9" w:rsidRDefault="00DF17E9">
      <w:pPr>
        <w:rPr>
          <w:rFonts w:asciiTheme="majorHAnsi" w:eastAsiaTheme="majorEastAsia" w:hAnsiTheme="majorHAnsi" w:cstheme="majorBidi"/>
          <w:b/>
          <w:bCs/>
          <w:spacing w:val="-2"/>
          <w:szCs w:val="26"/>
        </w:rPr>
      </w:pPr>
      <w:r>
        <w:lastRenderedPageBreak/>
        <w:br w:type="page"/>
      </w:r>
    </w:p>
    <w:p w:rsidR="00DF17E9" w:rsidRPr="007C3146" w:rsidRDefault="00DF17E9" w:rsidP="00044843">
      <w:pPr>
        <w:pStyle w:val="Heading3"/>
        <w:tabs>
          <w:tab w:val="right" w:pos="14742"/>
        </w:tabs>
        <w:rPr>
          <w:b w:val="0"/>
          <w:lang w:val="en-US"/>
        </w:rPr>
      </w:pPr>
      <w:r w:rsidRPr="00CF70FF">
        <w:lastRenderedPageBreak/>
        <w:t>Investments accounted for using the equity method</w:t>
      </w:r>
      <w:r>
        <w:tab/>
      </w:r>
      <w:r w:rsidRPr="00E65539">
        <w:rPr>
          <w:rStyle w:val="TableUnitsChar"/>
        </w:rPr>
        <w:t>($ million)</w:t>
      </w:r>
    </w:p>
    <w:tbl>
      <w:tblPr>
        <w:tblStyle w:val="TableDTFGeneral"/>
        <w:tblW w:w="9638" w:type="dxa"/>
        <w:tblLayout w:type="fixed"/>
        <w:tblLook w:val="02A0" w:firstRow="1" w:lastRow="0" w:firstColumn="1" w:lastColumn="0" w:noHBand="1" w:noVBand="0"/>
      </w:tblPr>
      <w:tblGrid>
        <w:gridCol w:w="7967"/>
        <w:gridCol w:w="851"/>
        <w:gridCol w:w="820"/>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67" w:type="dxa"/>
            <w:tcBorders>
              <w:bottom w:val="single" w:sz="6" w:space="0" w:color="auto"/>
            </w:tcBorders>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6" w:space="0" w:color="auto"/>
            </w:tcBorders>
          </w:tcPr>
          <w:p w:rsidR="00DF17E9" w:rsidRPr="007C3146" w:rsidRDefault="00DF17E9" w:rsidP="00044843">
            <w:pPr>
              <w:rPr>
                <w:color w:val="FFFFFF"/>
              </w:rPr>
            </w:pPr>
            <w:r w:rsidRPr="007C3146">
              <w:rPr>
                <w:color w:val="FFFFFF"/>
              </w:rPr>
              <w:t>2016</w:t>
            </w:r>
          </w:p>
        </w:tc>
        <w:tc>
          <w:tcPr>
            <w:tcW w:w="820"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7967" w:type="dxa"/>
            <w:tcBorders>
              <w:top w:val="single" w:sz="6" w:space="0" w:color="auto"/>
              <w:bottom w:val="nil"/>
            </w:tcBorders>
          </w:tcPr>
          <w:p w:rsidR="00DF17E9" w:rsidRPr="007C3146" w:rsidRDefault="00DF17E9" w:rsidP="00044843">
            <w:pPr>
              <w:ind w:left="0" w:firstLine="0"/>
              <w:rPr>
                <w:color w:val="000000"/>
              </w:rPr>
            </w:pPr>
            <w:r w:rsidRPr="007C3146">
              <w:rPr>
                <w:color w:val="000000"/>
              </w:rPr>
              <w:t>The Australian Regenerative Medicine Institute</w:t>
            </w:r>
          </w:p>
        </w:tc>
        <w:tc>
          <w:tcPr>
            <w:cnfStyle w:val="000010000000" w:firstRow="0" w:lastRow="0" w:firstColumn="0" w:lastColumn="0" w:oddVBand="1" w:evenVBand="0" w:oddHBand="0" w:evenHBand="0" w:firstRowFirstColumn="0" w:firstRowLastColumn="0" w:lastRowFirstColumn="0" w:lastRowLastColumn="0"/>
            <w:tcW w:w="851" w:type="dxa"/>
            <w:tcBorders>
              <w:top w:val="single" w:sz="6" w:space="0" w:color="auto"/>
              <w:bottom w:val="nil"/>
            </w:tcBorders>
          </w:tcPr>
          <w:p w:rsidR="00DF17E9" w:rsidRPr="007C3146" w:rsidRDefault="00DF17E9" w:rsidP="00044843">
            <w:r w:rsidRPr="007C3146">
              <w:rPr>
                <w:color w:val="000000"/>
              </w:rPr>
              <w:t>35</w:t>
            </w:r>
          </w:p>
        </w:tc>
        <w:tc>
          <w:tcPr>
            <w:tcW w:w="820" w:type="dxa"/>
            <w:tcBorders>
              <w:top w:val="single" w:sz="6"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7967" w:type="dxa"/>
            <w:tcBorders>
              <w:bottom w:val="single" w:sz="6" w:space="0" w:color="auto"/>
            </w:tcBorders>
          </w:tcPr>
          <w:p w:rsidR="00DF17E9" w:rsidRPr="007C3146" w:rsidRDefault="00DF17E9" w:rsidP="00044843">
            <w:pPr>
              <w:ind w:left="0" w:firstLine="0"/>
              <w:rPr>
                <w:color w:val="000000"/>
              </w:rPr>
            </w:pPr>
            <w:r w:rsidRPr="007C3146">
              <w:rPr>
                <w:color w:val="000000"/>
              </w:rPr>
              <w:t>Property Exchange Australia Limited</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6" w:space="0" w:color="auto"/>
            </w:tcBorders>
          </w:tcPr>
          <w:p w:rsidR="00DF17E9" w:rsidRPr="007C3146" w:rsidRDefault="00DF17E9" w:rsidP="00044843">
            <w:r w:rsidRPr="007C3146">
              <w:rPr>
                <w:color w:val="000000"/>
              </w:rPr>
              <w:t>11</w:t>
            </w:r>
          </w:p>
        </w:tc>
        <w:tc>
          <w:tcPr>
            <w:tcW w:w="820"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7967" w:type="dxa"/>
            <w:tcBorders>
              <w:top w:val="single" w:sz="6" w:space="0" w:color="auto"/>
              <w:bottom w:val="nil"/>
            </w:tcBorders>
          </w:tcPr>
          <w:p w:rsidR="00DF17E9" w:rsidRPr="007C3146" w:rsidRDefault="00DF17E9" w:rsidP="00044843">
            <w:pPr>
              <w:ind w:left="0" w:firstLine="0"/>
              <w:rPr>
                <w:color w:val="000000"/>
              </w:rPr>
            </w:pPr>
            <w:r w:rsidRPr="007C3146">
              <w:rPr>
                <w:b/>
                <w:color w:val="000000"/>
              </w:rPr>
              <w:t>Total general government sector</w:t>
            </w:r>
          </w:p>
        </w:tc>
        <w:tc>
          <w:tcPr>
            <w:cnfStyle w:val="000010000000" w:firstRow="0" w:lastRow="0" w:firstColumn="0" w:lastColumn="0" w:oddVBand="1" w:evenVBand="0" w:oddHBand="0" w:evenHBand="0" w:firstRowFirstColumn="0" w:firstRowLastColumn="0" w:lastRowFirstColumn="0" w:lastRowLastColumn="0"/>
            <w:tcW w:w="851" w:type="dxa"/>
            <w:tcBorders>
              <w:top w:val="single" w:sz="6" w:space="0" w:color="auto"/>
              <w:bottom w:val="nil"/>
            </w:tcBorders>
          </w:tcPr>
          <w:p w:rsidR="00DF17E9" w:rsidRPr="007C3146" w:rsidRDefault="00DF17E9" w:rsidP="00044843">
            <w:r w:rsidRPr="007C3146">
              <w:rPr>
                <w:b/>
                <w:color w:val="000000"/>
              </w:rPr>
              <w:t>46</w:t>
            </w:r>
          </w:p>
        </w:tc>
        <w:tc>
          <w:tcPr>
            <w:tcW w:w="820" w:type="dxa"/>
            <w:tcBorders>
              <w:top w:val="single" w:sz="6"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7967" w:type="dxa"/>
            <w:tcBorders>
              <w:bottom w:val="single" w:sz="6" w:space="0" w:color="auto"/>
            </w:tcBorders>
          </w:tcPr>
          <w:p w:rsidR="00DF17E9" w:rsidRPr="007C3146" w:rsidRDefault="00DF17E9" w:rsidP="00044843">
            <w:pPr>
              <w:ind w:left="0" w:firstLine="0"/>
              <w:rPr>
                <w:color w:val="000000"/>
              </w:rPr>
            </w:pPr>
            <w:r w:rsidRPr="007C3146">
              <w:rPr>
                <w:color w:val="000000"/>
              </w:rPr>
              <w:t>Snowy Hydro Limited</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6" w:space="0" w:color="auto"/>
            </w:tcBorders>
          </w:tcPr>
          <w:p w:rsidR="00DF17E9" w:rsidRPr="007C3146" w:rsidRDefault="00DF17E9" w:rsidP="00044843">
            <w:pPr>
              <w:rPr>
                <w:color w:val="000000"/>
              </w:rPr>
            </w:pPr>
            <w:r w:rsidRPr="007C3146">
              <w:rPr>
                <w:color w:val="000000"/>
              </w:rPr>
              <w:t>1 872</w:t>
            </w:r>
          </w:p>
        </w:tc>
        <w:tc>
          <w:tcPr>
            <w:tcW w:w="820"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1 976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7967"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 xml:space="preserve">Total investments </w:t>
            </w:r>
          </w:p>
        </w:tc>
        <w:tc>
          <w:tcPr>
            <w:cnfStyle w:val="000010000000" w:firstRow="0" w:lastRow="0" w:firstColumn="0" w:lastColumn="0" w:oddVBand="1" w:evenVBand="0" w:oddHBand="0" w:evenHBand="0" w:firstRowFirstColumn="0" w:firstRowLastColumn="0" w:lastRowFirstColumn="0" w:lastRowLastColumn="0"/>
            <w:tcW w:w="851"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1 918</w:t>
            </w:r>
          </w:p>
        </w:tc>
        <w:tc>
          <w:tcPr>
            <w:tcW w:w="820"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2 021</w:t>
            </w:r>
          </w:p>
        </w:tc>
      </w:tr>
    </w:tbl>
    <w:p w:rsidR="00DF17E9" w:rsidRPr="007C3146" w:rsidRDefault="00DF17E9" w:rsidP="00044843">
      <w:pPr>
        <w:pStyle w:val="Subheading"/>
        <w:rPr>
          <w:bCs/>
          <w:lang w:val="en-US"/>
        </w:rPr>
      </w:pPr>
      <w:r w:rsidRPr="0064203B">
        <w:t>Movement in carrying amounts for investments accounted for using the equity method</w:t>
      </w:r>
      <w:r w:rsidRPr="0064203B">
        <w:tab/>
      </w:r>
      <w:r w:rsidRPr="0064203B">
        <w:rPr>
          <w:rStyle w:val="TableUnitsChar"/>
        </w:rPr>
        <w:t>($ million)</w:t>
      </w:r>
    </w:p>
    <w:tbl>
      <w:tblPr>
        <w:tblStyle w:val="TableDTFGeneral"/>
        <w:tblW w:w="9646" w:type="dxa"/>
        <w:tblLayout w:type="fixed"/>
        <w:tblLook w:val="02A0" w:firstRow="1" w:lastRow="0" w:firstColumn="1" w:lastColumn="0" w:noHBand="1" w:noVBand="0"/>
      </w:tblPr>
      <w:tblGrid>
        <w:gridCol w:w="3146"/>
        <w:gridCol w:w="811"/>
        <w:gridCol w:w="816"/>
        <w:gridCol w:w="811"/>
        <w:gridCol w:w="811"/>
        <w:gridCol w:w="33"/>
        <w:gridCol w:w="778"/>
        <w:gridCol w:w="811"/>
        <w:gridCol w:w="21"/>
        <w:gridCol w:w="790"/>
        <w:gridCol w:w="818"/>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627" w:type="dxa"/>
            <w:gridSpan w:val="2"/>
            <w:tcBorders>
              <w:bottom w:val="nil"/>
            </w:tcBorders>
          </w:tcPr>
          <w:p w:rsidR="00416AC8" w:rsidRPr="007C3146" w:rsidRDefault="00416AC8" w:rsidP="00044843">
            <w:pPr>
              <w:jc w:val="center"/>
              <w:rPr>
                <w:color w:val="FFFFFF"/>
              </w:rPr>
            </w:pPr>
            <w:r>
              <w:rPr>
                <w:color w:val="FFFFFF"/>
              </w:rPr>
              <w:t>T</w:t>
            </w:r>
            <w:r w:rsidRPr="007C3146">
              <w:rPr>
                <w:color w:val="FFFFFF"/>
              </w:rPr>
              <w:t>he Australian Regenerative Medicine Institute</w:t>
            </w:r>
          </w:p>
        </w:tc>
        <w:tc>
          <w:tcPr>
            <w:tcW w:w="1655" w:type="dxa"/>
            <w:gridSpan w:val="3"/>
            <w:tcBorders>
              <w:bottom w:val="nil"/>
            </w:tcBorders>
          </w:tcPr>
          <w:p w:rsidR="00416AC8" w:rsidRPr="007C3146" w:rsidRDefault="00416AC8"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Property Exchange Australia Limited</w:t>
            </w:r>
          </w:p>
        </w:tc>
        <w:tc>
          <w:tcPr>
            <w:cnfStyle w:val="000010000000" w:firstRow="0" w:lastRow="0" w:firstColumn="0" w:lastColumn="0" w:oddVBand="1" w:evenVBand="0" w:oddHBand="0" w:evenHBand="0" w:firstRowFirstColumn="0" w:firstRowLastColumn="0" w:lastRowFirstColumn="0" w:lastRowLastColumn="0"/>
            <w:tcW w:w="1610" w:type="dxa"/>
            <w:gridSpan w:val="3"/>
            <w:tcBorders>
              <w:bottom w:val="nil"/>
            </w:tcBorders>
          </w:tcPr>
          <w:p w:rsidR="00416AC8" w:rsidRPr="007C3146" w:rsidRDefault="00416AC8" w:rsidP="00044843">
            <w:pPr>
              <w:jc w:val="center"/>
              <w:rPr>
                <w:color w:val="FFFFFF"/>
              </w:rPr>
            </w:pPr>
            <w:r w:rsidRPr="007C3146">
              <w:rPr>
                <w:color w:val="FFFFFF"/>
              </w:rPr>
              <w:t xml:space="preserve">Snowy Hydro Limited </w:t>
            </w:r>
          </w:p>
        </w:tc>
        <w:tc>
          <w:tcPr>
            <w:tcW w:w="1608" w:type="dxa"/>
            <w:gridSpan w:val="2"/>
            <w:tcBorders>
              <w:bottom w:val="nil"/>
            </w:tcBorders>
          </w:tcPr>
          <w:p w:rsidR="00416AC8" w:rsidRPr="007C3146" w:rsidRDefault="00416AC8"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Total</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0" w:firstLine="0"/>
              <w:jc w:val="right"/>
              <w:rPr>
                <w:color w:val="FFFFFF"/>
              </w:rPr>
            </w:pP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FFFFFF"/>
              </w:rPr>
            </w:pPr>
            <w:r w:rsidRPr="007C3146">
              <w:rPr>
                <w:color w:val="FFFFFF"/>
              </w:rPr>
              <w:t>2016</w:t>
            </w:r>
          </w:p>
        </w:tc>
        <w:tc>
          <w:tcPr>
            <w:tcW w:w="816"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FFFFFF"/>
              </w:rPr>
            </w:pPr>
            <w:r w:rsidRPr="007C3146">
              <w:rPr>
                <w:color w:val="FFFFFF"/>
              </w:rPr>
              <w:t>2016</w:t>
            </w:r>
          </w:p>
        </w:tc>
        <w:tc>
          <w:tcPr>
            <w:tcW w:w="811"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r w:rsidRPr="007C3146">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FFFFFF"/>
              </w:rPr>
            </w:pPr>
            <w:r w:rsidRPr="007C3146">
              <w:rPr>
                <w:color w:val="FFFFFF"/>
              </w:rPr>
              <w:t>2016</w:t>
            </w:r>
          </w:p>
        </w:tc>
        <w:tc>
          <w:tcPr>
            <w:tcW w:w="811"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FFFFFF"/>
              </w:rPr>
            </w:pPr>
            <w:r w:rsidRPr="007C3146">
              <w:rPr>
                <w:color w:val="FFFFFF"/>
              </w:rPr>
              <w:t>2016</w:t>
            </w:r>
          </w:p>
        </w:tc>
        <w:tc>
          <w:tcPr>
            <w:tcW w:w="818"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r w:rsidRPr="007C3146">
              <w:rPr>
                <w:color w:val="FFFFFF"/>
                <w:vertAlign w:val="superscript"/>
              </w:rPr>
              <w:t>(a)</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tcBorders>
          </w:tcPr>
          <w:p w:rsidR="00DF17E9" w:rsidRPr="007C3146" w:rsidRDefault="00DF17E9" w:rsidP="00044843">
            <w:pPr>
              <w:ind w:left="113" w:hanging="113"/>
              <w:rPr>
                <w:color w:val="000000"/>
              </w:rPr>
            </w:pPr>
            <w:r w:rsidRPr="007C3146">
              <w:rPr>
                <w:b/>
                <w:color w:val="000000"/>
              </w:rPr>
              <w:t>Opening balance</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r w:rsidRPr="007C3146">
              <w:rPr>
                <w:b/>
                <w:color w:val="000000"/>
              </w:rPr>
              <w:t>35</w:t>
            </w:r>
          </w:p>
        </w:tc>
        <w:tc>
          <w:tcPr>
            <w:tcW w:w="816"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35</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r w:rsidRPr="007C3146">
              <w:rPr>
                <w:b/>
                <w:color w:val="000000"/>
              </w:rPr>
              <w:t>10</w:t>
            </w: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9</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tcBorders>
          </w:tcPr>
          <w:p w:rsidR="00DF17E9" w:rsidRPr="007C3146" w:rsidRDefault="00DF17E9" w:rsidP="00044843">
            <w:pPr>
              <w:rPr>
                <w:color w:val="000000"/>
              </w:rPr>
            </w:pPr>
            <w:r w:rsidRPr="007C3146">
              <w:rPr>
                <w:b/>
                <w:color w:val="000000"/>
              </w:rPr>
              <w:t>1 976</w:t>
            </w: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1 511</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tcBorders>
          </w:tcPr>
          <w:p w:rsidR="00DF17E9" w:rsidRPr="007C3146" w:rsidRDefault="00DF17E9" w:rsidP="00044843">
            <w:pPr>
              <w:rPr>
                <w:color w:val="000000"/>
              </w:rPr>
            </w:pPr>
            <w:r w:rsidRPr="007C3146">
              <w:rPr>
                <w:b/>
                <w:color w:val="000000"/>
              </w:rPr>
              <w:t>2 021</w:t>
            </w:r>
          </w:p>
        </w:tc>
        <w:tc>
          <w:tcPr>
            <w:tcW w:w="818"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1 555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color w:val="000000"/>
              </w:rPr>
              <w:t xml:space="preserve">   Share of profit/(loss) after income tax</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r w:rsidRPr="007C3146">
              <w:rPr>
                <w:color w:val="000000"/>
              </w:rPr>
              <w:t>(4)</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(78)</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(30)</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(82)</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color w:val="000000"/>
              </w:rPr>
              <w:t xml:space="preserve">   Dividends received/receivable</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(52)</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(45)</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(52)</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DF17E9" w:rsidRPr="007C3146" w:rsidRDefault="00DF17E9" w:rsidP="00044843">
            <w:pPr>
              <w:ind w:left="113" w:hanging="113"/>
              <w:rPr>
                <w:color w:val="000000"/>
              </w:rPr>
            </w:pPr>
            <w:r w:rsidRPr="007C3146">
              <w:rPr>
                <w:color w:val="000000"/>
              </w:rPr>
              <w:t xml:space="preserve">   Share of increment on revaluation of property, plant and equipment</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000000"/>
              </w:rPr>
            </w:pPr>
            <w:r w:rsidRPr="007C3146">
              <w:rPr>
                <w:color w:val="000000"/>
              </w:rPr>
              <w:t>..</w:t>
            </w:r>
          </w:p>
        </w:tc>
        <w:tc>
          <w:tcPr>
            <w:tcW w:w="81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000000"/>
              </w:rPr>
            </w:pPr>
            <w:r w:rsidRPr="007C3146">
              <w:rPr>
                <w:color w:val="000000"/>
              </w:rPr>
              <w:t>..</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nil"/>
            </w:tcBorders>
          </w:tcPr>
          <w:p w:rsidR="00DF17E9" w:rsidRPr="007C3146" w:rsidRDefault="00DF17E9" w:rsidP="00044843">
            <w:r w:rsidRPr="007C3146">
              <w:rPr>
                <w:color w:val="000000"/>
              </w:rPr>
              <w:t>25</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540</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nil"/>
            </w:tcBorders>
          </w:tcPr>
          <w:p w:rsidR="00DF17E9" w:rsidRPr="007C3146" w:rsidRDefault="00DF17E9" w:rsidP="00044843">
            <w:r w:rsidRPr="007C3146">
              <w:rPr>
                <w:color w:val="000000"/>
              </w:rPr>
              <w:t>25</w:t>
            </w:r>
          </w:p>
        </w:tc>
        <w:tc>
          <w:tcPr>
            <w:tcW w:w="818"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540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113" w:hanging="113"/>
              <w:rPr>
                <w:color w:val="000000"/>
              </w:rPr>
            </w:pPr>
            <w:r w:rsidRPr="007C3146">
              <w:rPr>
                <w:color w:val="000000"/>
              </w:rPr>
              <w:t xml:space="preserve">   Other</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color w:val="000000"/>
              </w:rPr>
              <w:t>..</w:t>
            </w:r>
          </w:p>
        </w:tc>
        <w:tc>
          <w:tcPr>
            <w:tcW w:w="81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color w:val="000000"/>
              </w:rPr>
              <w:t>6</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000000"/>
              </w:rPr>
            </w:pPr>
            <w:r w:rsidRPr="007C3146">
              <w:rPr>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r w:rsidRPr="007C3146">
              <w:rPr>
                <w:color w:val="000000"/>
              </w:rPr>
              <w:t>6</w:t>
            </w:r>
          </w:p>
        </w:tc>
        <w:tc>
          <w:tcPr>
            <w:tcW w:w="81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tcPr>
          <w:p w:rsidR="00DF17E9" w:rsidRPr="007C3146" w:rsidRDefault="00DF17E9" w:rsidP="00044843">
            <w:pPr>
              <w:ind w:left="113" w:hanging="113"/>
              <w:rPr>
                <w:color w:val="000000"/>
              </w:rPr>
            </w:pPr>
            <w:r w:rsidRPr="007C3146">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35</w:t>
            </w:r>
          </w:p>
        </w:tc>
        <w:tc>
          <w:tcPr>
            <w:tcW w:w="81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35</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11</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rPr>
              <w:t>10</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1 872</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1 976</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1 918</w:t>
            </w:r>
          </w:p>
        </w:tc>
        <w:tc>
          <w:tcPr>
            <w:tcW w:w="818"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2 021</w:t>
            </w:r>
          </w:p>
        </w:tc>
      </w:tr>
    </w:tbl>
    <w:p w:rsidR="00DF17E9" w:rsidRDefault="00DF17E9" w:rsidP="00044843">
      <w:pPr>
        <w:pStyle w:val="Notes"/>
      </w:pPr>
      <w:r w:rsidRPr="008D4066">
        <w:t>Note:</w:t>
      </w:r>
    </w:p>
    <w:p w:rsidR="00DF17E9" w:rsidRDefault="00DF17E9" w:rsidP="00044843">
      <w:pPr>
        <w:pStyle w:val="Note"/>
        <w:numPr>
          <w:ilvl w:val="4"/>
          <w:numId w:val="2"/>
        </w:numPr>
        <w:ind w:left="284"/>
      </w:pPr>
      <w:r w:rsidRPr="008D4066">
        <w:t xml:space="preserve"> June 2015 comparative figures have been restated to reflect more current information.</w:t>
      </w:r>
    </w:p>
    <w:p w:rsidR="00DF17E9" w:rsidRDefault="00DF17E9" w:rsidP="0042008E"/>
    <w:p w:rsidR="00DF17E9" w:rsidRDefault="00DF17E9" w:rsidP="0042008E">
      <w:pPr>
        <w:sectPr w:rsidR="00DF17E9" w:rsidSect="00CD6F54">
          <w:type w:val="continuous"/>
          <w:pgSz w:w="11906" w:h="16838" w:code="9"/>
          <w:pgMar w:top="1134" w:right="1134" w:bottom="1134" w:left="1134" w:header="624" w:footer="567" w:gutter="0"/>
          <w:cols w:space="708"/>
          <w:docGrid w:linePitch="360"/>
        </w:sectPr>
      </w:pPr>
    </w:p>
    <w:p w:rsidR="00DF17E9" w:rsidRPr="00B30DF2" w:rsidRDefault="00DF17E9" w:rsidP="00044843">
      <w:pPr>
        <w:pStyle w:val="Subheadingunderline"/>
        <w:pBdr>
          <w:bottom w:val="none" w:sz="0" w:space="0" w:color="auto"/>
        </w:pBdr>
      </w:pPr>
      <w:r w:rsidRPr="00B30DF2">
        <w:lastRenderedPageBreak/>
        <w:t>The Australia Regenerative Medicine Institute</w:t>
      </w:r>
    </w:p>
    <w:p w:rsidR="00DF17E9" w:rsidRDefault="00DF17E9" w:rsidP="004115D7">
      <w:r>
        <w:t>The Department of Health and Human Services has a joint venture interest with Monash University in the Australian Regenerative Medicine Institute (ARMI). ARMI was established to construct and operate a facility, which will promote Victoria as a global leader in regenerative medical research, foster and develop existing research collaboration on both domestic and overseas projects, and provide a major site for both undergraduate and post-graduate training programs.</w:t>
      </w:r>
    </w:p>
    <w:p w:rsidR="00DF17E9" w:rsidRPr="00746EBD" w:rsidRDefault="00DF17E9" w:rsidP="004115D7">
      <w:r>
        <w:t xml:space="preserve">The Victorian Government’s </w:t>
      </w:r>
      <w:r w:rsidRPr="00746EBD">
        <w:t>ownership interest of ARMI at 30 June 2</w:t>
      </w:r>
      <w:r>
        <w:t>016 was 20.1 per cent (20.1 per </w:t>
      </w:r>
      <w:r w:rsidRPr="00746EBD">
        <w:t>cent in 2015).</w:t>
      </w:r>
    </w:p>
    <w:p w:rsidR="00DF17E9" w:rsidRPr="00746EBD" w:rsidRDefault="00DF17E9" w:rsidP="00044843">
      <w:pPr>
        <w:pStyle w:val="Subheadingunderline"/>
        <w:pBdr>
          <w:bottom w:val="none" w:sz="0" w:space="0" w:color="auto"/>
        </w:pBdr>
      </w:pPr>
      <w:r w:rsidRPr="00746EBD">
        <w:t>Property Exchange Australia Limited</w:t>
      </w:r>
    </w:p>
    <w:p w:rsidR="00DF17E9" w:rsidRPr="00746EBD" w:rsidRDefault="00DF17E9" w:rsidP="004115D7">
      <w:r w:rsidRPr="00746EBD">
        <w:t>The Department of Environment, Land, Water and Planning has an investment in an associate entity, Property Exchange Australia Limited (PEXA). PEXA was established in January 2010 to develop a single national electronic conveyancing system for settling property transactions.</w:t>
      </w:r>
    </w:p>
    <w:p w:rsidR="00DF17E9" w:rsidRPr="00131A53" w:rsidRDefault="00DF17E9" w:rsidP="004115D7">
      <w:r w:rsidRPr="00746EBD">
        <w:t>The Victorian Government’s ownership interest of PEXA at 30 J</w:t>
      </w:r>
      <w:r>
        <w:t>une 2016 was 9.0 per cent (11.6 </w:t>
      </w:r>
      <w:r w:rsidRPr="00746EBD">
        <w:t>per</w:t>
      </w:r>
      <w:r>
        <w:t> cent in 2015</w:t>
      </w:r>
      <w:r w:rsidRPr="00131A53">
        <w:t>).</w:t>
      </w:r>
    </w:p>
    <w:p w:rsidR="00DF17E9" w:rsidRPr="00746EBD" w:rsidRDefault="00DF17E9" w:rsidP="00044843">
      <w:pPr>
        <w:pStyle w:val="Subheadingunderline"/>
        <w:pBdr>
          <w:bottom w:val="none" w:sz="0" w:space="0" w:color="auto"/>
        </w:pBdr>
      </w:pPr>
      <w:r w:rsidRPr="00746EBD">
        <w:lastRenderedPageBreak/>
        <w:t>Snowy Hydro Limited</w:t>
      </w:r>
    </w:p>
    <w:p w:rsidR="00DF17E9" w:rsidRPr="00746EBD" w:rsidRDefault="00DF17E9" w:rsidP="004115D7">
      <w:r w:rsidRPr="00746EBD">
        <w:t>Snowy Hydro Limited is a company jointly owned by the Commonwealth (13 per cent), New South Wales (58 per cent) and Victoria (29 per cent), which owns and operates the Snowy Mountains Hydro Electric Scheme as an independent electricity generator in the National Electricity Market.</w:t>
      </w:r>
    </w:p>
    <w:p w:rsidR="00DF17E9" w:rsidRDefault="00DF17E9" w:rsidP="004115D7">
      <w:r w:rsidRPr="00746EBD">
        <w:t xml:space="preserve">The Victorian Government’s ownership interest of Snowy Hydro Limited, which is held by the State Electricity Corporation of Victoria, was 29.0 per cent </w:t>
      </w:r>
      <w:r>
        <w:t xml:space="preserve">at 30 June 2016 </w:t>
      </w:r>
      <w:r w:rsidR="00336F0B">
        <w:t>(29.0 per cent in 2015). A </w:t>
      </w:r>
      <w:r w:rsidRPr="00746EBD">
        <w:t>summary of the State’s share of commitments is shown below.</w:t>
      </w:r>
    </w:p>
    <w:p w:rsidR="00DF17E9" w:rsidRPr="007C3146" w:rsidRDefault="00DF17E9" w:rsidP="00044843">
      <w:pPr>
        <w:pStyle w:val="Subheading"/>
        <w:tabs>
          <w:tab w:val="right" w:pos="4536"/>
        </w:tabs>
        <w:rPr>
          <w:bCs/>
          <w:lang w:val="en-US"/>
        </w:rPr>
      </w:pPr>
      <w:r w:rsidRPr="009076E6">
        <w:t>Share of commitments in Snowy Hydro Limited</w:t>
      </w:r>
      <w:r>
        <w:br/>
      </w:r>
      <w:r>
        <w:rPr>
          <w:rStyle w:val="TableUnitsChar"/>
        </w:rPr>
        <w:tab/>
      </w:r>
      <w:r w:rsidRPr="007F520E">
        <w:rPr>
          <w:rStyle w:val="TableUnitsChar"/>
        </w:rPr>
        <w:t>($ million)</w:t>
      </w:r>
    </w:p>
    <w:tbl>
      <w:tblPr>
        <w:tblStyle w:val="TableDTFGeneral"/>
        <w:tblW w:w="5000" w:type="pct"/>
        <w:tblInd w:w="0" w:type="dxa"/>
        <w:tblLayout w:type="fixed"/>
        <w:tblLook w:val="02A0" w:firstRow="1" w:lastRow="0" w:firstColumn="1" w:lastColumn="0" w:noHBand="1" w:noVBand="0"/>
      </w:tblPr>
      <w:tblGrid>
        <w:gridCol w:w="3034"/>
        <w:gridCol w:w="772"/>
        <w:gridCol w:w="773"/>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3" w:type="pct"/>
            <w:tcBorders>
              <w:bottom w:val="single" w:sz="6" w:space="0" w:color="auto"/>
            </w:tcBorders>
          </w:tcPr>
          <w:p w:rsidR="00DF17E9" w:rsidRPr="007C3146" w:rsidRDefault="00DF17E9" w:rsidP="00044843">
            <w:pPr>
              <w:ind w:left="0" w:firstLine="0"/>
              <w:rPr>
                <w:color w:val="FFFFFF"/>
              </w:rPr>
            </w:pPr>
            <w:r w:rsidRPr="007C3146">
              <w:rPr>
                <w:color w:val="FFFFFF"/>
              </w:rPr>
              <w:t>Commitments</w:t>
            </w:r>
          </w:p>
        </w:tc>
        <w:tc>
          <w:tcPr>
            <w:cnfStyle w:val="000010000000" w:firstRow="0" w:lastRow="0" w:firstColumn="0" w:lastColumn="0" w:oddVBand="1" w:evenVBand="0" w:oddHBand="0" w:evenHBand="0" w:firstRowFirstColumn="0" w:firstRowLastColumn="0" w:lastRowFirstColumn="0" w:lastRowLastColumn="0"/>
            <w:tcW w:w="843" w:type="pct"/>
            <w:tcBorders>
              <w:bottom w:val="single" w:sz="6" w:space="0" w:color="auto"/>
            </w:tcBorders>
          </w:tcPr>
          <w:p w:rsidR="00DF17E9" w:rsidRPr="007C3146" w:rsidRDefault="00DF17E9" w:rsidP="00044843">
            <w:pPr>
              <w:rPr>
                <w:color w:val="FFFFFF"/>
              </w:rPr>
            </w:pPr>
            <w:r w:rsidRPr="007C3146">
              <w:rPr>
                <w:color w:val="FFFFFF"/>
              </w:rPr>
              <w:t>2016</w:t>
            </w:r>
          </w:p>
        </w:tc>
        <w:tc>
          <w:tcPr>
            <w:tcW w:w="844" w:type="pct"/>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313" w:type="pct"/>
            <w:tcBorders>
              <w:top w:val="single" w:sz="6" w:space="0" w:color="auto"/>
            </w:tcBorders>
          </w:tcPr>
          <w:p w:rsidR="00DF17E9" w:rsidRPr="007C3146" w:rsidRDefault="00DF17E9" w:rsidP="00044843">
            <w:pPr>
              <w:ind w:left="0" w:firstLine="0"/>
              <w:rPr>
                <w:color w:val="000000"/>
              </w:rPr>
            </w:pPr>
            <w:r w:rsidRPr="007C3146">
              <w:rPr>
                <w:color w:val="000000"/>
              </w:rPr>
              <w:t>Capital expenditure commitments</w:t>
            </w:r>
          </w:p>
        </w:tc>
        <w:tc>
          <w:tcPr>
            <w:cnfStyle w:val="000010000000" w:firstRow="0" w:lastRow="0" w:firstColumn="0" w:lastColumn="0" w:oddVBand="1" w:evenVBand="0" w:oddHBand="0" w:evenHBand="0" w:firstRowFirstColumn="0" w:firstRowLastColumn="0" w:lastRowFirstColumn="0" w:lastRowLastColumn="0"/>
            <w:tcW w:w="843" w:type="pct"/>
            <w:tcBorders>
              <w:top w:val="single" w:sz="6" w:space="0" w:color="auto"/>
            </w:tcBorders>
          </w:tcPr>
          <w:p w:rsidR="00DF17E9" w:rsidRPr="007C3146" w:rsidRDefault="00DF17E9" w:rsidP="00044843">
            <w:r w:rsidRPr="007C3146">
              <w:rPr>
                <w:color w:val="000000"/>
              </w:rPr>
              <w:t>24</w:t>
            </w:r>
          </w:p>
        </w:tc>
        <w:tc>
          <w:tcPr>
            <w:tcW w:w="844" w:type="pct"/>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313" w:type="pct"/>
            <w:tcBorders>
              <w:bottom w:val="nil"/>
            </w:tcBorders>
          </w:tcPr>
          <w:p w:rsidR="00DF17E9" w:rsidRPr="007C3146" w:rsidRDefault="00DF17E9" w:rsidP="00044843">
            <w:pPr>
              <w:ind w:left="0" w:firstLine="0"/>
              <w:rPr>
                <w:color w:val="000000"/>
              </w:rPr>
            </w:pPr>
            <w:r w:rsidRPr="007C3146">
              <w:rPr>
                <w:color w:val="000000"/>
              </w:rPr>
              <w:t>Operating lease commitments</w:t>
            </w:r>
          </w:p>
        </w:tc>
        <w:tc>
          <w:tcPr>
            <w:cnfStyle w:val="000010000000" w:firstRow="0" w:lastRow="0" w:firstColumn="0" w:lastColumn="0" w:oddVBand="1" w:evenVBand="0" w:oddHBand="0" w:evenHBand="0" w:firstRowFirstColumn="0" w:firstRowLastColumn="0" w:lastRowFirstColumn="0" w:lastRowLastColumn="0"/>
            <w:tcW w:w="843" w:type="pct"/>
            <w:tcBorders>
              <w:bottom w:val="nil"/>
            </w:tcBorders>
          </w:tcPr>
          <w:p w:rsidR="00DF17E9" w:rsidRPr="007C3146" w:rsidRDefault="00DF17E9" w:rsidP="00044843">
            <w:r w:rsidRPr="007C3146">
              <w:rPr>
                <w:color w:val="000000"/>
              </w:rPr>
              <w:t>58</w:t>
            </w:r>
          </w:p>
        </w:tc>
        <w:tc>
          <w:tcPr>
            <w:tcW w:w="844" w:type="pct"/>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313" w:type="pct"/>
            <w:tcBorders>
              <w:bottom w:val="single" w:sz="6" w:space="0" w:color="auto"/>
            </w:tcBorders>
          </w:tcPr>
          <w:p w:rsidR="00DF17E9" w:rsidRPr="007C3146" w:rsidRDefault="00DF17E9" w:rsidP="00044843">
            <w:pPr>
              <w:ind w:left="0" w:firstLine="0"/>
              <w:rPr>
                <w:color w:val="000000"/>
              </w:rPr>
            </w:pPr>
            <w:r w:rsidRPr="007C3146">
              <w:rPr>
                <w:color w:val="000000"/>
              </w:rPr>
              <w:t>Other commitments</w:t>
            </w:r>
          </w:p>
        </w:tc>
        <w:tc>
          <w:tcPr>
            <w:cnfStyle w:val="000010000000" w:firstRow="0" w:lastRow="0" w:firstColumn="0" w:lastColumn="0" w:oddVBand="1" w:evenVBand="0" w:oddHBand="0" w:evenHBand="0" w:firstRowFirstColumn="0" w:firstRowLastColumn="0" w:lastRowFirstColumn="0" w:lastRowLastColumn="0"/>
            <w:tcW w:w="843" w:type="pct"/>
            <w:tcBorders>
              <w:bottom w:val="single" w:sz="6" w:space="0" w:color="auto"/>
            </w:tcBorders>
          </w:tcPr>
          <w:p w:rsidR="00DF17E9" w:rsidRPr="007C3146" w:rsidRDefault="00DF17E9" w:rsidP="00044843">
            <w:r w:rsidRPr="007C3146">
              <w:rPr>
                <w:color w:val="000000"/>
              </w:rPr>
              <w:t>8</w:t>
            </w:r>
          </w:p>
        </w:tc>
        <w:tc>
          <w:tcPr>
            <w:tcW w:w="844" w:type="pct"/>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313" w:type="pct"/>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commitments</w:t>
            </w:r>
          </w:p>
        </w:tc>
        <w:tc>
          <w:tcPr>
            <w:cnfStyle w:val="000010000000" w:firstRow="0" w:lastRow="0" w:firstColumn="0" w:lastColumn="0" w:oddVBand="1" w:evenVBand="0" w:oddHBand="0" w:evenHBand="0" w:firstRowFirstColumn="0" w:firstRowLastColumn="0" w:lastRowFirstColumn="0" w:lastRowLastColumn="0"/>
            <w:tcW w:w="843" w:type="pct"/>
            <w:tcBorders>
              <w:top w:val="single" w:sz="6" w:space="0" w:color="auto"/>
              <w:bottom w:val="single" w:sz="12" w:space="0" w:color="auto"/>
            </w:tcBorders>
          </w:tcPr>
          <w:p w:rsidR="00DF17E9" w:rsidRPr="007C3146" w:rsidRDefault="00DF17E9" w:rsidP="00044843">
            <w:r w:rsidRPr="007C3146">
              <w:rPr>
                <w:b/>
                <w:color w:val="000000"/>
              </w:rPr>
              <w:t>90</w:t>
            </w:r>
          </w:p>
        </w:tc>
        <w:tc>
          <w:tcPr>
            <w:tcW w:w="844" w:type="pct"/>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136</w:t>
            </w:r>
          </w:p>
        </w:tc>
      </w:tr>
    </w:tbl>
    <w:p w:rsidR="00DF17E9" w:rsidRDefault="00DF17E9" w:rsidP="00131A53"/>
    <w:p w:rsidR="00DF17E9" w:rsidRDefault="00DF17E9" w:rsidP="00131A53"/>
    <w:p w:rsidR="00DF17E9" w:rsidRDefault="00DF17E9" w:rsidP="00131A53">
      <w:pPr>
        <w:sectPr w:rsidR="00DF17E9" w:rsidSect="00131A53">
          <w:type w:val="continuous"/>
          <w:pgSz w:w="11906" w:h="16838" w:code="9"/>
          <w:pgMar w:top="1134" w:right="1134" w:bottom="1134" w:left="1134" w:header="624" w:footer="567" w:gutter="0"/>
          <w:cols w:num="2" w:space="708"/>
          <w:docGrid w:linePitch="360"/>
        </w:sectPr>
      </w:pPr>
    </w:p>
    <w:p w:rsidR="00DF17E9" w:rsidRDefault="00DF17E9">
      <w:pPr>
        <w:rPr>
          <w:rFonts w:asciiTheme="majorHAnsi" w:hAnsiTheme="majorHAnsi"/>
          <w:b/>
          <w:spacing w:val="-2"/>
        </w:rPr>
      </w:pPr>
      <w:r>
        <w:lastRenderedPageBreak/>
        <w:br w:type="page"/>
      </w:r>
    </w:p>
    <w:p w:rsidR="00DF17E9" w:rsidRPr="007C3146" w:rsidRDefault="00DF17E9" w:rsidP="00044843">
      <w:pPr>
        <w:pStyle w:val="Subheading"/>
        <w:rPr>
          <w:bCs/>
          <w:lang w:val="en-US"/>
        </w:rPr>
      </w:pPr>
      <w:r>
        <w:lastRenderedPageBreak/>
        <w:t>Summarised information for investments accounted for us</w:t>
      </w:r>
      <w:r w:rsidR="00416AC8">
        <w:t>i</w:t>
      </w:r>
      <w:r>
        <w:t>ng the equity method</w:t>
      </w:r>
      <w:r>
        <w:tab/>
      </w:r>
      <w:r w:rsidRPr="00DD40B8">
        <w:rPr>
          <w:rStyle w:val="TableUnitsChar"/>
        </w:rPr>
        <w:t>($ million)</w:t>
      </w:r>
    </w:p>
    <w:tbl>
      <w:tblPr>
        <w:tblStyle w:val="TableDTFGeneral"/>
        <w:tblW w:w="9646" w:type="dxa"/>
        <w:tblLayout w:type="fixed"/>
        <w:tblLook w:val="02A0" w:firstRow="1" w:lastRow="0" w:firstColumn="1" w:lastColumn="0" w:noHBand="1" w:noVBand="0"/>
      </w:tblPr>
      <w:tblGrid>
        <w:gridCol w:w="3146"/>
        <w:gridCol w:w="811"/>
        <w:gridCol w:w="816"/>
        <w:gridCol w:w="811"/>
        <w:gridCol w:w="811"/>
        <w:gridCol w:w="33"/>
        <w:gridCol w:w="778"/>
        <w:gridCol w:w="811"/>
        <w:gridCol w:w="21"/>
        <w:gridCol w:w="790"/>
        <w:gridCol w:w="818"/>
      </w:tblGrid>
      <w:tr w:rsidR="00416AC8"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416AC8" w:rsidRPr="007C3146" w:rsidRDefault="00416AC8"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627" w:type="dxa"/>
            <w:gridSpan w:val="2"/>
            <w:tcBorders>
              <w:bottom w:val="nil"/>
            </w:tcBorders>
          </w:tcPr>
          <w:p w:rsidR="00416AC8" w:rsidRPr="007C3146" w:rsidRDefault="00416AC8" w:rsidP="00044843">
            <w:pPr>
              <w:jc w:val="center"/>
              <w:rPr>
                <w:color w:val="FFFFFF"/>
              </w:rPr>
            </w:pPr>
            <w:r w:rsidRPr="007C3146">
              <w:rPr>
                <w:color w:val="FFFFFF"/>
              </w:rPr>
              <w:t>The Australian Regenerative Medicine Institute</w:t>
            </w:r>
          </w:p>
        </w:tc>
        <w:tc>
          <w:tcPr>
            <w:tcW w:w="1655" w:type="dxa"/>
            <w:gridSpan w:val="3"/>
            <w:tcBorders>
              <w:bottom w:val="nil"/>
            </w:tcBorders>
          </w:tcPr>
          <w:p w:rsidR="00416AC8" w:rsidRPr="007C3146" w:rsidRDefault="00416AC8"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Property Exchange Australia Limited</w:t>
            </w:r>
          </w:p>
        </w:tc>
        <w:tc>
          <w:tcPr>
            <w:cnfStyle w:val="000010000000" w:firstRow="0" w:lastRow="0" w:firstColumn="0" w:lastColumn="0" w:oddVBand="1" w:evenVBand="0" w:oddHBand="0" w:evenHBand="0" w:firstRowFirstColumn="0" w:firstRowLastColumn="0" w:lastRowFirstColumn="0" w:lastRowLastColumn="0"/>
            <w:tcW w:w="1610" w:type="dxa"/>
            <w:gridSpan w:val="3"/>
            <w:tcBorders>
              <w:bottom w:val="nil"/>
            </w:tcBorders>
          </w:tcPr>
          <w:p w:rsidR="00416AC8" w:rsidRPr="007C3146" w:rsidRDefault="00416AC8" w:rsidP="00044843">
            <w:pPr>
              <w:jc w:val="center"/>
              <w:rPr>
                <w:color w:val="FFFFFF"/>
              </w:rPr>
            </w:pPr>
            <w:r w:rsidRPr="007C3146">
              <w:rPr>
                <w:color w:val="FFFFFF"/>
              </w:rPr>
              <w:t xml:space="preserve">Snowy Hydro Limited </w:t>
            </w:r>
          </w:p>
        </w:tc>
        <w:tc>
          <w:tcPr>
            <w:tcW w:w="1608" w:type="dxa"/>
            <w:gridSpan w:val="2"/>
            <w:tcBorders>
              <w:bottom w:val="nil"/>
            </w:tcBorders>
          </w:tcPr>
          <w:p w:rsidR="00416AC8" w:rsidRPr="007C3146" w:rsidRDefault="00416AC8"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Total</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0" w:firstLine="0"/>
              <w:rPr>
                <w:color w:val="FFFFFF"/>
              </w:rPr>
            </w:pPr>
            <w:r w:rsidRPr="007C3146">
              <w:rPr>
                <w:color w:val="FFFFFF"/>
              </w:rPr>
              <w:t>Summarised balance sheet as at 30 June</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FFFFFF"/>
              </w:rPr>
            </w:pPr>
            <w:r w:rsidRPr="007C3146">
              <w:rPr>
                <w:color w:val="FFFFFF"/>
              </w:rPr>
              <w:t>2016</w:t>
            </w:r>
          </w:p>
        </w:tc>
        <w:tc>
          <w:tcPr>
            <w:tcW w:w="816"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FFFFFF"/>
              </w:rPr>
            </w:pPr>
            <w:r w:rsidRPr="007C3146">
              <w:rPr>
                <w:color w:val="FFFFFF"/>
              </w:rPr>
              <w:t>2016</w:t>
            </w:r>
          </w:p>
        </w:tc>
        <w:tc>
          <w:tcPr>
            <w:tcW w:w="811"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r w:rsidRPr="007C3146">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FFFFFF"/>
              </w:rPr>
            </w:pPr>
            <w:r w:rsidRPr="007C3146">
              <w:rPr>
                <w:color w:val="FFFFFF"/>
              </w:rPr>
              <w:t>2016</w:t>
            </w:r>
          </w:p>
        </w:tc>
        <w:tc>
          <w:tcPr>
            <w:tcW w:w="811"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r w:rsidRPr="007C3146">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FFFFFF"/>
              </w:rPr>
            </w:pPr>
            <w:r w:rsidRPr="007C3146">
              <w:rPr>
                <w:color w:val="FFFFFF"/>
              </w:rPr>
              <w:t>2016</w:t>
            </w:r>
          </w:p>
        </w:tc>
        <w:tc>
          <w:tcPr>
            <w:tcW w:w="818" w:type="dxa"/>
            <w:tcBorders>
              <w:bottom w:val="single" w:sz="6" w:space="0" w:color="auto"/>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r w:rsidRPr="007C3146">
              <w:rPr>
                <w:color w:val="FFFFFF"/>
                <w:vertAlign w:val="superscript"/>
              </w:rPr>
              <w:t>(a)</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tcBorders>
          </w:tcPr>
          <w:p w:rsidR="00DF17E9" w:rsidRPr="007C3146" w:rsidRDefault="00DF17E9" w:rsidP="00044843">
            <w:pPr>
              <w:ind w:left="113" w:hanging="113"/>
              <w:rPr>
                <w:color w:val="000000"/>
              </w:rPr>
            </w:pPr>
            <w:r w:rsidRPr="007C3146">
              <w:rPr>
                <w:b/>
                <w:color w:val="000000"/>
              </w:rPr>
              <w:t>Current assets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pPr>
              <w:rPr>
                <w:color w:val="000000"/>
              </w:rPr>
            </w:pPr>
          </w:p>
        </w:tc>
        <w:tc>
          <w:tcPr>
            <w:tcW w:w="816"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pPr>
              <w:rPr>
                <w:color w:val="000000"/>
              </w:rPr>
            </w:pP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tcBorders>
          </w:tcPr>
          <w:p w:rsidR="00DF17E9" w:rsidRPr="007C3146" w:rsidRDefault="00DF17E9" w:rsidP="00044843">
            <w:pPr>
              <w:rPr>
                <w:color w:val="000000"/>
              </w:rPr>
            </w:pP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tcBorders>
          </w:tcPr>
          <w:p w:rsidR="00DF17E9" w:rsidRPr="007C3146" w:rsidRDefault="00DF17E9" w:rsidP="00044843">
            <w:pPr>
              <w:rPr>
                <w:color w:val="000000"/>
              </w:rPr>
            </w:pPr>
          </w:p>
        </w:tc>
        <w:tc>
          <w:tcPr>
            <w:tcW w:w="818"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color w:val="000000"/>
              </w:rPr>
              <w:t xml:space="preserve">   Cash and cash equivalent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r w:rsidRPr="007C3146">
              <w:rPr>
                <w:color w:val="000000"/>
              </w:rPr>
              <w:t>7</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3</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10</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color w:val="000000"/>
              </w:rPr>
              <w:t xml:space="preserve">   Other current assets (excluding cash)</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r w:rsidRPr="007C3146">
              <w:rPr>
                <w:color w:val="000000"/>
              </w:rPr>
              <w:t>1</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253</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286</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253</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287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DF17E9" w:rsidRPr="007C3146" w:rsidRDefault="00DF17E9" w:rsidP="00044843">
            <w:pPr>
              <w:ind w:left="113" w:hanging="113"/>
              <w:rPr>
                <w:color w:val="000000"/>
              </w:rPr>
            </w:pPr>
            <w:r w:rsidRPr="007C3146">
              <w:rPr>
                <w:b/>
                <w:color w:val="000000"/>
              </w:rPr>
              <w:t>Total current assets</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000000"/>
              </w:rPr>
            </w:pPr>
            <w:r w:rsidRPr="007C3146">
              <w:rPr>
                <w:b/>
                <w:color w:val="000000"/>
              </w:rPr>
              <w:t>..</w:t>
            </w:r>
          </w:p>
        </w:tc>
        <w:tc>
          <w:tcPr>
            <w:tcW w:w="81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r w:rsidRPr="007C3146">
              <w:rPr>
                <w:b/>
                <w:color w:val="000000"/>
              </w:rPr>
              <w:t>7</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nil"/>
            </w:tcBorders>
          </w:tcPr>
          <w:p w:rsidR="00DF17E9" w:rsidRPr="007C3146" w:rsidRDefault="00DF17E9" w:rsidP="00044843">
            <w:r w:rsidRPr="007C3146">
              <w:rPr>
                <w:b/>
                <w:color w:val="000000"/>
              </w:rPr>
              <w:t>256</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288</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nil"/>
            </w:tcBorders>
          </w:tcPr>
          <w:p w:rsidR="00DF17E9" w:rsidRPr="007C3146" w:rsidRDefault="00DF17E9" w:rsidP="00044843">
            <w:r w:rsidRPr="007C3146">
              <w:rPr>
                <w:b/>
                <w:color w:val="000000"/>
              </w:rPr>
              <w:t>264</w:t>
            </w:r>
          </w:p>
        </w:tc>
        <w:tc>
          <w:tcPr>
            <w:tcW w:w="818"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292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113" w:hanging="113"/>
              <w:rPr>
                <w:color w:val="000000"/>
              </w:rPr>
            </w:pPr>
            <w:r w:rsidRPr="007C3146">
              <w:rPr>
                <w:b/>
                <w:color w:val="000000"/>
              </w:rPr>
              <w:t>Non-current assets</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b/>
                <w:color w:val="000000"/>
              </w:rPr>
              <w:t>35</w:t>
            </w:r>
          </w:p>
        </w:tc>
        <w:tc>
          <w:tcPr>
            <w:tcW w:w="81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35</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b/>
                <w:color w:val="000000"/>
              </w:rPr>
              <w:t>5</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8</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000000"/>
              </w:rPr>
            </w:pPr>
            <w:r w:rsidRPr="007C3146">
              <w:rPr>
                <w:b/>
                <w:color w:val="000000"/>
              </w:rPr>
              <w:t>2 078</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2 159</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pPr>
              <w:rPr>
                <w:color w:val="000000"/>
              </w:rPr>
            </w:pPr>
            <w:r w:rsidRPr="007C3146">
              <w:rPr>
                <w:b/>
                <w:color w:val="000000"/>
              </w:rPr>
              <w:t>2 118</w:t>
            </w:r>
          </w:p>
        </w:tc>
        <w:tc>
          <w:tcPr>
            <w:tcW w:w="81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2 202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6" w:space="0" w:color="auto"/>
            </w:tcBorders>
          </w:tcPr>
          <w:p w:rsidR="00DF17E9" w:rsidRPr="007C3146" w:rsidRDefault="00DF17E9" w:rsidP="00044843">
            <w:pPr>
              <w:ind w:left="113" w:hanging="113"/>
              <w:rPr>
                <w:color w:val="000000"/>
              </w:rPr>
            </w:pPr>
            <w:r w:rsidRPr="007C3146">
              <w:rPr>
                <w:b/>
                <w:color w:val="000000"/>
              </w:rPr>
              <w:t>Total assets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6" w:space="0" w:color="auto"/>
            </w:tcBorders>
          </w:tcPr>
          <w:p w:rsidR="00DF17E9" w:rsidRPr="007C3146" w:rsidRDefault="00DF17E9" w:rsidP="00044843">
            <w:r w:rsidRPr="007C3146">
              <w:rPr>
                <w:b/>
                <w:color w:val="000000"/>
              </w:rPr>
              <w:t>35</w:t>
            </w:r>
          </w:p>
        </w:tc>
        <w:tc>
          <w:tcPr>
            <w:tcW w:w="816"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35</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6" w:space="0" w:color="auto"/>
            </w:tcBorders>
          </w:tcPr>
          <w:p w:rsidR="00DF17E9" w:rsidRPr="007C3146" w:rsidRDefault="00DF17E9" w:rsidP="00044843">
            <w:r w:rsidRPr="007C3146">
              <w:rPr>
                <w:b/>
                <w:color w:val="000000"/>
              </w:rPr>
              <w:t>12</w:t>
            </w:r>
          </w:p>
        </w:tc>
        <w:tc>
          <w:tcPr>
            <w:tcW w:w="811"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11</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6" w:space="0" w:color="auto"/>
            </w:tcBorders>
          </w:tcPr>
          <w:p w:rsidR="00DF17E9" w:rsidRPr="007C3146" w:rsidRDefault="00DF17E9" w:rsidP="00044843">
            <w:pPr>
              <w:rPr>
                <w:color w:val="000000"/>
              </w:rPr>
            </w:pPr>
            <w:r w:rsidRPr="007C3146">
              <w:rPr>
                <w:b/>
                <w:color w:val="000000"/>
              </w:rPr>
              <w:t>2 334</w:t>
            </w:r>
          </w:p>
        </w:tc>
        <w:tc>
          <w:tcPr>
            <w:tcW w:w="811"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2 448</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6" w:space="0" w:color="auto"/>
            </w:tcBorders>
          </w:tcPr>
          <w:p w:rsidR="00DF17E9" w:rsidRPr="007C3146" w:rsidRDefault="00DF17E9" w:rsidP="00044843">
            <w:pPr>
              <w:rPr>
                <w:color w:val="000000"/>
              </w:rPr>
            </w:pPr>
            <w:r w:rsidRPr="007C3146">
              <w:rPr>
                <w:b/>
                <w:color w:val="000000"/>
              </w:rPr>
              <w:t>2 381</w:t>
            </w:r>
          </w:p>
        </w:tc>
        <w:tc>
          <w:tcPr>
            <w:tcW w:w="818"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2 494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tcBorders>
          </w:tcPr>
          <w:p w:rsidR="00DF17E9" w:rsidRPr="007C3146" w:rsidRDefault="00DF17E9" w:rsidP="00044843">
            <w:pPr>
              <w:ind w:left="113" w:hanging="113"/>
              <w:rPr>
                <w:color w:val="000000"/>
              </w:rPr>
            </w:pPr>
            <w:r w:rsidRPr="007C3146">
              <w:rPr>
                <w:b/>
                <w:color w:val="000000"/>
              </w:rPr>
              <w:t>Current liabilities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pPr>
              <w:rPr>
                <w:color w:val="000000"/>
              </w:rPr>
            </w:pPr>
          </w:p>
        </w:tc>
        <w:tc>
          <w:tcPr>
            <w:tcW w:w="816"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pPr>
              <w:rPr>
                <w:color w:val="000000"/>
              </w:rPr>
            </w:pP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tcBorders>
          </w:tcPr>
          <w:p w:rsidR="00DF17E9" w:rsidRPr="007C3146" w:rsidRDefault="00DF17E9" w:rsidP="00044843">
            <w:pPr>
              <w:rPr>
                <w:color w:val="000000"/>
              </w:rPr>
            </w:pP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tcBorders>
          </w:tcPr>
          <w:p w:rsidR="00DF17E9" w:rsidRPr="007C3146" w:rsidRDefault="00DF17E9" w:rsidP="00044843">
            <w:pPr>
              <w:rPr>
                <w:color w:val="000000"/>
              </w:rPr>
            </w:pPr>
          </w:p>
        </w:tc>
        <w:tc>
          <w:tcPr>
            <w:tcW w:w="818"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b/>
                <w:color w:val="000000"/>
              </w:rPr>
              <w:t xml:space="preserve">   </w:t>
            </w:r>
            <w:r w:rsidRPr="007C3146">
              <w:rPr>
                <w:color w:val="000000"/>
              </w:rPr>
              <w:t xml:space="preserve">Financial liabilities </w:t>
            </w:r>
            <w:r w:rsidR="00416AC8">
              <w:rPr>
                <w:color w:val="000000"/>
              </w:rPr>
              <w:br/>
            </w:r>
            <w:r w:rsidRPr="007C3146">
              <w:rPr>
                <w:color w:val="000000"/>
              </w:rPr>
              <w:t>(excluding payables, provisions)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r w:rsidRPr="007C3146">
              <w:rPr>
                <w:color w:val="000000"/>
              </w:rPr>
              <w:t>1</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161</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79</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162</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b/>
                <w:color w:val="000000"/>
              </w:rPr>
              <w:t xml:space="preserve">   </w:t>
            </w:r>
            <w:r w:rsidRPr="007C3146">
              <w:rPr>
                <w:color w:val="000000"/>
              </w:rPr>
              <w:t xml:space="preserve">Other non-financial liabilities </w:t>
            </w:r>
            <w:r w:rsidR="00416AC8">
              <w:rPr>
                <w:color w:val="000000"/>
              </w:rPr>
              <w:br/>
            </w:r>
            <w:r w:rsidRPr="007C3146">
              <w:rPr>
                <w:color w:val="000000"/>
              </w:rPr>
              <w:t>(including payables, provisions)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pPr>
              <w:rPr>
                <w:color w:val="000000"/>
              </w:rPr>
            </w:pPr>
            <w:r w:rsidRPr="007C3146">
              <w:rPr>
                <w:color w:val="000000"/>
              </w:rPr>
              <w:t>..</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pPr>
              <w:rPr>
                <w:color w:val="000000"/>
              </w:rPr>
            </w:pPr>
            <w:r w:rsidRPr="007C3146">
              <w:rPr>
                <w:color w:val="000000"/>
              </w:rPr>
              <w:t>..</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b/>
                <w:color w:val="000000"/>
              </w:rPr>
              <w:t>Total current liabilities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b/>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r w:rsidRPr="007C3146">
              <w:rPr>
                <w:b/>
                <w:color w:val="000000"/>
              </w:rPr>
              <w:t>1</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b/>
                <w:color w:val="000000"/>
              </w:rPr>
              <w:t>161</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86</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b/>
                <w:color w:val="000000"/>
              </w:rPr>
              <w:t>162</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87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b/>
                <w:color w:val="000000"/>
              </w:rPr>
              <w:t>Non-current liabilities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pPr>
              <w:rPr>
                <w:color w:val="000000"/>
              </w:rPr>
            </w:pP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pPr>
              <w:rPr>
                <w:color w:val="000000"/>
              </w:rPr>
            </w:pP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Pr>
          <w:p w:rsidR="00DF17E9" w:rsidRPr="007C3146" w:rsidRDefault="00DF17E9" w:rsidP="00044843">
            <w:pPr>
              <w:ind w:left="113" w:hanging="113"/>
              <w:rPr>
                <w:color w:val="000000"/>
              </w:rPr>
            </w:pPr>
            <w:r w:rsidRPr="007C3146">
              <w:rPr>
                <w:b/>
                <w:color w:val="000000"/>
              </w:rPr>
              <w:t xml:space="preserve">   </w:t>
            </w:r>
            <w:r w:rsidRPr="007C3146">
              <w:rPr>
                <w:color w:val="000000"/>
              </w:rPr>
              <w:t xml:space="preserve">Financial liabilities </w:t>
            </w:r>
            <w:r w:rsidR="00416AC8">
              <w:rPr>
                <w:color w:val="000000"/>
              </w:rPr>
              <w:br/>
            </w:r>
            <w:r w:rsidRPr="007C3146">
              <w:rPr>
                <w:color w:val="000000"/>
              </w:rPr>
              <w:t>(excluding payables, provisions)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6"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7C3146" w:rsidRDefault="00DF17E9" w:rsidP="00044843">
            <w:pPr>
              <w:rPr>
                <w:color w:val="000000"/>
              </w:rPr>
            </w:pPr>
            <w:r w:rsidRPr="007C3146">
              <w:rPr>
                <w:color w:val="000000"/>
              </w:rPr>
              <w:t>..</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9</w:t>
            </w:r>
          </w:p>
        </w:tc>
        <w:tc>
          <w:tcPr>
            <w:tcW w:w="81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377</w:t>
            </w:r>
          </w:p>
        </w:tc>
        <w:tc>
          <w:tcPr>
            <w:cnfStyle w:val="000010000000" w:firstRow="0" w:lastRow="0" w:firstColumn="0" w:lastColumn="0" w:oddVBand="1" w:evenVBand="0" w:oddHBand="0" w:evenHBand="0" w:firstRowFirstColumn="0" w:firstRowLastColumn="0" w:lastRowFirstColumn="0" w:lastRowLastColumn="0"/>
            <w:tcW w:w="811" w:type="dxa"/>
            <w:gridSpan w:val="2"/>
          </w:tcPr>
          <w:p w:rsidR="00DF17E9" w:rsidRPr="007C3146" w:rsidRDefault="00DF17E9" w:rsidP="00044843">
            <w:r w:rsidRPr="007C3146">
              <w:rPr>
                <w:color w:val="000000"/>
              </w:rPr>
              <w:t>9</w:t>
            </w:r>
          </w:p>
        </w:tc>
        <w:tc>
          <w:tcPr>
            <w:tcW w:w="81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377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DF17E9" w:rsidRPr="007C3146" w:rsidRDefault="00DF17E9" w:rsidP="00044843">
            <w:pPr>
              <w:ind w:left="113" w:hanging="113"/>
              <w:rPr>
                <w:color w:val="000000"/>
              </w:rPr>
            </w:pPr>
            <w:r w:rsidRPr="007C3146">
              <w:rPr>
                <w:b/>
                <w:color w:val="000000"/>
              </w:rPr>
              <w:t xml:space="preserve">   </w:t>
            </w:r>
            <w:r w:rsidRPr="007C3146">
              <w:rPr>
                <w:color w:val="000000"/>
              </w:rPr>
              <w:t xml:space="preserve">Other non-financial liabilities </w:t>
            </w:r>
            <w:r w:rsidR="00416AC8">
              <w:rPr>
                <w:color w:val="000000"/>
              </w:rPr>
              <w:br/>
            </w:r>
            <w:r w:rsidRPr="007C3146">
              <w:rPr>
                <w:color w:val="000000"/>
              </w:rPr>
              <w:t>(including payables, provisions)</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000000"/>
              </w:rPr>
            </w:pPr>
            <w:r w:rsidRPr="007C3146">
              <w:rPr>
                <w:color w:val="000000"/>
              </w:rPr>
              <w:t>..</w:t>
            </w:r>
          </w:p>
        </w:tc>
        <w:tc>
          <w:tcPr>
            <w:tcW w:w="816"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000000"/>
              </w:rPr>
            </w:pPr>
            <w:r w:rsidRPr="007C3146">
              <w:rPr>
                <w:color w:val="000000"/>
              </w:rPr>
              <w:t>..</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nil"/>
            </w:tcBorders>
          </w:tcPr>
          <w:p w:rsidR="00DF17E9" w:rsidRPr="007C3146" w:rsidRDefault="00DF17E9" w:rsidP="00044843">
            <w:r w:rsidRPr="007C3146">
              <w:rPr>
                <w:color w:val="000000"/>
              </w:rPr>
              <w:t>293</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nil"/>
            </w:tcBorders>
          </w:tcPr>
          <w:p w:rsidR="00DF17E9" w:rsidRPr="007C3146" w:rsidRDefault="00DF17E9" w:rsidP="00044843">
            <w:r w:rsidRPr="007C3146">
              <w:rPr>
                <w:color w:val="000000"/>
              </w:rPr>
              <w:t>293</w:t>
            </w:r>
          </w:p>
        </w:tc>
        <w:tc>
          <w:tcPr>
            <w:tcW w:w="818"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113" w:hanging="113"/>
              <w:rPr>
                <w:color w:val="000000"/>
              </w:rPr>
            </w:pPr>
            <w:r w:rsidRPr="007C3146">
              <w:rPr>
                <w:b/>
                <w:color w:val="000000"/>
              </w:rPr>
              <w:t>Total non-current liabilities</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b/>
                <w:color w:val="000000"/>
              </w:rPr>
              <w:t>..</w:t>
            </w:r>
          </w:p>
        </w:tc>
        <w:tc>
          <w:tcPr>
            <w:tcW w:w="816"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b/>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r w:rsidRPr="007C3146">
              <w:rPr>
                <w:b/>
                <w:color w:val="000000"/>
              </w:rPr>
              <w:t>301</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386</w:t>
            </w:r>
          </w:p>
        </w:tc>
        <w:tc>
          <w:tcPr>
            <w:cnfStyle w:val="000010000000" w:firstRow="0" w:lastRow="0" w:firstColumn="0" w:lastColumn="0" w:oddVBand="1" w:evenVBand="0" w:oddHBand="0" w:evenHBand="0" w:firstRowFirstColumn="0" w:firstRowLastColumn="0" w:lastRowFirstColumn="0" w:lastRowLastColumn="0"/>
            <w:tcW w:w="811" w:type="dxa"/>
            <w:gridSpan w:val="2"/>
            <w:tcBorders>
              <w:bottom w:val="single" w:sz="6" w:space="0" w:color="auto"/>
            </w:tcBorders>
          </w:tcPr>
          <w:p w:rsidR="00DF17E9" w:rsidRPr="007C3146" w:rsidRDefault="00DF17E9" w:rsidP="00044843">
            <w:r w:rsidRPr="007C3146">
              <w:rPr>
                <w:b/>
                <w:color w:val="000000"/>
              </w:rPr>
              <w:t>301</w:t>
            </w:r>
          </w:p>
        </w:tc>
        <w:tc>
          <w:tcPr>
            <w:tcW w:w="81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386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6" w:space="0" w:color="auto"/>
            </w:tcBorders>
          </w:tcPr>
          <w:p w:rsidR="00DF17E9" w:rsidRPr="007C3146" w:rsidRDefault="00DF17E9" w:rsidP="00044843">
            <w:pPr>
              <w:ind w:left="113" w:hanging="113"/>
              <w:rPr>
                <w:color w:val="000000"/>
              </w:rPr>
            </w:pPr>
            <w:r w:rsidRPr="007C3146">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6" w:space="0" w:color="auto"/>
            </w:tcBorders>
          </w:tcPr>
          <w:p w:rsidR="00DF17E9" w:rsidRPr="007C3146" w:rsidRDefault="00DF17E9" w:rsidP="00044843">
            <w:pPr>
              <w:rPr>
                <w:color w:val="000000"/>
              </w:rPr>
            </w:pPr>
            <w:r w:rsidRPr="007C3146">
              <w:rPr>
                <w:b/>
                <w:color w:val="000000"/>
              </w:rPr>
              <w:t>..</w:t>
            </w:r>
          </w:p>
        </w:tc>
        <w:tc>
          <w:tcPr>
            <w:tcW w:w="816"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6" w:space="0" w:color="auto"/>
            </w:tcBorders>
          </w:tcPr>
          <w:p w:rsidR="00DF17E9" w:rsidRPr="007C3146" w:rsidRDefault="00DF17E9" w:rsidP="00044843">
            <w:r w:rsidRPr="007C3146">
              <w:rPr>
                <w:b/>
                <w:color w:val="000000"/>
              </w:rPr>
              <w:t>1</w:t>
            </w:r>
          </w:p>
        </w:tc>
        <w:tc>
          <w:tcPr>
            <w:tcW w:w="811"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2</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6" w:space="0" w:color="auto"/>
            </w:tcBorders>
          </w:tcPr>
          <w:p w:rsidR="00DF17E9" w:rsidRPr="007C3146" w:rsidRDefault="00DF17E9" w:rsidP="00044843">
            <w:r w:rsidRPr="007C3146">
              <w:rPr>
                <w:b/>
                <w:color w:val="000000"/>
              </w:rPr>
              <w:t>462</w:t>
            </w:r>
          </w:p>
        </w:tc>
        <w:tc>
          <w:tcPr>
            <w:tcW w:w="811"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472</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6" w:space="0" w:color="auto"/>
            </w:tcBorders>
          </w:tcPr>
          <w:p w:rsidR="00DF17E9" w:rsidRPr="007C3146" w:rsidRDefault="00DF17E9" w:rsidP="00044843">
            <w:r w:rsidRPr="007C3146">
              <w:rPr>
                <w:b/>
                <w:color w:val="000000"/>
              </w:rPr>
              <w:t>463</w:t>
            </w:r>
          </w:p>
        </w:tc>
        <w:tc>
          <w:tcPr>
            <w:tcW w:w="818"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473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tcPr>
          <w:p w:rsidR="00DF17E9" w:rsidRPr="007C3146" w:rsidRDefault="00DF17E9" w:rsidP="00044843">
            <w:pPr>
              <w:ind w:left="113" w:hanging="113"/>
              <w:rPr>
                <w:color w:val="000000"/>
              </w:rPr>
            </w:pPr>
            <w:r w:rsidRPr="007C3146">
              <w:rPr>
                <w:b/>
                <w:color w:val="000000"/>
              </w:rPr>
              <w:t>Net assets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35</w:t>
            </w:r>
          </w:p>
        </w:tc>
        <w:tc>
          <w:tcPr>
            <w:tcW w:w="816"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35</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11</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10</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1 872</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1 976</w:t>
            </w:r>
          </w:p>
        </w:tc>
        <w:tc>
          <w:tcPr>
            <w:cnfStyle w:val="000010000000" w:firstRow="0" w:lastRow="0" w:firstColumn="0" w:lastColumn="0" w:oddVBand="1" w:evenVBand="0" w:oddHBand="0" w:evenHBand="0" w:firstRowFirstColumn="0" w:firstRowLastColumn="0" w:lastRowFirstColumn="0" w:lastRowLastColumn="0"/>
            <w:tcW w:w="811"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1 918</w:t>
            </w:r>
          </w:p>
        </w:tc>
        <w:tc>
          <w:tcPr>
            <w:tcW w:w="818"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2 021</w:t>
            </w:r>
          </w:p>
        </w:tc>
      </w:tr>
    </w:tbl>
    <w:p w:rsidR="00DF17E9" w:rsidRPr="007C3146" w:rsidRDefault="00DF17E9" w:rsidP="00044843">
      <w:pPr>
        <w:rPr>
          <w:rStyle w:val="TableUnitsChar"/>
          <w:b/>
          <w:bCs/>
          <w:lang w:val="en-US"/>
        </w:rPr>
      </w:pPr>
    </w:p>
    <w:tbl>
      <w:tblPr>
        <w:tblStyle w:val="TableDTFGeneral"/>
        <w:tblW w:w="9630" w:type="dxa"/>
        <w:tblLayout w:type="fixed"/>
        <w:tblLook w:val="02A0" w:firstRow="1" w:lastRow="0" w:firstColumn="1" w:lastColumn="0" w:noHBand="1" w:noVBand="0"/>
      </w:tblPr>
      <w:tblGrid>
        <w:gridCol w:w="3146"/>
        <w:gridCol w:w="809"/>
        <w:gridCol w:w="809"/>
        <w:gridCol w:w="811"/>
        <w:gridCol w:w="811"/>
        <w:gridCol w:w="811"/>
        <w:gridCol w:w="811"/>
        <w:gridCol w:w="811"/>
        <w:gridCol w:w="811"/>
      </w:tblGrid>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DF17E9" w:rsidRPr="007C3146" w:rsidRDefault="00DF17E9" w:rsidP="00416AC8">
            <w:pPr>
              <w:ind w:left="0" w:firstLine="0"/>
              <w:rPr>
                <w:color w:val="FFFFFF"/>
              </w:rPr>
            </w:pPr>
            <w:r w:rsidRPr="007C3146">
              <w:rPr>
                <w:color w:val="FFFFFF"/>
              </w:rPr>
              <w:t xml:space="preserve">Summarised operating statement </w:t>
            </w:r>
            <w:r w:rsidR="00416AC8">
              <w:rPr>
                <w:color w:val="FFFFFF"/>
              </w:rPr>
              <w:br/>
            </w:r>
            <w:r w:rsidRPr="007C3146">
              <w:rPr>
                <w:color w:val="FFFFFF"/>
              </w:rPr>
              <w:t xml:space="preserve">for the financial year ended 30 June </w:t>
            </w:r>
          </w:p>
        </w:tc>
        <w:tc>
          <w:tcPr>
            <w:cnfStyle w:val="000010000000" w:firstRow="0" w:lastRow="0" w:firstColumn="0" w:lastColumn="0" w:oddVBand="1" w:evenVBand="0" w:oddHBand="0" w:evenHBand="0" w:firstRowFirstColumn="0" w:firstRowLastColumn="0" w:lastRowFirstColumn="0" w:lastRowLastColumn="0"/>
            <w:tcW w:w="809" w:type="dxa"/>
            <w:tcBorders>
              <w:bottom w:val="nil"/>
            </w:tcBorders>
          </w:tcPr>
          <w:p w:rsidR="00DF17E9" w:rsidRPr="007C3146" w:rsidRDefault="00DF17E9" w:rsidP="00044843">
            <w:pPr>
              <w:rPr>
                <w:color w:val="FFFFFF"/>
              </w:rPr>
            </w:pPr>
            <w:r w:rsidRPr="007C3146">
              <w:rPr>
                <w:color w:val="FFFFFF"/>
              </w:rPr>
              <w:t xml:space="preserve"> </w:t>
            </w:r>
          </w:p>
        </w:tc>
        <w:tc>
          <w:tcPr>
            <w:tcW w:w="809" w:type="dxa"/>
            <w:tcBorders>
              <w:bottom w:val="nil"/>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FFFFFF"/>
              </w:rPr>
            </w:pPr>
            <w:r w:rsidRPr="007C3146">
              <w:rPr>
                <w:color w:val="FFFFFF"/>
              </w:rPr>
              <w:t xml:space="preserve"> </w:t>
            </w:r>
          </w:p>
        </w:tc>
        <w:tc>
          <w:tcPr>
            <w:tcW w:w="811" w:type="dxa"/>
            <w:tcBorders>
              <w:bottom w:val="nil"/>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FFFFFF"/>
              </w:rPr>
            </w:pPr>
            <w:r w:rsidRPr="007C3146">
              <w:rPr>
                <w:color w:val="FFFFFF"/>
              </w:rPr>
              <w:t xml:space="preserve"> </w:t>
            </w:r>
          </w:p>
        </w:tc>
        <w:tc>
          <w:tcPr>
            <w:tcW w:w="811" w:type="dxa"/>
            <w:tcBorders>
              <w:bottom w:val="nil"/>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pPr>
              <w:rPr>
                <w:color w:val="FFFFFF"/>
              </w:rPr>
            </w:pPr>
          </w:p>
        </w:tc>
        <w:tc>
          <w:tcPr>
            <w:tcW w:w="811" w:type="dxa"/>
            <w:tcBorders>
              <w:bottom w:val="nil"/>
            </w:tcBorders>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113" w:hanging="113"/>
              <w:rPr>
                <w:color w:val="000000"/>
              </w:rPr>
            </w:pPr>
            <w:r w:rsidRPr="007C3146">
              <w:rPr>
                <w:color w:val="000000"/>
              </w:rPr>
              <w:t>Revenue from transactions</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6" w:space="0" w:color="auto"/>
            </w:tcBorders>
          </w:tcPr>
          <w:p w:rsidR="00DF17E9" w:rsidRPr="007C3146" w:rsidRDefault="00DF17E9" w:rsidP="00044843">
            <w:pPr>
              <w:rPr>
                <w:color w:val="000000"/>
              </w:rPr>
            </w:pPr>
            <w:r w:rsidRPr="007C3146">
              <w:rPr>
                <w:color w:val="000000"/>
              </w:rPr>
              <w:t>..</w:t>
            </w:r>
          </w:p>
        </w:tc>
        <w:tc>
          <w:tcPr>
            <w:tcW w:w="80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color w:val="000000"/>
              </w:rPr>
              <w:t>1</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color w:val="000000"/>
              </w:rPr>
              <w:t>1</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tcBorders>
          </w:tcPr>
          <w:p w:rsidR="00DF17E9" w:rsidRPr="007C3146" w:rsidRDefault="00DF17E9" w:rsidP="00044843">
            <w:pPr>
              <w:ind w:left="113" w:hanging="113"/>
              <w:rPr>
                <w:color w:val="000000"/>
              </w:rPr>
            </w:pPr>
            <w:r w:rsidRPr="007C3146">
              <w:rPr>
                <w:b/>
                <w:color w:val="000000"/>
              </w:rPr>
              <w:t>Net result from transactions</w:t>
            </w:r>
          </w:p>
        </w:tc>
        <w:tc>
          <w:tcPr>
            <w:cnfStyle w:val="000010000000" w:firstRow="0" w:lastRow="0" w:firstColumn="0" w:lastColumn="0" w:oddVBand="1" w:evenVBand="0" w:oddHBand="0" w:evenHBand="0" w:firstRowFirstColumn="0" w:firstRowLastColumn="0" w:lastRowFirstColumn="0" w:lastRowLastColumn="0"/>
            <w:tcW w:w="809" w:type="dxa"/>
            <w:tcBorders>
              <w:top w:val="single" w:sz="6" w:space="0" w:color="auto"/>
            </w:tcBorders>
          </w:tcPr>
          <w:p w:rsidR="00DF17E9" w:rsidRPr="007C3146" w:rsidRDefault="00DF17E9" w:rsidP="00044843">
            <w:pPr>
              <w:rPr>
                <w:color w:val="000000"/>
              </w:rPr>
            </w:pPr>
            <w:r w:rsidRPr="007C3146">
              <w:rPr>
                <w:color w:val="000000"/>
              </w:rPr>
              <w:t>..</w:t>
            </w:r>
          </w:p>
        </w:tc>
        <w:tc>
          <w:tcPr>
            <w:tcW w:w="809"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r w:rsidRPr="007C3146">
              <w:rPr>
                <w:b/>
                <w:color w:val="000000"/>
              </w:rPr>
              <w:t>(4)</w:t>
            </w: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r w:rsidRPr="007C3146">
              <w:rPr>
                <w:b/>
                <w:color w:val="000000"/>
              </w:rPr>
              <w:t>(78)</w:t>
            </w: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(30)</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7C3146" w:rsidRDefault="00DF17E9" w:rsidP="00044843">
            <w:r w:rsidRPr="007C3146">
              <w:rPr>
                <w:b/>
                <w:color w:val="000000"/>
              </w:rPr>
              <w:t>(82)</w:t>
            </w:r>
          </w:p>
        </w:tc>
        <w:tc>
          <w:tcPr>
            <w:tcW w:w="81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nil"/>
            </w:tcBorders>
          </w:tcPr>
          <w:p w:rsidR="00DF17E9" w:rsidRPr="007C3146" w:rsidRDefault="00DF17E9" w:rsidP="00044843">
            <w:pPr>
              <w:ind w:left="113" w:hanging="113"/>
              <w:rPr>
                <w:color w:val="000000"/>
              </w:rPr>
            </w:pPr>
            <w:r w:rsidRPr="007C3146">
              <w:rPr>
                <w:color w:val="000000"/>
              </w:rPr>
              <w:t>Net result from continuing operation</w:t>
            </w:r>
          </w:p>
        </w:tc>
        <w:tc>
          <w:tcPr>
            <w:cnfStyle w:val="000010000000" w:firstRow="0" w:lastRow="0" w:firstColumn="0" w:lastColumn="0" w:oddVBand="1" w:evenVBand="0" w:oddHBand="0" w:evenHBand="0" w:firstRowFirstColumn="0" w:firstRowLastColumn="0" w:lastRowFirstColumn="0" w:lastRowLastColumn="0"/>
            <w:tcW w:w="809" w:type="dxa"/>
            <w:tcBorders>
              <w:bottom w:val="nil"/>
            </w:tcBorders>
          </w:tcPr>
          <w:p w:rsidR="00DF17E9" w:rsidRPr="007C3146" w:rsidRDefault="00DF17E9" w:rsidP="00044843">
            <w:pPr>
              <w:rPr>
                <w:color w:val="000000"/>
              </w:rPr>
            </w:pPr>
            <w:r w:rsidRPr="007C3146">
              <w:rPr>
                <w:color w:val="000000"/>
              </w:rPr>
              <w:t>..</w:t>
            </w:r>
          </w:p>
        </w:tc>
        <w:tc>
          <w:tcPr>
            <w:tcW w:w="809"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r w:rsidRPr="007C3146">
              <w:rPr>
                <w:color w:val="000000"/>
              </w:rPr>
              <w:t>(4)</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r w:rsidRPr="007C3146">
              <w:rPr>
                <w:color w:val="000000"/>
              </w:rPr>
              <w:t>(78)</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(30)</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7C3146" w:rsidRDefault="00DF17E9" w:rsidP="00044843">
            <w:r w:rsidRPr="007C3146">
              <w:rPr>
                <w:color w:val="000000"/>
              </w:rPr>
              <w:t>(82)</w:t>
            </w:r>
          </w:p>
        </w:tc>
        <w:tc>
          <w:tcPr>
            <w:tcW w:w="81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113" w:hanging="113"/>
              <w:rPr>
                <w:color w:val="000000"/>
              </w:rPr>
            </w:pPr>
            <w:r w:rsidRPr="007C3146">
              <w:rPr>
                <w:color w:val="000000"/>
              </w:rPr>
              <w:t>Net result from discontinuing operation</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6" w:space="0" w:color="auto"/>
            </w:tcBorders>
          </w:tcPr>
          <w:p w:rsidR="00DF17E9" w:rsidRPr="007C3146" w:rsidRDefault="00DF17E9" w:rsidP="00044843">
            <w:pPr>
              <w:rPr>
                <w:color w:val="000000"/>
              </w:rPr>
            </w:pPr>
            <w:r w:rsidRPr="007C3146">
              <w:rPr>
                <w:color w:val="000000"/>
              </w:rPr>
              <w:t>..</w:t>
            </w:r>
          </w:p>
        </w:tc>
        <w:tc>
          <w:tcPr>
            <w:tcW w:w="80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tcPr>
          <w:p w:rsidR="00DF17E9" w:rsidRPr="007C3146" w:rsidRDefault="00DF17E9" w:rsidP="00044843">
            <w:pPr>
              <w:ind w:left="113" w:hanging="113"/>
              <w:rPr>
                <w:color w:val="000000"/>
              </w:rPr>
            </w:pPr>
            <w:r w:rsidRPr="007C3146">
              <w:rPr>
                <w:b/>
                <w:color w:val="000000"/>
              </w:rPr>
              <w:t>Net result</w:t>
            </w:r>
          </w:p>
        </w:tc>
        <w:tc>
          <w:tcPr>
            <w:cnfStyle w:val="000010000000" w:firstRow="0" w:lastRow="0" w:firstColumn="0" w:lastColumn="0" w:oddVBand="1" w:evenVBand="0" w:oddHBand="0" w:evenHBand="0" w:firstRowFirstColumn="0" w:firstRowLastColumn="0" w:lastRowFirstColumn="0" w:lastRowLastColumn="0"/>
            <w:tcW w:w="809"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w:t>
            </w:r>
          </w:p>
        </w:tc>
        <w:tc>
          <w:tcPr>
            <w:tcW w:w="80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(4)</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(78)</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(30)</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(82)</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(34)</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12" w:space="0" w:color="auto"/>
              <w:bottom w:val="nil"/>
            </w:tcBorders>
          </w:tcPr>
          <w:p w:rsidR="00DF17E9" w:rsidRPr="007C3146" w:rsidRDefault="00DF17E9" w:rsidP="00416AC8">
            <w:pPr>
              <w:ind w:left="113" w:hanging="113"/>
              <w:rPr>
                <w:color w:val="000000"/>
              </w:rPr>
            </w:pPr>
            <w:r w:rsidRPr="007C3146">
              <w:rPr>
                <w:color w:val="000000"/>
              </w:rPr>
              <w:t xml:space="preserve">Other economic flows </w:t>
            </w:r>
            <w:r w:rsidR="00416AC8">
              <w:rPr>
                <w:color w:val="000000"/>
              </w:rPr>
              <w:t>–</w:t>
            </w:r>
            <w:r w:rsidRPr="007C3146">
              <w:rPr>
                <w:color w:val="000000"/>
              </w:rPr>
              <w:t xml:space="preserve"> other comprehensive income</w:t>
            </w:r>
          </w:p>
        </w:tc>
        <w:tc>
          <w:tcPr>
            <w:cnfStyle w:val="000010000000" w:firstRow="0" w:lastRow="0" w:firstColumn="0" w:lastColumn="0" w:oddVBand="1" w:evenVBand="0" w:oddHBand="0" w:evenHBand="0" w:firstRowFirstColumn="0" w:firstRowLastColumn="0" w:lastRowFirstColumn="0" w:lastRowLastColumn="0"/>
            <w:tcW w:w="809" w:type="dxa"/>
            <w:tcBorders>
              <w:top w:val="single" w:sz="12" w:space="0" w:color="auto"/>
              <w:bottom w:val="nil"/>
            </w:tcBorders>
          </w:tcPr>
          <w:p w:rsidR="00DF17E9" w:rsidRPr="007C3146" w:rsidRDefault="00DF17E9" w:rsidP="00044843">
            <w:pPr>
              <w:rPr>
                <w:color w:val="000000"/>
              </w:rPr>
            </w:pPr>
            <w:r w:rsidRPr="007C3146">
              <w:rPr>
                <w:b/>
                <w:color w:val="000000"/>
              </w:rPr>
              <w:t>..</w:t>
            </w:r>
          </w:p>
        </w:tc>
        <w:tc>
          <w:tcPr>
            <w:tcW w:w="809" w:type="dxa"/>
            <w:tcBorders>
              <w:top w:val="single" w:sz="12"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top w:val="single" w:sz="12" w:space="0" w:color="auto"/>
              <w:bottom w:val="nil"/>
            </w:tcBorders>
          </w:tcPr>
          <w:p w:rsidR="00DF17E9" w:rsidRPr="007C3146" w:rsidRDefault="00DF17E9" w:rsidP="00044843">
            <w:r w:rsidRPr="007C3146">
              <w:rPr>
                <w:color w:val="000000"/>
              </w:rPr>
              <w:t>6</w:t>
            </w:r>
          </w:p>
        </w:tc>
        <w:tc>
          <w:tcPr>
            <w:tcW w:w="811" w:type="dxa"/>
            <w:tcBorders>
              <w:top w:val="single" w:sz="12"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w:t>
            </w:r>
          </w:p>
        </w:tc>
        <w:tc>
          <w:tcPr>
            <w:cnfStyle w:val="000010000000" w:firstRow="0" w:lastRow="0" w:firstColumn="0" w:lastColumn="0" w:oddVBand="1" w:evenVBand="0" w:oddHBand="0" w:evenHBand="0" w:firstRowFirstColumn="0" w:firstRowLastColumn="0" w:lastRowFirstColumn="0" w:lastRowLastColumn="0"/>
            <w:tcW w:w="811" w:type="dxa"/>
            <w:tcBorders>
              <w:top w:val="single" w:sz="12" w:space="0" w:color="auto"/>
              <w:bottom w:val="nil"/>
            </w:tcBorders>
          </w:tcPr>
          <w:p w:rsidR="00DF17E9" w:rsidRPr="007C3146" w:rsidRDefault="00DF17E9" w:rsidP="00044843">
            <w:r w:rsidRPr="007C3146">
              <w:rPr>
                <w:color w:val="000000"/>
              </w:rPr>
              <w:t>25</w:t>
            </w:r>
          </w:p>
        </w:tc>
        <w:tc>
          <w:tcPr>
            <w:tcW w:w="811" w:type="dxa"/>
            <w:tcBorders>
              <w:top w:val="single" w:sz="12"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540</w:t>
            </w:r>
          </w:p>
        </w:tc>
        <w:tc>
          <w:tcPr>
            <w:cnfStyle w:val="000010000000" w:firstRow="0" w:lastRow="0" w:firstColumn="0" w:lastColumn="0" w:oddVBand="1" w:evenVBand="0" w:oddHBand="0" w:evenHBand="0" w:firstRowFirstColumn="0" w:firstRowLastColumn="0" w:lastRowFirstColumn="0" w:lastRowLastColumn="0"/>
            <w:tcW w:w="811" w:type="dxa"/>
            <w:tcBorders>
              <w:top w:val="single" w:sz="12" w:space="0" w:color="auto"/>
              <w:bottom w:val="nil"/>
            </w:tcBorders>
          </w:tcPr>
          <w:p w:rsidR="00DF17E9" w:rsidRPr="007C3146" w:rsidRDefault="00DF17E9" w:rsidP="00044843">
            <w:r w:rsidRPr="007C3146">
              <w:rPr>
                <w:color w:val="000000"/>
              </w:rPr>
              <w:t>31</w:t>
            </w:r>
          </w:p>
        </w:tc>
        <w:tc>
          <w:tcPr>
            <w:tcW w:w="811" w:type="dxa"/>
            <w:tcBorders>
              <w:top w:val="single" w:sz="12"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545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rsidR="00DF17E9" w:rsidRPr="007C3146" w:rsidRDefault="00DF17E9" w:rsidP="00044843">
            <w:pPr>
              <w:ind w:left="113" w:hanging="113"/>
              <w:rPr>
                <w:color w:val="000000"/>
              </w:rPr>
            </w:pPr>
            <w:r w:rsidRPr="007C3146">
              <w:rPr>
                <w:color w:val="000000"/>
              </w:rPr>
              <w:t>Dividends received from associate during the year</w:t>
            </w:r>
          </w:p>
        </w:tc>
        <w:tc>
          <w:tcPr>
            <w:cnfStyle w:val="000010000000" w:firstRow="0" w:lastRow="0" w:firstColumn="0" w:lastColumn="0" w:oddVBand="1" w:evenVBand="0" w:oddHBand="0" w:evenHBand="0" w:firstRowFirstColumn="0" w:firstRowLastColumn="0" w:lastRowFirstColumn="0" w:lastRowLastColumn="0"/>
            <w:tcW w:w="809" w:type="dxa"/>
            <w:tcBorders>
              <w:bottom w:val="single" w:sz="6" w:space="0" w:color="auto"/>
            </w:tcBorders>
          </w:tcPr>
          <w:p w:rsidR="00DF17E9" w:rsidRPr="007C3146" w:rsidRDefault="00DF17E9" w:rsidP="00044843">
            <w:pPr>
              <w:rPr>
                <w:color w:val="000000"/>
              </w:rPr>
            </w:pPr>
            <w:r w:rsidRPr="007C3146">
              <w:rPr>
                <w:b/>
                <w:color w:val="000000"/>
              </w:rPr>
              <w:t>..</w:t>
            </w:r>
          </w:p>
        </w:tc>
        <w:tc>
          <w:tcPr>
            <w:tcW w:w="809"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pPr>
              <w:rPr>
                <w:color w:val="000000"/>
              </w:rPr>
            </w:pPr>
            <w:r w:rsidRPr="007C3146">
              <w:rPr>
                <w:color w:val="000000"/>
              </w:rPr>
              <w:t>..</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color w:val="000000"/>
              </w:rPr>
              <w:t>(52)</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(45)</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7C3146" w:rsidRDefault="00DF17E9" w:rsidP="00044843">
            <w:r w:rsidRPr="007C3146">
              <w:rPr>
                <w:color w:val="000000"/>
              </w:rPr>
              <w:t>(52)</w:t>
            </w:r>
          </w:p>
        </w:tc>
        <w:tc>
          <w:tcPr>
            <w:tcW w:w="81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tcPr>
          <w:p w:rsidR="00DF17E9" w:rsidRPr="007C3146" w:rsidRDefault="00DF17E9" w:rsidP="00044843">
            <w:pPr>
              <w:ind w:left="113" w:hanging="113"/>
              <w:rPr>
                <w:color w:val="000000"/>
              </w:rPr>
            </w:pPr>
            <w:r w:rsidRPr="007C3146">
              <w:rPr>
                <w:b/>
                <w:color w:val="000000"/>
              </w:rPr>
              <w:t>Total comprehensive income</w:t>
            </w:r>
          </w:p>
        </w:tc>
        <w:tc>
          <w:tcPr>
            <w:cnfStyle w:val="000010000000" w:firstRow="0" w:lastRow="0" w:firstColumn="0" w:lastColumn="0" w:oddVBand="1" w:evenVBand="0" w:oddHBand="0" w:evenHBand="0" w:firstRowFirstColumn="0" w:firstRowLastColumn="0" w:lastRowFirstColumn="0" w:lastRowLastColumn="0"/>
            <w:tcW w:w="809"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w:t>
            </w:r>
          </w:p>
        </w:tc>
        <w:tc>
          <w:tcPr>
            <w:tcW w:w="809"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2</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1</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(104)</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465</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7C3146" w:rsidRDefault="00DF17E9" w:rsidP="00044843">
            <w:r w:rsidRPr="007C3146">
              <w:rPr>
                <w:b/>
                <w:color w:val="000000"/>
              </w:rPr>
              <w:t>(103)</w:t>
            </w:r>
          </w:p>
        </w:tc>
        <w:tc>
          <w:tcPr>
            <w:tcW w:w="81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466</w:t>
            </w:r>
          </w:p>
        </w:tc>
      </w:tr>
    </w:tbl>
    <w:p w:rsidR="00DF17E9" w:rsidRPr="000668A2" w:rsidRDefault="00DF17E9" w:rsidP="00044843">
      <w:pPr>
        <w:pStyle w:val="Notes"/>
        <w:rPr>
          <w:rStyle w:val="TableUnitsChar"/>
          <w:szCs w:val="16"/>
        </w:rPr>
      </w:pPr>
      <w:r w:rsidRPr="000668A2">
        <w:rPr>
          <w:rStyle w:val="TableUnitsChar"/>
          <w:szCs w:val="16"/>
        </w:rPr>
        <w:t>Note:</w:t>
      </w:r>
    </w:p>
    <w:p w:rsidR="00DF17E9" w:rsidRPr="00326CBB" w:rsidRDefault="00DF17E9" w:rsidP="00044843">
      <w:pPr>
        <w:pStyle w:val="Notes"/>
        <w:numPr>
          <w:ilvl w:val="0"/>
          <w:numId w:val="26"/>
        </w:numPr>
        <w:rPr>
          <w:rStyle w:val="TableUnitsChar"/>
        </w:rPr>
      </w:pPr>
      <w:r w:rsidRPr="00326CBB">
        <w:rPr>
          <w:rStyle w:val="TableUnitsChar"/>
        </w:rPr>
        <w:t>June 2015 comparative figures have been restated to reflect more current information.</w:t>
      </w:r>
    </w:p>
    <w:p w:rsidR="00DF17E9" w:rsidRPr="00C5186E" w:rsidRDefault="00DF17E9" w:rsidP="00651946"/>
    <w:p w:rsidR="00DF17E9" w:rsidRPr="00470389" w:rsidRDefault="00DF17E9" w:rsidP="00044843">
      <w:pPr>
        <w:pStyle w:val="Heading3"/>
        <w:tabs>
          <w:tab w:val="right" w:pos="14742"/>
        </w:tabs>
        <w:sectPr w:rsidR="00DF17E9" w:rsidRPr="00470389" w:rsidSect="00CD6F54">
          <w:type w:val="continuous"/>
          <w:pgSz w:w="11906" w:h="16838" w:code="9"/>
          <w:pgMar w:top="1134" w:right="1134" w:bottom="1134" w:left="1134" w:header="624" w:footer="567" w:gutter="0"/>
          <w:cols w:space="708"/>
          <w:docGrid w:linePitch="360"/>
        </w:sectPr>
      </w:pPr>
    </w:p>
    <w:p w:rsidR="00DF17E9" w:rsidRDefault="00DF17E9" w:rsidP="00044843">
      <w:pPr>
        <w:pStyle w:val="Heading3"/>
        <w:tabs>
          <w:tab w:val="right" w:pos="14742"/>
        </w:tabs>
      </w:pPr>
      <w:r w:rsidRPr="00470389">
        <w:lastRenderedPageBreak/>
        <w:t>Joint operations</w:t>
      </w:r>
    </w:p>
    <w:p w:rsidR="00DF17E9" w:rsidRDefault="00DF17E9" w:rsidP="00044843">
      <w:r>
        <w:t xml:space="preserve">The State </w:t>
      </w:r>
      <w:r w:rsidRPr="00D26FA7">
        <w:t>recognises</w:t>
      </w:r>
      <w:r>
        <w:t>, in its financial statements:</w:t>
      </w:r>
      <w:r w:rsidRPr="00D26FA7">
        <w:t xml:space="preserve"> </w:t>
      </w:r>
    </w:p>
    <w:p w:rsidR="00DF17E9" w:rsidRPr="00131A53" w:rsidRDefault="00DF17E9" w:rsidP="00044843">
      <w:pPr>
        <w:pStyle w:val="ListBullet"/>
      </w:pPr>
      <w:r w:rsidRPr="00131A53">
        <w:t xml:space="preserve">its direct right to the assets, liabilities, revenues and expenses; and </w:t>
      </w:r>
    </w:p>
    <w:p w:rsidR="00DF17E9" w:rsidRDefault="00DF17E9" w:rsidP="00044843">
      <w:pPr>
        <w:pStyle w:val="ListBullet"/>
      </w:pPr>
      <w:r w:rsidRPr="00131A53">
        <w:t>its share of any jointly held or incurred assets, lia</w:t>
      </w:r>
      <w:r>
        <w:t>bilities, revenues and expenses.</w:t>
      </w:r>
    </w:p>
    <w:p w:rsidR="00DF17E9" w:rsidRDefault="00DF17E9" w:rsidP="004115D7">
      <w:r>
        <w:t xml:space="preserve">The State has classified the following arrangements as joint operations, based on the rights and obligations of each investor to the arrangement. </w:t>
      </w:r>
    </w:p>
    <w:p w:rsidR="00DF17E9" w:rsidRPr="00CD23EE" w:rsidRDefault="00DF17E9" w:rsidP="00336F0B">
      <w:pPr>
        <w:pStyle w:val="Subheadingunderline"/>
        <w:pBdr>
          <w:bottom w:val="none" w:sz="0" w:space="0" w:color="auto"/>
        </w:pBdr>
        <w:spacing w:before="240"/>
      </w:pPr>
      <w:r w:rsidRPr="00CD23EE">
        <w:lastRenderedPageBreak/>
        <w:t>Royal Melbourne Showgrounds</w:t>
      </w:r>
    </w:p>
    <w:p w:rsidR="00DF17E9" w:rsidRDefault="00DF17E9" w:rsidP="004115D7">
      <w:r>
        <w:t>The State entered into a joint venture agreement with the Royal Agricultural Society of Victoria in October 2003 to redevelop t</w:t>
      </w:r>
      <w:r w:rsidR="00336F0B">
        <w:t>he Royal Melbourne Showgrounds.</w:t>
      </w:r>
    </w:p>
    <w:p w:rsidR="00DF17E9" w:rsidRDefault="00DF17E9" w:rsidP="004115D7">
      <w:r w:rsidRPr="00746EBD">
        <w:t>The State of Victoria’s interest in the unincorporated joint venture at 30 June 2016 was</w:t>
      </w:r>
      <w:r w:rsidR="00336F0B">
        <w:t> </w:t>
      </w:r>
      <w:r w:rsidRPr="00746EBD">
        <w:t>50.0 per cent (50.0 per cent in 2015).</w:t>
      </w:r>
      <w:r>
        <w:t xml:space="preserve"> </w:t>
      </w:r>
    </w:p>
    <w:p w:rsidR="00DF17E9" w:rsidRDefault="00DF17E9">
      <w:pPr>
        <w:rPr>
          <w:rFonts w:asciiTheme="majorHAnsi" w:hAnsiTheme="majorHAnsi"/>
          <w:b/>
          <w:spacing w:val="-2"/>
        </w:rPr>
      </w:pPr>
      <w:r>
        <w:br w:type="page"/>
      </w:r>
    </w:p>
    <w:p w:rsidR="00DF17E9" w:rsidRPr="00CD23EE" w:rsidRDefault="00DF17E9" w:rsidP="00044843">
      <w:pPr>
        <w:pStyle w:val="Subheadingunderline"/>
        <w:pBdr>
          <w:bottom w:val="none" w:sz="0" w:space="0" w:color="auto"/>
        </w:pBdr>
      </w:pPr>
      <w:r w:rsidRPr="00CD23EE">
        <w:lastRenderedPageBreak/>
        <w:t>AgriBio Project</w:t>
      </w:r>
    </w:p>
    <w:p w:rsidR="00DF17E9" w:rsidRDefault="00DF17E9" w:rsidP="004115D7">
      <w:r>
        <w:t xml:space="preserve">In April 2008, the State entered into a joint venture agreement with La Trobe University to establish a world class research facility on the university’s campus in Bundoora. </w:t>
      </w:r>
    </w:p>
    <w:p w:rsidR="00DF17E9" w:rsidRDefault="00DF17E9" w:rsidP="004115D7">
      <w:r>
        <w:t xml:space="preserve">The State of Victoria’s interest in the unincorporated joint venture at 30 June 2016 was </w:t>
      </w:r>
      <w:r w:rsidRPr="00746EBD">
        <w:t>75.0 per cent (75.0 per cent in 2015).</w:t>
      </w:r>
    </w:p>
    <w:p w:rsidR="00DF17E9" w:rsidRPr="00CD23EE" w:rsidRDefault="00DF17E9" w:rsidP="00044843">
      <w:pPr>
        <w:pStyle w:val="Subheadingunderline"/>
        <w:pBdr>
          <w:bottom w:val="none" w:sz="0" w:space="0" w:color="auto"/>
        </w:pBdr>
      </w:pPr>
      <w:r w:rsidRPr="00CD23EE">
        <w:t>Murray Darling Basin Authority</w:t>
      </w:r>
    </w:p>
    <w:p w:rsidR="00DF17E9" w:rsidRDefault="00DF17E9" w:rsidP="00044843">
      <w:r>
        <w:t>The Commonwealth and the basin states – New South Wales, Victoria, Queensland, South Australia and the Australian Capital Territory – entered into the Intergovernmental agreement for the Murray</w:t>
      </w:r>
      <w:r>
        <w:noBreakHyphen/>
        <w:t xml:space="preserve">Darling Basin Reform. The Murray Darling Basin Authority (MDBA) was created by the </w:t>
      </w:r>
      <w:r w:rsidRPr="006E1F9A">
        <w:rPr>
          <w:i/>
        </w:rPr>
        <w:t>Water Act 2007</w:t>
      </w:r>
      <w:r>
        <w:t xml:space="preserve"> (Cth) and was established on 3 July 2008, and the participants have a joint interest in the infrastructure assets and water rights.</w:t>
      </w:r>
    </w:p>
    <w:p w:rsidR="00DF17E9" w:rsidRDefault="00336F0B" w:rsidP="00044843">
      <w:r>
        <w:br w:type="column"/>
      </w:r>
      <w:r w:rsidR="00DF17E9">
        <w:lastRenderedPageBreak/>
        <w:t>The MDBA undertakes activities that support the sustainable and integrated management of the water resources of the Murray-Darling Basin in a way that best meets the social, economic and environmental needs of the Basin and its communities.</w:t>
      </w:r>
    </w:p>
    <w:p w:rsidR="00336F0B" w:rsidRDefault="00DF17E9" w:rsidP="00CD23EE">
      <w:pPr>
        <w:pStyle w:val="BodyText"/>
      </w:pPr>
      <w:r>
        <w:t xml:space="preserve">The share in the individually controlled assets was transferred at transition in the original proportions of the share of the entity held by the individual jurisdictions as follows: </w:t>
      </w:r>
    </w:p>
    <w:p w:rsidR="00336F0B" w:rsidRDefault="00DF17E9" w:rsidP="00336F0B">
      <w:pPr>
        <w:pStyle w:val="ListBullet"/>
      </w:pPr>
      <w:r>
        <w:t>New South Wales</w:t>
      </w:r>
      <w:r w:rsidR="00336F0B">
        <w:t>:</w:t>
      </w:r>
      <w:r>
        <w:t xml:space="preserve"> 26.7 per cent; </w:t>
      </w:r>
    </w:p>
    <w:p w:rsidR="00336F0B" w:rsidRDefault="00DF17E9" w:rsidP="00336F0B">
      <w:pPr>
        <w:pStyle w:val="ListBullet"/>
      </w:pPr>
      <w:r>
        <w:t>South Australia</w:t>
      </w:r>
      <w:r w:rsidR="00336F0B">
        <w:t>:</w:t>
      </w:r>
      <w:r>
        <w:t xml:space="preserve"> 26.7 per cent; </w:t>
      </w:r>
    </w:p>
    <w:p w:rsidR="00336F0B" w:rsidRDefault="00DF17E9" w:rsidP="00336F0B">
      <w:pPr>
        <w:pStyle w:val="ListBullet"/>
      </w:pPr>
      <w:r>
        <w:t>Victoria</w:t>
      </w:r>
      <w:r w:rsidR="00336F0B">
        <w:t>:</w:t>
      </w:r>
      <w:r>
        <w:t xml:space="preserve"> 26.7 per cent; </w:t>
      </w:r>
      <w:r w:rsidR="00336F0B">
        <w:t>and</w:t>
      </w:r>
    </w:p>
    <w:p w:rsidR="00DF17E9" w:rsidRDefault="00DF17E9" w:rsidP="00336F0B">
      <w:pPr>
        <w:pStyle w:val="ListBullet"/>
      </w:pPr>
      <w:r>
        <w:t>the Commonwealth government</w:t>
      </w:r>
      <w:r w:rsidR="00336F0B">
        <w:t>:</w:t>
      </w:r>
      <w:r>
        <w:t xml:space="preserve"> 20.0 per cent.</w:t>
      </w:r>
    </w:p>
    <w:p w:rsidR="00DF17E9" w:rsidRDefault="00DF17E9" w:rsidP="005852CA">
      <w:pPr>
        <w:pStyle w:val="BodyText"/>
      </w:pPr>
    </w:p>
    <w:bookmarkEnd w:id="36"/>
    <w:p w:rsidR="00DF17E9" w:rsidRDefault="00DF17E9" w:rsidP="005852CA">
      <w:pPr>
        <w:pStyle w:val="BodyText"/>
      </w:pPr>
    </w:p>
    <w:p w:rsidR="00DF17E9" w:rsidRDefault="00DF17E9" w:rsidP="00651946">
      <w:pPr>
        <w:pStyle w:val="Subheadingunderline"/>
        <w:sectPr w:rsidR="00DF17E9" w:rsidSect="004115D7">
          <w:type w:val="continuous"/>
          <w:pgSz w:w="11906" w:h="16838" w:code="9"/>
          <w:pgMar w:top="1134" w:right="1134" w:bottom="1134" w:left="1134" w:header="624" w:footer="567" w:gutter="0"/>
          <w:cols w:num="2" w:space="708"/>
          <w:docGrid w:linePitch="360"/>
        </w:sectPr>
      </w:pPr>
    </w:p>
    <w:p w:rsidR="00DF17E9" w:rsidRDefault="00DF17E9" w:rsidP="00651946">
      <w:pPr>
        <w:pStyle w:val="Heading1"/>
      </w:pPr>
      <w:bookmarkStart w:id="41" w:name="_Toc462865843"/>
      <w:r>
        <w:lastRenderedPageBreak/>
        <w:t>Financing state</w:t>
      </w:r>
      <w:r w:rsidRPr="00651946">
        <w:t xml:space="preserve"> operations</w:t>
      </w:r>
      <w:bookmarkEnd w:id="41"/>
    </w:p>
    <w:p w:rsidR="00DF17E9" w:rsidRDefault="00DF17E9">
      <w:pPr>
        <w:sectPr w:rsidR="00DF17E9" w:rsidSect="00651946">
          <w:headerReference w:type="even" r:id="rId147"/>
          <w:headerReference w:type="default" r:id="rId148"/>
          <w:pgSz w:w="11906" w:h="16838" w:code="9"/>
          <w:pgMar w:top="1134" w:right="1134" w:bottom="1134" w:left="1134" w:header="624" w:footer="567" w:gutter="0"/>
          <w:cols w:space="708"/>
          <w:docGrid w:linePitch="360"/>
        </w:sectPr>
      </w:pPr>
    </w:p>
    <w:p w:rsidR="00DF17E9" w:rsidRPr="00EB7449" w:rsidRDefault="00DF17E9" w:rsidP="00044843">
      <w:pPr>
        <w:pStyle w:val="Subheadingunderline"/>
      </w:pPr>
      <w:bookmarkStart w:id="42" w:name="Section_05"/>
      <w:r w:rsidRPr="0037400C">
        <w:lastRenderedPageBreak/>
        <w:t>Introduction</w:t>
      </w:r>
      <w:r w:rsidRPr="00EB7449">
        <w:t xml:space="preserve"> </w:t>
      </w:r>
    </w:p>
    <w:p w:rsidR="00DF17E9" w:rsidRDefault="00DF17E9" w:rsidP="00220E35">
      <w:pPr>
        <w:pStyle w:val="BodyText"/>
      </w:pPr>
      <w:r>
        <w:t>State</w:t>
      </w:r>
      <w:r w:rsidRPr="00EB49EC">
        <w:t xml:space="preserve"> operations are financed through a variety of means. Recurrent operations are generally financed from cash flows from operating activities (see </w:t>
      </w:r>
      <w:r>
        <w:t xml:space="preserve">consolidated cash flow statement </w:t>
      </w:r>
      <w:r w:rsidRPr="00EB49EC">
        <w:t xml:space="preserve">). Asset investment operations are </w:t>
      </w:r>
      <w:r>
        <w:t xml:space="preserve">generally </w:t>
      </w:r>
      <w:r w:rsidRPr="00EB49EC">
        <w:t>financed from a combination of surplus cash flows from operating activities, asset sales</w:t>
      </w:r>
      <w:r>
        <w:t xml:space="preserve">, advances </w:t>
      </w:r>
      <w:r w:rsidRPr="00EB49EC">
        <w:t>and borrowings.</w:t>
      </w:r>
    </w:p>
    <w:p w:rsidR="00DF17E9" w:rsidRDefault="00DF17E9" w:rsidP="00044843">
      <w:pPr>
        <w:pStyle w:val="BodyText"/>
      </w:pPr>
      <w:r w:rsidRPr="00220E35">
        <w:t xml:space="preserve">This section provides information on </w:t>
      </w:r>
      <w:r>
        <w:t>the balances related to the financing of the</w:t>
      </w:r>
      <w:r w:rsidRPr="00220E35">
        <w:t xml:space="preserve"> State </w:t>
      </w:r>
      <w:r>
        <w:t>and general government sector’s operations, including financial commitments at year-end.</w:t>
      </w:r>
    </w:p>
    <w:p w:rsidR="00DF17E9" w:rsidRPr="00EB7449" w:rsidRDefault="00DF17E9" w:rsidP="00044843">
      <w:pPr>
        <w:pStyle w:val="Subheadingunderline"/>
      </w:pPr>
      <w:r>
        <w:br w:type="column"/>
      </w:r>
      <w:r w:rsidRPr="0037400C">
        <w:lastRenderedPageBreak/>
        <w:t>Structure</w:t>
      </w:r>
    </w:p>
    <w:p w:rsidR="00DF17E9" w:rsidRDefault="00DF17E9">
      <w:pPr>
        <w:pStyle w:val="TOC9"/>
        <w:rPr>
          <w:rFonts w:eastAsiaTheme="minorEastAsia"/>
          <w:noProof/>
          <w:sz w:val="22"/>
          <w:lang w:eastAsia="en-AU"/>
        </w:rPr>
      </w:pPr>
      <w:r>
        <w:rPr>
          <w:b/>
          <w:noProof/>
        </w:rPr>
        <w:fldChar w:fldCharType="begin"/>
      </w:r>
      <w:r>
        <w:rPr>
          <w:b/>
          <w:noProof/>
        </w:rPr>
        <w:instrText xml:space="preserve"> TOC \h \z \t "Heading 2,9 " \b Section_05 </w:instrText>
      </w:r>
      <w:r>
        <w:rPr>
          <w:b/>
          <w:noProof/>
        </w:rPr>
        <w:fldChar w:fldCharType="separate"/>
      </w:r>
      <w:hyperlink w:anchor="_Toc459976374" w:history="1">
        <w:r w:rsidRPr="00FB1DAB">
          <w:rPr>
            <w:rStyle w:val="Hyperlink"/>
            <w:noProof/>
            <w:lang w:val="en-US"/>
            <w14:scene3d>
              <w14:camera w14:prst="orthographicFront"/>
              <w14:lightRig w14:rig="threePt" w14:dir="t">
                <w14:rot w14:lat="0" w14:lon="0" w14:rev="0"/>
              </w14:lightRig>
            </w14:scene3d>
          </w:rPr>
          <w:t>5.1</w:t>
        </w:r>
        <w:r>
          <w:rPr>
            <w:rFonts w:eastAsiaTheme="minorEastAsia"/>
            <w:noProof/>
            <w:sz w:val="22"/>
            <w:lang w:eastAsia="en-AU"/>
          </w:rPr>
          <w:tab/>
        </w:r>
        <w:r w:rsidRPr="00FB1DAB">
          <w:rPr>
            <w:rStyle w:val="Hyperlink"/>
            <w:noProof/>
          </w:rPr>
          <w:t>Borrowings</w:t>
        </w:r>
        <w:r>
          <w:rPr>
            <w:noProof/>
            <w:webHidden/>
          </w:rPr>
          <w:tab/>
        </w:r>
        <w:r>
          <w:rPr>
            <w:noProof/>
            <w:webHidden/>
          </w:rPr>
          <w:fldChar w:fldCharType="begin"/>
        </w:r>
        <w:r>
          <w:rPr>
            <w:noProof/>
            <w:webHidden/>
          </w:rPr>
          <w:instrText xml:space="preserve"> PAGEREF _Toc459976374 \h </w:instrText>
        </w:r>
        <w:r>
          <w:rPr>
            <w:noProof/>
            <w:webHidden/>
          </w:rPr>
        </w:r>
        <w:r>
          <w:rPr>
            <w:noProof/>
            <w:webHidden/>
          </w:rPr>
          <w:fldChar w:fldCharType="separate"/>
        </w:r>
        <w:r w:rsidR="00E3704D">
          <w:rPr>
            <w:noProof/>
            <w:webHidden/>
          </w:rPr>
          <w:t>61</w:t>
        </w:r>
        <w:r>
          <w:rPr>
            <w:noProof/>
            <w:webHidden/>
          </w:rPr>
          <w:fldChar w:fldCharType="end"/>
        </w:r>
      </w:hyperlink>
    </w:p>
    <w:p w:rsidR="00DF17E9" w:rsidRDefault="003A3C3D">
      <w:pPr>
        <w:pStyle w:val="TOC9"/>
        <w:rPr>
          <w:rFonts w:eastAsiaTheme="minorEastAsia"/>
          <w:noProof/>
          <w:sz w:val="22"/>
          <w:lang w:eastAsia="en-AU"/>
        </w:rPr>
      </w:pPr>
      <w:hyperlink w:anchor="_Toc459976375" w:history="1">
        <w:r w:rsidR="00DF17E9" w:rsidRPr="00FB1DAB">
          <w:rPr>
            <w:rStyle w:val="Hyperlink"/>
            <w:noProof/>
            <w14:scene3d>
              <w14:camera w14:prst="orthographicFront"/>
              <w14:lightRig w14:rig="threePt" w14:dir="t">
                <w14:rot w14:lat="0" w14:lon="0" w14:rev="0"/>
              </w14:lightRig>
            </w14:scene3d>
          </w:rPr>
          <w:t>5.2</w:t>
        </w:r>
        <w:r w:rsidR="00DF17E9">
          <w:rPr>
            <w:rFonts w:eastAsiaTheme="minorEastAsia"/>
            <w:noProof/>
            <w:sz w:val="22"/>
            <w:lang w:eastAsia="en-AU"/>
          </w:rPr>
          <w:tab/>
        </w:r>
        <w:r w:rsidR="00DF17E9" w:rsidRPr="00FB1DAB">
          <w:rPr>
            <w:rStyle w:val="Hyperlink"/>
            <w:noProof/>
          </w:rPr>
          <w:t>Deposits held and advances received</w:t>
        </w:r>
        <w:r w:rsidR="00DF17E9">
          <w:rPr>
            <w:noProof/>
            <w:webHidden/>
          </w:rPr>
          <w:tab/>
        </w:r>
        <w:r w:rsidR="00DF17E9">
          <w:rPr>
            <w:noProof/>
            <w:webHidden/>
          </w:rPr>
          <w:fldChar w:fldCharType="begin"/>
        </w:r>
        <w:r w:rsidR="00DF17E9">
          <w:rPr>
            <w:noProof/>
            <w:webHidden/>
          </w:rPr>
          <w:instrText xml:space="preserve"> PAGEREF _Toc459976375 \h </w:instrText>
        </w:r>
        <w:r w:rsidR="00DF17E9">
          <w:rPr>
            <w:noProof/>
            <w:webHidden/>
          </w:rPr>
        </w:r>
        <w:r w:rsidR="00DF17E9">
          <w:rPr>
            <w:noProof/>
            <w:webHidden/>
          </w:rPr>
          <w:fldChar w:fldCharType="separate"/>
        </w:r>
        <w:r w:rsidR="00E3704D">
          <w:rPr>
            <w:noProof/>
            <w:webHidden/>
          </w:rPr>
          <w:t>62</w:t>
        </w:r>
        <w:r w:rsidR="00DF17E9">
          <w:rPr>
            <w:noProof/>
            <w:webHidden/>
          </w:rPr>
          <w:fldChar w:fldCharType="end"/>
        </w:r>
      </w:hyperlink>
    </w:p>
    <w:p w:rsidR="00DF17E9" w:rsidRDefault="003A3C3D">
      <w:pPr>
        <w:pStyle w:val="TOC9"/>
        <w:rPr>
          <w:rFonts w:eastAsiaTheme="minorEastAsia"/>
          <w:noProof/>
          <w:sz w:val="22"/>
          <w:lang w:eastAsia="en-AU"/>
        </w:rPr>
      </w:pPr>
      <w:hyperlink w:anchor="_Toc459976376" w:history="1">
        <w:r w:rsidR="00DF17E9" w:rsidRPr="00FB1DAB">
          <w:rPr>
            <w:rStyle w:val="Hyperlink"/>
            <w:noProof/>
            <w14:scene3d>
              <w14:camera w14:prst="orthographicFront"/>
              <w14:lightRig w14:rig="threePt" w14:dir="t">
                <w14:rot w14:lat="0" w14:lon="0" w14:rev="0"/>
              </w14:lightRig>
            </w14:scene3d>
          </w:rPr>
          <w:t>5.3</w:t>
        </w:r>
        <w:r w:rsidR="00DF17E9">
          <w:rPr>
            <w:rFonts w:eastAsiaTheme="minorEastAsia"/>
            <w:noProof/>
            <w:sz w:val="22"/>
            <w:lang w:eastAsia="en-AU"/>
          </w:rPr>
          <w:tab/>
        </w:r>
        <w:r w:rsidR="00DF17E9" w:rsidRPr="00FB1DAB">
          <w:rPr>
            <w:rStyle w:val="Hyperlink"/>
            <w:noProof/>
          </w:rPr>
          <w:t>Cash flow information and balances</w:t>
        </w:r>
        <w:r w:rsidR="00DF17E9">
          <w:rPr>
            <w:noProof/>
            <w:webHidden/>
          </w:rPr>
          <w:tab/>
        </w:r>
        <w:r w:rsidR="00DF17E9">
          <w:rPr>
            <w:noProof/>
            <w:webHidden/>
          </w:rPr>
          <w:fldChar w:fldCharType="begin"/>
        </w:r>
        <w:r w:rsidR="00DF17E9">
          <w:rPr>
            <w:noProof/>
            <w:webHidden/>
          </w:rPr>
          <w:instrText xml:space="preserve"> PAGEREF _Toc459976376 \h </w:instrText>
        </w:r>
        <w:r w:rsidR="00DF17E9">
          <w:rPr>
            <w:noProof/>
            <w:webHidden/>
          </w:rPr>
        </w:r>
        <w:r w:rsidR="00DF17E9">
          <w:rPr>
            <w:noProof/>
            <w:webHidden/>
          </w:rPr>
          <w:fldChar w:fldCharType="separate"/>
        </w:r>
        <w:r w:rsidR="00E3704D">
          <w:rPr>
            <w:noProof/>
            <w:webHidden/>
          </w:rPr>
          <w:t>62</w:t>
        </w:r>
        <w:r w:rsidR="00DF17E9">
          <w:rPr>
            <w:noProof/>
            <w:webHidden/>
          </w:rPr>
          <w:fldChar w:fldCharType="end"/>
        </w:r>
      </w:hyperlink>
    </w:p>
    <w:p w:rsidR="00DF17E9" w:rsidRDefault="003A3C3D">
      <w:pPr>
        <w:pStyle w:val="TOC9"/>
        <w:rPr>
          <w:rFonts w:eastAsiaTheme="minorEastAsia"/>
          <w:noProof/>
          <w:sz w:val="22"/>
          <w:lang w:eastAsia="en-AU"/>
        </w:rPr>
      </w:pPr>
      <w:hyperlink w:anchor="_Toc459976377" w:history="1">
        <w:r w:rsidR="00DF17E9" w:rsidRPr="00FB1DAB">
          <w:rPr>
            <w:rStyle w:val="Hyperlink"/>
            <w:noProof/>
            <w:lang w:val="en-US"/>
            <w14:scene3d>
              <w14:camera w14:prst="orthographicFront"/>
              <w14:lightRig w14:rig="threePt" w14:dir="t">
                <w14:rot w14:lat="0" w14:lon="0" w14:rev="0"/>
              </w14:lightRig>
            </w14:scene3d>
          </w:rPr>
          <w:t>5.4</w:t>
        </w:r>
        <w:r w:rsidR="00DF17E9">
          <w:rPr>
            <w:rFonts w:eastAsiaTheme="minorEastAsia"/>
            <w:noProof/>
            <w:sz w:val="22"/>
            <w:lang w:eastAsia="en-AU"/>
          </w:rPr>
          <w:tab/>
        </w:r>
        <w:r w:rsidR="00DF17E9" w:rsidRPr="00FB1DAB">
          <w:rPr>
            <w:rStyle w:val="Hyperlink"/>
            <w:noProof/>
          </w:rPr>
          <w:t>Advances paid and investments, loans and placements</w:t>
        </w:r>
        <w:r w:rsidR="00DF17E9">
          <w:rPr>
            <w:noProof/>
            <w:webHidden/>
          </w:rPr>
          <w:tab/>
        </w:r>
        <w:r w:rsidR="00DF17E9">
          <w:rPr>
            <w:noProof/>
            <w:webHidden/>
          </w:rPr>
          <w:fldChar w:fldCharType="begin"/>
        </w:r>
        <w:r w:rsidR="00DF17E9">
          <w:rPr>
            <w:noProof/>
            <w:webHidden/>
          </w:rPr>
          <w:instrText xml:space="preserve"> PAGEREF _Toc459976377 \h </w:instrText>
        </w:r>
        <w:r w:rsidR="00DF17E9">
          <w:rPr>
            <w:noProof/>
            <w:webHidden/>
          </w:rPr>
        </w:r>
        <w:r w:rsidR="00DF17E9">
          <w:rPr>
            <w:noProof/>
            <w:webHidden/>
          </w:rPr>
          <w:fldChar w:fldCharType="separate"/>
        </w:r>
        <w:r w:rsidR="00E3704D">
          <w:rPr>
            <w:noProof/>
            <w:webHidden/>
          </w:rPr>
          <w:t>64</w:t>
        </w:r>
        <w:r w:rsidR="00DF17E9">
          <w:rPr>
            <w:noProof/>
            <w:webHidden/>
          </w:rPr>
          <w:fldChar w:fldCharType="end"/>
        </w:r>
      </w:hyperlink>
    </w:p>
    <w:p w:rsidR="00DF17E9" w:rsidRDefault="003A3C3D">
      <w:pPr>
        <w:pStyle w:val="TOC9"/>
        <w:rPr>
          <w:rFonts w:eastAsiaTheme="minorEastAsia"/>
          <w:noProof/>
          <w:sz w:val="22"/>
          <w:lang w:eastAsia="en-AU"/>
        </w:rPr>
      </w:pPr>
      <w:hyperlink w:anchor="_Toc459976378" w:history="1">
        <w:r w:rsidR="00DF17E9" w:rsidRPr="00FB1DAB">
          <w:rPr>
            <w:rStyle w:val="Hyperlink"/>
            <w:noProof/>
            <w:lang w:val="en-US"/>
            <w14:scene3d>
              <w14:camera w14:prst="orthographicFront"/>
              <w14:lightRig w14:rig="threePt" w14:dir="t">
                <w14:rot w14:lat="0" w14:lon="0" w14:rev="0"/>
              </w14:lightRig>
            </w14:scene3d>
          </w:rPr>
          <w:t>5.5</w:t>
        </w:r>
        <w:r w:rsidR="00DF17E9">
          <w:rPr>
            <w:rFonts w:eastAsiaTheme="minorEastAsia"/>
            <w:noProof/>
            <w:sz w:val="22"/>
            <w:lang w:eastAsia="en-AU"/>
          </w:rPr>
          <w:tab/>
        </w:r>
        <w:r w:rsidR="00DF17E9" w:rsidRPr="00FB1DAB">
          <w:rPr>
            <w:rStyle w:val="Hyperlink"/>
            <w:noProof/>
          </w:rPr>
          <w:t>Interest expense</w:t>
        </w:r>
        <w:r w:rsidR="00DF17E9">
          <w:rPr>
            <w:noProof/>
            <w:webHidden/>
          </w:rPr>
          <w:tab/>
        </w:r>
        <w:r w:rsidR="00DF17E9">
          <w:rPr>
            <w:noProof/>
            <w:webHidden/>
          </w:rPr>
          <w:fldChar w:fldCharType="begin"/>
        </w:r>
        <w:r w:rsidR="00DF17E9">
          <w:rPr>
            <w:noProof/>
            <w:webHidden/>
          </w:rPr>
          <w:instrText xml:space="preserve"> PAGEREF _Toc459976378 \h </w:instrText>
        </w:r>
        <w:r w:rsidR="00DF17E9">
          <w:rPr>
            <w:noProof/>
            <w:webHidden/>
          </w:rPr>
        </w:r>
        <w:r w:rsidR="00DF17E9">
          <w:rPr>
            <w:noProof/>
            <w:webHidden/>
          </w:rPr>
          <w:fldChar w:fldCharType="separate"/>
        </w:r>
        <w:r w:rsidR="00E3704D">
          <w:rPr>
            <w:noProof/>
            <w:webHidden/>
          </w:rPr>
          <w:t>64</w:t>
        </w:r>
        <w:r w:rsidR="00DF17E9">
          <w:rPr>
            <w:noProof/>
            <w:webHidden/>
          </w:rPr>
          <w:fldChar w:fldCharType="end"/>
        </w:r>
      </w:hyperlink>
    </w:p>
    <w:p w:rsidR="00DF17E9" w:rsidRDefault="003A3C3D">
      <w:pPr>
        <w:pStyle w:val="TOC9"/>
        <w:rPr>
          <w:rFonts w:eastAsiaTheme="minorEastAsia"/>
          <w:noProof/>
          <w:sz w:val="22"/>
          <w:lang w:eastAsia="en-AU"/>
        </w:rPr>
      </w:pPr>
      <w:hyperlink w:anchor="_Toc459976379" w:history="1">
        <w:r w:rsidR="00DF17E9" w:rsidRPr="00FB1DAB">
          <w:rPr>
            <w:rStyle w:val="Hyperlink"/>
            <w:noProof/>
            <w14:scene3d>
              <w14:camera w14:prst="orthographicFront"/>
              <w14:lightRig w14:rig="threePt" w14:dir="t">
                <w14:rot w14:lat="0" w14:lon="0" w14:rev="0"/>
              </w14:lightRig>
            </w14:scene3d>
          </w:rPr>
          <w:t>5.6</w:t>
        </w:r>
        <w:r w:rsidR="00DF17E9">
          <w:rPr>
            <w:rFonts w:eastAsiaTheme="minorEastAsia"/>
            <w:noProof/>
            <w:sz w:val="22"/>
            <w:lang w:eastAsia="en-AU"/>
          </w:rPr>
          <w:tab/>
        </w:r>
        <w:r w:rsidR="00DF17E9" w:rsidRPr="00FB1DAB">
          <w:rPr>
            <w:rStyle w:val="Hyperlink"/>
            <w:noProof/>
          </w:rPr>
          <w:t>Public private partnership (service concession arrangements)</w:t>
        </w:r>
        <w:r w:rsidR="00DF17E9">
          <w:rPr>
            <w:noProof/>
            <w:webHidden/>
          </w:rPr>
          <w:tab/>
        </w:r>
        <w:r w:rsidR="00DF17E9">
          <w:rPr>
            <w:noProof/>
            <w:webHidden/>
          </w:rPr>
          <w:fldChar w:fldCharType="begin"/>
        </w:r>
        <w:r w:rsidR="00DF17E9">
          <w:rPr>
            <w:noProof/>
            <w:webHidden/>
          </w:rPr>
          <w:instrText xml:space="preserve"> PAGEREF _Toc459976379 \h </w:instrText>
        </w:r>
        <w:r w:rsidR="00DF17E9">
          <w:rPr>
            <w:noProof/>
            <w:webHidden/>
          </w:rPr>
        </w:r>
        <w:r w:rsidR="00DF17E9">
          <w:rPr>
            <w:noProof/>
            <w:webHidden/>
          </w:rPr>
          <w:fldChar w:fldCharType="separate"/>
        </w:r>
        <w:r w:rsidR="00E3704D">
          <w:rPr>
            <w:noProof/>
            <w:webHidden/>
          </w:rPr>
          <w:t>65</w:t>
        </w:r>
        <w:r w:rsidR="00DF17E9">
          <w:rPr>
            <w:noProof/>
            <w:webHidden/>
          </w:rPr>
          <w:fldChar w:fldCharType="end"/>
        </w:r>
      </w:hyperlink>
    </w:p>
    <w:p w:rsidR="00DF17E9" w:rsidRDefault="003A3C3D">
      <w:pPr>
        <w:pStyle w:val="TOC9"/>
        <w:rPr>
          <w:rFonts w:eastAsiaTheme="minorEastAsia"/>
          <w:noProof/>
          <w:sz w:val="22"/>
          <w:lang w:eastAsia="en-AU"/>
        </w:rPr>
      </w:pPr>
      <w:hyperlink w:anchor="_Toc459976380" w:history="1">
        <w:r w:rsidR="00DF17E9" w:rsidRPr="00FB1DAB">
          <w:rPr>
            <w:rStyle w:val="Hyperlink"/>
            <w:noProof/>
            <w14:scene3d>
              <w14:camera w14:prst="orthographicFront"/>
              <w14:lightRig w14:rig="threePt" w14:dir="t">
                <w14:rot w14:lat="0" w14:lon="0" w14:rev="0"/>
              </w14:lightRig>
            </w14:scene3d>
          </w:rPr>
          <w:t>5.7</w:t>
        </w:r>
        <w:r w:rsidR="00DF17E9">
          <w:rPr>
            <w:rFonts w:eastAsiaTheme="minorEastAsia"/>
            <w:noProof/>
            <w:sz w:val="22"/>
            <w:lang w:eastAsia="en-AU"/>
          </w:rPr>
          <w:tab/>
        </w:r>
        <w:r w:rsidR="00DF17E9" w:rsidRPr="00FB1DAB">
          <w:rPr>
            <w:rStyle w:val="Hyperlink"/>
            <w:noProof/>
          </w:rPr>
          <w:t>Other commitments</w:t>
        </w:r>
        <w:r w:rsidR="00DF17E9">
          <w:rPr>
            <w:noProof/>
            <w:webHidden/>
          </w:rPr>
          <w:tab/>
        </w:r>
        <w:r w:rsidR="00DF17E9">
          <w:rPr>
            <w:noProof/>
            <w:webHidden/>
          </w:rPr>
          <w:fldChar w:fldCharType="begin"/>
        </w:r>
        <w:r w:rsidR="00DF17E9">
          <w:rPr>
            <w:noProof/>
            <w:webHidden/>
          </w:rPr>
          <w:instrText xml:space="preserve"> PAGEREF _Toc459976380 \h </w:instrText>
        </w:r>
        <w:r w:rsidR="00DF17E9">
          <w:rPr>
            <w:noProof/>
            <w:webHidden/>
          </w:rPr>
        </w:r>
        <w:r w:rsidR="00DF17E9">
          <w:rPr>
            <w:noProof/>
            <w:webHidden/>
          </w:rPr>
          <w:fldChar w:fldCharType="separate"/>
        </w:r>
        <w:r w:rsidR="00E3704D">
          <w:rPr>
            <w:noProof/>
            <w:webHidden/>
          </w:rPr>
          <w:t>68</w:t>
        </w:r>
        <w:r w:rsidR="00DF17E9">
          <w:rPr>
            <w:noProof/>
            <w:webHidden/>
          </w:rPr>
          <w:fldChar w:fldCharType="end"/>
        </w:r>
      </w:hyperlink>
    </w:p>
    <w:p w:rsidR="00DF17E9" w:rsidRDefault="00DF17E9" w:rsidP="00BD3BEA">
      <w:pPr>
        <w:pStyle w:val="TOC9"/>
      </w:pPr>
      <w:r>
        <w:rPr>
          <w:b/>
          <w:noProof/>
          <w:spacing w:val="-2"/>
          <w:szCs w:val="19"/>
        </w:rPr>
        <w:fldChar w:fldCharType="end"/>
      </w:r>
    </w:p>
    <w:p w:rsidR="00DF17E9" w:rsidRDefault="00DF17E9" w:rsidP="00044843">
      <w:pPr>
        <w:pBdr>
          <w:bottom w:val="single" w:sz="4" w:space="1" w:color="0063A6" w:themeColor="accent1"/>
        </w:pBdr>
        <w:sectPr w:rsidR="00DF17E9" w:rsidSect="00651946">
          <w:type w:val="continuous"/>
          <w:pgSz w:w="11906" w:h="16838" w:code="9"/>
          <w:pgMar w:top="1134" w:right="1134" w:bottom="1134" w:left="1134" w:header="624" w:footer="567" w:gutter="0"/>
          <w:cols w:num="2" w:space="708"/>
          <w:docGrid w:linePitch="360"/>
        </w:sectPr>
      </w:pPr>
    </w:p>
    <w:p w:rsidR="00DF17E9" w:rsidRDefault="00DF17E9" w:rsidP="00044843">
      <w:pPr>
        <w:pStyle w:val="Subheading"/>
        <w:pBdr>
          <w:top w:val="single" w:sz="4" w:space="1" w:color="0063A6" w:themeColor="accent1"/>
        </w:pBdr>
      </w:pPr>
    </w:p>
    <w:p w:rsidR="00DF17E9" w:rsidRDefault="00DF17E9" w:rsidP="00044843">
      <w:pPr>
        <w:pStyle w:val="Heading2"/>
      </w:pPr>
      <w:bookmarkStart w:id="43" w:name="_Toc459976374"/>
      <w:r w:rsidRPr="009077F6">
        <w:t>Borrowings</w:t>
      </w:r>
      <w:r w:rsidRPr="009077F6">
        <w:tab/>
      </w:r>
      <w:r w:rsidRPr="009077F6">
        <w:rPr>
          <w:rStyle w:val="TableUnitsChar"/>
        </w:rPr>
        <w:t>($ million)</w:t>
      </w:r>
      <w:bookmarkEnd w:id="43"/>
    </w:p>
    <w:tbl>
      <w:tblPr>
        <w:tblStyle w:val="TableDTFGeneral"/>
        <w:tblW w:w="9668" w:type="dxa"/>
        <w:tblLayout w:type="fixed"/>
        <w:tblLook w:val="02A0" w:firstRow="1" w:lastRow="0" w:firstColumn="1" w:lastColumn="0" w:noHBand="1" w:noVBand="0"/>
      </w:tblPr>
      <w:tblGrid>
        <w:gridCol w:w="6009"/>
        <w:gridCol w:w="907"/>
        <w:gridCol w:w="907"/>
        <w:gridCol w:w="9"/>
        <w:gridCol w:w="898"/>
        <w:gridCol w:w="938"/>
      </w:tblGrid>
      <w:tr w:rsidR="003A32B0"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3A32B0" w:rsidRPr="007C3146" w:rsidRDefault="003A32B0"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3A32B0" w:rsidRPr="007C3146" w:rsidRDefault="003A32B0" w:rsidP="003A32B0">
            <w:pPr>
              <w:jc w:val="center"/>
              <w:rPr>
                <w:color w:val="FFFFFF"/>
              </w:rPr>
            </w:pPr>
            <w:r w:rsidRPr="007C3146">
              <w:rPr>
                <w:color w:val="FFFFFF"/>
              </w:rPr>
              <w:t xml:space="preserve">State of Victoria </w:t>
            </w:r>
          </w:p>
        </w:tc>
        <w:tc>
          <w:tcPr>
            <w:tcW w:w="1836" w:type="dxa"/>
            <w:gridSpan w:val="2"/>
          </w:tcPr>
          <w:p w:rsidR="003A32B0" w:rsidRPr="007C3146" w:rsidRDefault="003A32B0" w:rsidP="003A32B0">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r>
              <w:rPr>
                <w:color w:val="FFFFFF"/>
              </w:rPr>
              <w:br/>
            </w:r>
            <w:r w:rsidRPr="007C3146">
              <w:rPr>
                <w:color w:val="FFFFFF"/>
              </w:rPr>
              <w:t xml:space="preserve">government sector </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FFFFFF"/>
              </w:rPr>
            </w:pPr>
            <w:r w:rsidRPr="007C3146">
              <w:rPr>
                <w:color w:val="FFFFFF"/>
              </w:rPr>
              <w:t>2016</w:t>
            </w:r>
          </w:p>
        </w:tc>
        <w:tc>
          <w:tcPr>
            <w:tcW w:w="938"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Current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b/>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b/>
                <w:color w:val="000000"/>
              </w:rPr>
              <w:t xml:space="preserve"> </w:t>
            </w:r>
          </w:p>
        </w:tc>
        <w:tc>
          <w:tcPr>
            <w:tcW w:w="93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5 095</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4 462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3 132</w:t>
            </w:r>
          </w:p>
        </w:tc>
        <w:tc>
          <w:tcPr>
            <w:tcW w:w="93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3 861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83</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14</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w:t>
            </w:r>
          </w:p>
        </w:tc>
        <w:tc>
          <w:tcPr>
            <w:tcW w:w="93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 xml:space="preserve">Finance lease liabilities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r w:rsidRPr="007C3146">
              <w:rPr>
                <w:color w:val="000000"/>
              </w:rPr>
              <w:t>207</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209</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r w:rsidRPr="007C3146">
              <w:rPr>
                <w:color w:val="000000"/>
              </w:rPr>
              <w:t>137</w:t>
            </w:r>
          </w:p>
        </w:tc>
        <w:tc>
          <w:tcPr>
            <w:tcW w:w="938"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258</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250</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r w:rsidRPr="007C3146">
              <w:rPr>
                <w:color w:val="000000"/>
              </w:rPr>
              <w:t>19</w:t>
            </w:r>
          </w:p>
        </w:tc>
        <w:tc>
          <w:tcPr>
            <w:tcW w:w="93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3146" w:rsidRDefault="00DF17E9" w:rsidP="00044843">
            <w:pPr>
              <w:ind w:left="0" w:firstLine="0"/>
              <w:rPr>
                <w:color w:val="000000"/>
              </w:rPr>
            </w:pPr>
            <w:r w:rsidRPr="007C3146">
              <w:rPr>
                <w:b/>
                <w:color w:val="000000"/>
              </w:rPr>
              <w:t>Total current borrowings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3146" w:rsidRDefault="00DF17E9" w:rsidP="00044843">
            <w:pPr>
              <w:rPr>
                <w:color w:val="000000"/>
              </w:rPr>
            </w:pPr>
            <w:r w:rsidRPr="007C3146">
              <w:rPr>
                <w:b/>
                <w:color w:val="000000"/>
              </w:rPr>
              <w:t>5 642</w:t>
            </w:r>
          </w:p>
        </w:tc>
        <w:tc>
          <w:tcPr>
            <w:tcW w:w="907"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4 935</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3146" w:rsidRDefault="00DF17E9" w:rsidP="00044843">
            <w:pPr>
              <w:rPr>
                <w:color w:val="000000"/>
              </w:rPr>
            </w:pPr>
            <w:r w:rsidRPr="007C3146">
              <w:rPr>
                <w:b/>
                <w:color w:val="000000"/>
              </w:rPr>
              <w:t>3 288</w:t>
            </w:r>
          </w:p>
        </w:tc>
        <w:tc>
          <w:tcPr>
            <w:tcW w:w="938"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3 999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Non-current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b/>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b/>
                <w:color w:val="000000"/>
              </w:rPr>
              <w:t xml:space="preserve"> </w:t>
            </w:r>
          </w:p>
        </w:tc>
        <w:tc>
          <w:tcPr>
            <w:tcW w:w="93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37 778</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37 498</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21 520</w:t>
            </w:r>
          </w:p>
        </w:tc>
        <w:tc>
          <w:tcPr>
            <w:tcW w:w="93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22 099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159</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w:t>
            </w:r>
          </w:p>
        </w:tc>
        <w:tc>
          <w:tcPr>
            <w:tcW w:w="938"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 xml:space="preserve">Finance lease liabilities </w:t>
            </w:r>
            <w:r w:rsidRPr="007C3146">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pPr>
              <w:rPr>
                <w:color w:val="000000"/>
              </w:rPr>
            </w:pPr>
            <w:r w:rsidRPr="007C3146">
              <w:rPr>
                <w:color w:val="000000"/>
              </w:rPr>
              <w:t>9 433</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8 552</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pPr>
              <w:rPr>
                <w:color w:val="000000"/>
              </w:rPr>
            </w:pPr>
            <w:r w:rsidRPr="007C3146">
              <w:rPr>
                <w:color w:val="000000"/>
              </w:rPr>
              <w:t>8 872</w:t>
            </w:r>
          </w:p>
        </w:tc>
        <w:tc>
          <w:tcPr>
            <w:tcW w:w="938"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7 920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947</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598</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r w:rsidRPr="007C3146">
              <w:rPr>
                <w:color w:val="000000"/>
              </w:rPr>
              <w:t>131</w:t>
            </w:r>
          </w:p>
        </w:tc>
        <w:tc>
          <w:tcPr>
            <w:tcW w:w="93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3146" w:rsidRDefault="00DF17E9" w:rsidP="00044843">
            <w:pPr>
              <w:ind w:left="0" w:firstLine="0"/>
              <w:rPr>
                <w:color w:val="000000"/>
              </w:rPr>
            </w:pPr>
            <w:r w:rsidRPr="007C3146">
              <w:rPr>
                <w:b/>
                <w:color w:val="000000"/>
              </w:rPr>
              <w:t>Total non-current borrowings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3146" w:rsidRDefault="00DF17E9" w:rsidP="00044843">
            <w:pPr>
              <w:rPr>
                <w:color w:val="000000"/>
              </w:rPr>
            </w:pPr>
            <w:r w:rsidRPr="007C3146">
              <w:rPr>
                <w:b/>
                <w:color w:val="000000"/>
              </w:rPr>
              <w:t>48 317</w:t>
            </w:r>
          </w:p>
        </w:tc>
        <w:tc>
          <w:tcPr>
            <w:tcW w:w="907"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46 752</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3146" w:rsidRDefault="00DF17E9" w:rsidP="00044843">
            <w:pPr>
              <w:rPr>
                <w:color w:val="000000"/>
              </w:rPr>
            </w:pPr>
            <w:r w:rsidRPr="007C3146">
              <w:rPr>
                <w:b/>
                <w:color w:val="000000"/>
              </w:rPr>
              <w:t>30 522</w:t>
            </w:r>
          </w:p>
        </w:tc>
        <w:tc>
          <w:tcPr>
            <w:tcW w:w="938"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30 070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borrowings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53 959</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51 688</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33 811</w:t>
            </w:r>
          </w:p>
        </w:tc>
        <w:tc>
          <w:tcPr>
            <w:tcW w:w="938"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34 069</w:t>
            </w:r>
          </w:p>
        </w:tc>
      </w:tr>
    </w:tbl>
    <w:p w:rsidR="00DF17E9" w:rsidRPr="00F64D56" w:rsidRDefault="00DF17E9" w:rsidP="00044843">
      <w:pPr>
        <w:spacing w:after="0" w:line="240" w:lineRule="auto"/>
        <w:rPr>
          <w:rFonts w:asciiTheme="majorHAnsi" w:hAnsiTheme="majorHAnsi"/>
          <w:i/>
          <w:spacing w:val="-2"/>
          <w:sz w:val="16"/>
        </w:rPr>
      </w:pPr>
      <w:r>
        <w:rPr>
          <w:rFonts w:asciiTheme="majorHAnsi" w:hAnsiTheme="majorHAnsi"/>
          <w:i/>
          <w:spacing w:val="-2"/>
          <w:sz w:val="16"/>
        </w:rPr>
        <w:t>Note</w:t>
      </w:r>
      <w:r w:rsidRPr="00F64D56">
        <w:rPr>
          <w:rFonts w:asciiTheme="majorHAnsi" w:hAnsiTheme="majorHAnsi"/>
          <w:i/>
          <w:spacing w:val="-2"/>
          <w:sz w:val="16"/>
        </w:rPr>
        <w:t>:</w:t>
      </w:r>
    </w:p>
    <w:p w:rsidR="00DF17E9" w:rsidRDefault="00DF17E9" w:rsidP="00044843">
      <w:pPr>
        <w:pStyle w:val="Note"/>
      </w:pPr>
      <w:r>
        <w:t>(a)</w:t>
      </w:r>
      <w:r>
        <w:tab/>
        <w:t>The accounting treatment of the finance lease liability is explained and disclosed in note 9.6.1.</w:t>
      </w:r>
    </w:p>
    <w:p w:rsidR="00DF17E9" w:rsidRDefault="00DF17E9" w:rsidP="00651946">
      <w:pPr>
        <w:sectPr w:rsidR="00DF17E9" w:rsidSect="00CD6F54">
          <w:type w:val="continuous"/>
          <w:pgSz w:w="11906" w:h="16838" w:code="9"/>
          <w:pgMar w:top="1134" w:right="1134" w:bottom="1134" w:left="1134" w:header="624" w:footer="567" w:gutter="0"/>
          <w:cols w:space="708"/>
          <w:docGrid w:linePitch="360"/>
        </w:sectPr>
      </w:pPr>
    </w:p>
    <w:p w:rsidR="00DF17E9" w:rsidRDefault="00DF17E9" w:rsidP="000869D5">
      <w:pPr>
        <w:pStyle w:val="BodyText"/>
        <w:rPr>
          <w:b/>
        </w:rPr>
      </w:pPr>
    </w:p>
    <w:p w:rsidR="00DF17E9" w:rsidRDefault="00DF17E9" w:rsidP="000869D5">
      <w:pPr>
        <w:pStyle w:val="BodyText"/>
      </w:pPr>
      <w:r w:rsidRPr="00396EB2">
        <w:rPr>
          <w:b/>
        </w:rPr>
        <w:t>Borrowings</w:t>
      </w:r>
      <w:r>
        <w:t xml:space="preserve"> refer to interest bearing liabilities mainly raised from public borrowings raised through the Treasury Corporation of Victoria (TCV) and finance leases and other interest bearing arrangements.</w:t>
      </w:r>
    </w:p>
    <w:p w:rsidR="00DF17E9" w:rsidRPr="000F7C03" w:rsidRDefault="00DF17E9" w:rsidP="000869D5">
      <w:pPr>
        <w:pStyle w:val="BodyText"/>
      </w:pPr>
      <w:r>
        <w:t xml:space="preserve">Borrowings exclude liabilities raised from other government entities, which are classified as ‘deposits </w:t>
      </w:r>
      <w:r w:rsidRPr="000F7C03">
        <w:t>held and advances received’.</w:t>
      </w:r>
    </w:p>
    <w:p w:rsidR="00DF17E9" w:rsidRDefault="00DF17E9" w:rsidP="00BD6A6E">
      <w:r w:rsidRPr="000F7C03">
        <w:t>Borrowings are classified as financial instruments (Note 7.1). All</w:t>
      </w:r>
      <w:r>
        <w:t xml:space="preserve"> interest bearing liabilities are initially recognised at the fair value of the consideration received less directly attributable transaction costs. The measurement basis subsequent to initial recognition depends on whether the State has </w:t>
      </w:r>
    </w:p>
    <w:p w:rsidR="00DF17E9" w:rsidRDefault="00DF17E9" w:rsidP="00BD6A6E"/>
    <w:p w:rsidR="00DF17E9" w:rsidRDefault="00DF17E9" w:rsidP="00BD6A6E">
      <w:r>
        <w:t>categorised its interest bearing liabilities as either ‘financial liabilities designated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rsidR="00DF17E9" w:rsidRDefault="00DF17E9" w:rsidP="00BD6A6E">
      <w:r>
        <w:t>The State’s public borrowings are designated at fair value through profit or loss on trade date on the basis that the financial liability forms a group of financial liabilities which are managed on a fair value basis in accordance with documented risk strategies.</w:t>
      </w:r>
    </w:p>
    <w:p w:rsidR="00DF17E9" w:rsidRDefault="00DF17E9" w:rsidP="00BD6A6E">
      <w:r w:rsidRPr="00396EB2">
        <w:rPr>
          <w:b/>
        </w:rPr>
        <w:lastRenderedPageBreak/>
        <w:t>Derivative financial instruments</w:t>
      </w:r>
      <w:r>
        <w:t xml:space="preserve"> are classified as held for trading financial assets and liabilities, except for derivatives held by insurance entities which are designated at fair value. </w:t>
      </w:r>
    </w:p>
    <w:p w:rsidR="00DF17E9" w:rsidRDefault="00DF17E9" w:rsidP="00044843">
      <w:r>
        <w:t>They are initially recognised at fair value on the date on which a derivative contract is entered into. Any gains or losses arising from changes in the fair value of derivatives after initial recognition, are recognised in the consolidated comprehensive operating statement as an ‘other economic flow’ included in the net result.</w:t>
      </w:r>
    </w:p>
    <w:p w:rsidR="00DF17E9" w:rsidRPr="00F70B4C" w:rsidRDefault="00DF17E9" w:rsidP="00044843">
      <w:pPr>
        <w:pStyle w:val="Heading2"/>
      </w:pPr>
      <w:bookmarkStart w:id="44" w:name="_Toc459976375"/>
      <w:r w:rsidRPr="00F70B4C">
        <w:t>Deposits held and advances received</w:t>
      </w:r>
      <w:bookmarkEnd w:id="44"/>
    </w:p>
    <w:p w:rsidR="00DF17E9" w:rsidRDefault="00DF17E9" w:rsidP="003936D1">
      <w:r w:rsidRPr="009A4B0E">
        <w:t xml:space="preserve">Deposits held include deposits, security deposits, and trust fund </w:t>
      </w:r>
      <w:r>
        <w:t>balances</w:t>
      </w:r>
      <w:r w:rsidRPr="009A4B0E">
        <w:t xml:space="preserve"> held on behalf of public or private sector bodies. Advances received include loans and other repayable funds from public sec</w:t>
      </w:r>
      <w:r>
        <w:t>tor bodies for policy purposes.</w:t>
      </w:r>
    </w:p>
    <w:p w:rsidR="00DF17E9" w:rsidRPr="009A4B0E" w:rsidRDefault="00DF17E9" w:rsidP="00044843">
      <w:pPr>
        <w:spacing w:before="200"/>
      </w:pPr>
      <w:r w:rsidRPr="009A4B0E">
        <w:lastRenderedPageBreak/>
        <w:t>Deposits held and advances received are categorised as financial liabilities at amortised cost.</w:t>
      </w:r>
    </w:p>
    <w:p w:rsidR="00DF17E9" w:rsidRPr="00F70B4C" w:rsidRDefault="00DF17E9" w:rsidP="00044843">
      <w:pPr>
        <w:pStyle w:val="Heading2"/>
      </w:pPr>
      <w:bookmarkStart w:id="45" w:name="_Toc459976376"/>
      <w:r w:rsidRPr="00F70B4C">
        <w:t>Cash flow information and balances</w:t>
      </w:r>
      <w:bookmarkEnd w:id="45"/>
    </w:p>
    <w:p w:rsidR="00DF17E9" w:rsidRDefault="00DF17E9" w:rsidP="003936D1">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 </w:t>
      </w:r>
    </w:p>
    <w:p w:rsidR="00DF17E9" w:rsidRDefault="00DF17E9" w:rsidP="00044843">
      <w:pPr>
        <w:pStyle w:val="Subheading"/>
        <w:rPr>
          <w:rFonts w:asciiTheme="minorHAnsi" w:hAnsiTheme="minorHAnsi"/>
          <w:b w:val="0"/>
          <w:spacing w:val="0"/>
        </w:rPr>
      </w:pPr>
      <w:r w:rsidRPr="00CC387D">
        <w:rPr>
          <w:rFonts w:asciiTheme="minorHAnsi" w:hAnsiTheme="minorHAnsi"/>
          <w:b w:val="0"/>
          <w:spacing w:val="0"/>
        </w:rPr>
        <w:t xml:space="preserve">For cash flow statement presentation purposes, cash and cash equivalents include bank overdrafts, which are included as current </w:t>
      </w:r>
      <w:r>
        <w:rPr>
          <w:rFonts w:asciiTheme="minorHAnsi" w:hAnsiTheme="minorHAnsi"/>
          <w:b w:val="0"/>
          <w:spacing w:val="0"/>
        </w:rPr>
        <w:t>borrowings on the balance sheet.</w:t>
      </w:r>
    </w:p>
    <w:p w:rsidR="00DF17E9" w:rsidRPr="003E6F42" w:rsidRDefault="00DF17E9" w:rsidP="00044843">
      <w:pPr>
        <w:pStyle w:val="TableUnits"/>
        <w:sectPr w:rsidR="00DF17E9" w:rsidRPr="003E6F42" w:rsidSect="00432BD8">
          <w:headerReference w:type="even" r:id="rId149"/>
          <w:headerReference w:type="default" r:id="rId150"/>
          <w:type w:val="continuous"/>
          <w:pgSz w:w="11906" w:h="16838" w:code="9"/>
          <w:pgMar w:top="1134" w:right="1134" w:bottom="1134" w:left="1134" w:header="624" w:footer="567" w:gutter="0"/>
          <w:cols w:num="2" w:space="708"/>
          <w:docGrid w:linePitch="360"/>
        </w:sectPr>
      </w:pPr>
    </w:p>
    <w:p w:rsidR="00DF17E9" w:rsidRPr="007C3146" w:rsidRDefault="00DF17E9" w:rsidP="00044843">
      <w:pPr>
        <w:pStyle w:val="Subheading"/>
        <w:spacing w:before="120" w:after="100"/>
        <w:rPr>
          <w:bCs/>
          <w:sz w:val="19"/>
          <w:lang w:val="en-US"/>
        </w:rPr>
      </w:pPr>
      <w:r w:rsidRPr="0086442A">
        <w:lastRenderedPageBreak/>
        <w:t xml:space="preserve">Reconciliation of </w:t>
      </w:r>
      <w:r>
        <w:t>cash and cash equivalents</w:t>
      </w:r>
      <w:r>
        <w:tab/>
      </w:r>
      <w:r w:rsidRPr="003D279B">
        <w:rPr>
          <w:rStyle w:val="TableUnitsChar"/>
        </w:rPr>
        <w:t>($ million)</w:t>
      </w:r>
    </w:p>
    <w:tbl>
      <w:tblPr>
        <w:tblStyle w:val="TableDTFGeneral"/>
        <w:tblW w:w="9668" w:type="dxa"/>
        <w:tblLayout w:type="fixed"/>
        <w:tblLook w:val="02A0" w:firstRow="1" w:lastRow="0" w:firstColumn="1" w:lastColumn="0" w:noHBand="1" w:noVBand="0"/>
      </w:tblPr>
      <w:tblGrid>
        <w:gridCol w:w="6009"/>
        <w:gridCol w:w="907"/>
        <w:gridCol w:w="907"/>
        <w:gridCol w:w="9"/>
        <w:gridCol w:w="898"/>
        <w:gridCol w:w="938"/>
      </w:tblGrid>
      <w:tr w:rsidR="003A32B0"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3A32B0" w:rsidRPr="007C3146" w:rsidRDefault="003A32B0"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3A32B0" w:rsidRPr="007C3146" w:rsidRDefault="003A32B0" w:rsidP="003A32B0">
            <w:pPr>
              <w:jc w:val="center"/>
              <w:rPr>
                <w:color w:val="FFFFFF"/>
              </w:rPr>
            </w:pPr>
            <w:r w:rsidRPr="007C3146">
              <w:rPr>
                <w:color w:val="FFFFFF"/>
              </w:rPr>
              <w:t xml:space="preserve">State of Victoria </w:t>
            </w:r>
          </w:p>
        </w:tc>
        <w:tc>
          <w:tcPr>
            <w:tcW w:w="1836" w:type="dxa"/>
            <w:gridSpan w:val="2"/>
          </w:tcPr>
          <w:p w:rsidR="003A32B0" w:rsidRPr="007C3146" w:rsidRDefault="003A32B0" w:rsidP="003A32B0">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r w:rsidRPr="007C3146">
              <w:rPr>
                <w:color w:val="FFFFFF"/>
              </w:rPr>
              <w:br/>
              <w:t xml:space="preserve">government sector </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FFFFFF"/>
              </w:rPr>
            </w:pPr>
            <w:r w:rsidRPr="007C3146">
              <w:rPr>
                <w:color w:val="FFFFFF"/>
              </w:rPr>
              <w:t>2016</w:t>
            </w:r>
          </w:p>
        </w:tc>
        <w:tc>
          <w:tcPr>
            <w:tcW w:w="938"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Cash</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pPr>
              <w:rPr>
                <w:color w:val="000000"/>
              </w:rPr>
            </w:pPr>
            <w:r w:rsidRPr="007C3146">
              <w:rPr>
                <w:color w:val="000000"/>
              </w:rPr>
              <w:t>1 552</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1 569</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pPr>
              <w:rPr>
                <w:color w:val="000000"/>
              </w:rPr>
            </w:pPr>
            <w:r w:rsidRPr="007C3146">
              <w:rPr>
                <w:color w:val="000000"/>
              </w:rPr>
              <w:t>1 174</w:t>
            </w:r>
          </w:p>
        </w:tc>
        <w:tc>
          <w:tcPr>
            <w:tcW w:w="938"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1 203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Deposits at call</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pPr>
              <w:rPr>
                <w:color w:val="000000"/>
              </w:rPr>
            </w:pPr>
            <w:r w:rsidRPr="007C3146">
              <w:rPr>
                <w:color w:val="000000"/>
              </w:rPr>
              <w:t>5 124</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4 952</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pPr>
              <w:rPr>
                <w:color w:val="000000"/>
              </w:rPr>
            </w:pPr>
            <w:r w:rsidRPr="007C3146">
              <w:rPr>
                <w:color w:val="000000"/>
              </w:rPr>
              <w:t>3 598</w:t>
            </w:r>
          </w:p>
        </w:tc>
        <w:tc>
          <w:tcPr>
            <w:tcW w:w="93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3 079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nil"/>
            </w:tcBorders>
          </w:tcPr>
          <w:p w:rsidR="00DF17E9" w:rsidRPr="007C3146" w:rsidRDefault="00DF17E9" w:rsidP="00044843">
            <w:pPr>
              <w:ind w:left="0" w:firstLine="0"/>
              <w:rPr>
                <w:color w:val="000000"/>
              </w:rPr>
            </w:pPr>
            <w:r w:rsidRPr="007C3146">
              <w:rPr>
                <w:b/>
                <w:color w:val="000000"/>
              </w:rPr>
              <w:t>Cash and cash equivalents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7C3146" w:rsidRDefault="00DF17E9" w:rsidP="00044843">
            <w:pPr>
              <w:rPr>
                <w:color w:val="000000"/>
              </w:rPr>
            </w:pPr>
            <w:r w:rsidRPr="007C3146">
              <w:rPr>
                <w:b/>
                <w:color w:val="000000"/>
              </w:rPr>
              <w:t>6 676</w:t>
            </w:r>
          </w:p>
        </w:tc>
        <w:tc>
          <w:tcPr>
            <w:tcW w:w="907" w:type="dxa"/>
            <w:tcBorders>
              <w:top w:val="single" w:sz="6"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6 521</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nil"/>
            </w:tcBorders>
          </w:tcPr>
          <w:p w:rsidR="00DF17E9" w:rsidRPr="007C3146" w:rsidRDefault="00DF17E9" w:rsidP="00044843">
            <w:pPr>
              <w:rPr>
                <w:color w:val="000000"/>
              </w:rPr>
            </w:pPr>
            <w:r w:rsidRPr="007C3146">
              <w:rPr>
                <w:b/>
                <w:color w:val="000000"/>
              </w:rPr>
              <w:t>4 772</w:t>
            </w:r>
          </w:p>
        </w:tc>
        <w:tc>
          <w:tcPr>
            <w:tcW w:w="938" w:type="dxa"/>
            <w:tcBorders>
              <w:top w:val="single" w:sz="6" w:space="0" w:color="auto"/>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4 282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Bank overdraft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(11)</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pPr>
              <w:rPr>
                <w:color w:val="000000"/>
              </w:rPr>
            </w:pPr>
            <w:r w:rsidRPr="007C3146">
              <w:rPr>
                <w:color w:val="000000"/>
              </w:rPr>
              <w:t>..</w:t>
            </w:r>
          </w:p>
        </w:tc>
        <w:tc>
          <w:tcPr>
            <w:tcW w:w="938"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Balances as per cash flow statement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6 676</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6 510</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4 772</w:t>
            </w:r>
          </w:p>
        </w:tc>
        <w:tc>
          <w:tcPr>
            <w:tcW w:w="938"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4 282</w:t>
            </w:r>
          </w:p>
        </w:tc>
      </w:tr>
    </w:tbl>
    <w:p w:rsidR="00DF17E9" w:rsidRPr="00080664" w:rsidRDefault="00DF17E9" w:rsidP="00044843">
      <w:pPr>
        <w:pStyle w:val="TableUnits"/>
      </w:pPr>
    </w:p>
    <w:p w:rsidR="00DF17E9" w:rsidRDefault="00DF17E9" w:rsidP="00044843">
      <w:r>
        <w:br w:type="page"/>
      </w:r>
    </w:p>
    <w:p w:rsidR="00DF17E9" w:rsidRPr="007C3146" w:rsidRDefault="00DF17E9" w:rsidP="00044843">
      <w:pPr>
        <w:pStyle w:val="Subheading"/>
        <w:rPr>
          <w:bCs/>
          <w:i/>
          <w:lang w:val="en-US"/>
        </w:rPr>
      </w:pPr>
      <w:r w:rsidRPr="0086442A">
        <w:lastRenderedPageBreak/>
        <w:t xml:space="preserve">Reconciliation of net result to net cash </w:t>
      </w:r>
      <w:r>
        <w:t>flows from operating activities</w:t>
      </w:r>
      <w:r>
        <w:tab/>
      </w:r>
      <w:r w:rsidRPr="00457551">
        <w:rPr>
          <w:rStyle w:val="TableUnitsChar"/>
        </w:rPr>
        <w:t>($ million)</w:t>
      </w: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3A32B0"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3A32B0" w:rsidRPr="007C3146" w:rsidRDefault="003A32B0"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3A32B0" w:rsidRPr="007C3146" w:rsidRDefault="003A32B0" w:rsidP="00044843">
            <w:pPr>
              <w:jc w:val="center"/>
              <w:rPr>
                <w:color w:val="FFFFFF"/>
              </w:rPr>
            </w:pPr>
            <w:r w:rsidRPr="007C3146">
              <w:rPr>
                <w:color w:val="FFFFFF"/>
              </w:rPr>
              <w:t>State of Victoria</w:t>
            </w:r>
          </w:p>
        </w:tc>
        <w:tc>
          <w:tcPr>
            <w:tcW w:w="1814" w:type="dxa"/>
            <w:gridSpan w:val="2"/>
          </w:tcPr>
          <w:p w:rsidR="003A32B0" w:rsidRPr="007C3146" w:rsidRDefault="003A32B0"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p>
          <w:p w:rsidR="003A32B0" w:rsidRPr="007C3146" w:rsidRDefault="003A32B0"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government sector</w:t>
            </w:r>
          </w:p>
        </w:tc>
      </w:tr>
      <w:tr w:rsidR="00DF17E9" w:rsidRPr="007C314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jc w:val="right"/>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Net result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b/>
                <w:color w:val="000000"/>
              </w:rPr>
              <w:t>(1 640)</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51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b/>
                <w:color w:val="000000"/>
              </w:rPr>
              <w:t>1 817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b/>
                <w:color w:val="000000"/>
              </w:rPr>
              <w:t>749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Non-cash movements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jc w:val="left"/>
              <w:rPr>
                <w:color w:val="000000"/>
              </w:rPr>
            </w:pPr>
            <w:r w:rsidRPr="007C3146">
              <w:rPr>
                <w:color w:val="000000"/>
              </w:rPr>
              <w:t xml:space="preserve"> </w:t>
            </w:r>
          </w:p>
        </w:tc>
        <w:tc>
          <w:tcPr>
            <w:tcW w:w="907" w:type="dxa"/>
          </w:tcPr>
          <w:p w:rsidR="00DF17E9" w:rsidRPr="007C3146"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jc w:val="left"/>
              <w:rPr>
                <w:color w:val="000000"/>
              </w:rPr>
            </w:pPr>
            <w:r w:rsidRPr="007C3146">
              <w:rPr>
                <w:color w:val="000000"/>
              </w:rPr>
              <w:t xml:space="preserve"> </w:t>
            </w:r>
          </w:p>
        </w:tc>
        <w:tc>
          <w:tcPr>
            <w:tcW w:w="907" w:type="dxa"/>
          </w:tcPr>
          <w:p w:rsidR="00DF17E9" w:rsidRPr="007C3146"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Depreciation and amortisation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4 743</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4 487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2 507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2 429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Revaluation of investments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451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(728)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33</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(21)</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Assets (received)/provided free of charge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(151)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(142)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47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Assets not previously/no longer recognised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Revaluation of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227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220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185</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216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Discount/premium on other financial assets/borrowings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(110)</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(141)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4</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Bad/doubtful debts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Foreign currency dealings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Unrealised (gains)/losses on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1 174</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749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Discounting of assets and 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Movements included in investing and financing activities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pPr>
            <w:r w:rsidRPr="007C3146">
              <w:rPr>
                <w:color w:val="000000"/>
              </w:rPr>
              <w:t>Net gain/loss from sale of investments</w:t>
            </w:r>
            <w:r w:rsidRPr="007C3146">
              <w:rPr>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(132)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(1 382)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(37)</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(20)</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Net gain/loss from sale of plant and equipment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148</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145</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(32)</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Realised gains/losses on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41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Movements in assets and 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 xml:space="preserve"> </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Increase/(decrease) in provision for doubtful debts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22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22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Increase/(decrease) in payables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401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489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66</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376</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Increase/(decrease) in employee benefits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571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368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532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339</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Increase/(decrease) in 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120</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244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124</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245</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Increase/(decrease) in other provisions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2 806</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1 584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(44)</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168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pPr>
            <w:r w:rsidRPr="007C3146">
              <w:rPr>
                <w:color w:val="000000"/>
              </w:rPr>
              <w:t>(Increase)/decrease in receivables</w:t>
            </w:r>
            <w:r w:rsidRPr="007C3146">
              <w:rPr>
                <w:color w:val="000000"/>
                <w:vertAlign w:val="superscript"/>
              </w:rPr>
              <w:t xml:space="preserve"> (b)</w:t>
            </w:r>
            <w:r w:rsidRPr="007C3146">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r w:rsidRPr="007C3146">
              <w:rPr>
                <w:color w:val="000000"/>
              </w:rPr>
              <w:t>(703)</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(420)</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r w:rsidRPr="007C3146">
              <w:rPr>
                <w:color w:val="000000"/>
              </w:rPr>
              <w:t>(70)</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(608)</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(Increase)/decrease in other non-financial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(17)</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143</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43</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w:t>
            </w:r>
          </w:p>
        </w:tc>
      </w:tr>
      <w:tr w:rsidR="00DF17E9" w:rsidRPr="007C3146"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3146" w:rsidRDefault="00DF17E9" w:rsidP="00044843">
            <w:pPr>
              <w:ind w:left="0" w:firstLine="0"/>
            </w:pPr>
            <w:r w:rsidRPr="007C3146">
              <w:rPr>
                <w:b/>
                <w:color w:val="000000"/>
              </w:rPr>
              <w:t>Net cash flows from operating activities</w:t>
            </w:r>
            <w:r w:rsidRPr="007C3146">
              <w:rPr>
                <w:b/>
                <w:color w:val="000000"/>
                <w:vertAlign w:val="superscript"/>
              </w:rPr>
              <w:t xml:space="preserve"> (a)(b</w:t>
            </w:r>
            <w:r w:rsidRPr="007C3146">
              <w:rPr>
                <w:color w:val="000000"/>
                <w:vertAlign w:val="superscript"/>
              </w:rPr>
              <w: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7 936</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5 522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5 359</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3 819</w:t>
            </w:r>
          </w:p>
        </w:tc>
      </w:tr>
    </w:tbl>
    <w:p w:rsidR="00DF17E9" w:rsidRDefault="00DF17E9" w:rsidP="00044843">
      <w:pPr>
        <w:pStyle w:val="Note"/>
      </w:pPr>
      <w:r>
        <w:t>Notes:</w:t>
      </w:r>
    </w:p>
    <w:p w:rsidR="00DF17E9" w:rsidRDefault="00DF17E9" w:rsidP="00044843">
      <w:pPr>
        <w:pStyle w:val="Note"/>
      </w:pPr>
      <w:r w:rsidRPr="007C54EA">
        <w:t>(a)</w:t>
      </w:r>
      <w:r>
        <w:tab/>
      </w:r>
      <w:r w:rsidRPr="0087448B">
        <w:t>June 2015 comparative figures have been restated to more consistently reflect the classification of insurance entities</w:t>
      </w:r>
      <w:r>
        <w:t>’</w:t>
      </w:r>
      <w:r w:rsidRPr="0087448B">
        <w:t xml:space="preserve"> investment income between years.</w:t>
      </w:r>
    </w:p>
    <w:p w:rsidR="00DF17E9" w:rsidRDefault="00DF17E9" w:rsidP="00044843">
      <w:pPr>
        <w:pStyle w:val="Note"/>
        <w:rPr>
          <w:rFonts w:eastAsiaTheme="majorEastAsia" w:cstheme="majorBidi"/>
          <w:sz w:val="24"/>
          <w:szCs w:val="26"/>
        </w:rPr>
      </w:pPr>
      <w:r>
        <w:t>(b</w:t>
      </w:r>
      <w:r w:rsidRPr="007C54EA">
        <w:t>)</w:t>
      </w:r>
      <w:r>
        <w:tab/>
      </w:r>
      <w:r w:rsidRPr="0087448B">
        <w:t>June 2015 comparative figures have been restated to reflect an adjustment to Coliban Water’s deferred tax liability balances in the PNFC sector attributable to a change in valuation policy in 2015-16.</w:t>
      </w:r>
      <w:r>
        <w:br w:type="page"/>
      </w:r>
    </w:p>
    <w:p w:rsidR="00DF17E9" w:rsidRPr="007C3146" w:rsidRDefault="00DF17E9" w:rsidP="00044843">
      <w:pPr>
        <w:pStyle w:val="Heading2"/>
        <w:rPr>
          <w:bCs/>
          <w:lang w:val="en-US"/>
        </w:rPr>
      </w:pPr>
      <w:bookmarkStart w:id="46" w:name="_Toc459976377"/>
      <w:r w:rsidRPr="0037400C">
        <w:lastRenderedPageBreak/>
        <w:t>Advances paid and investments, loans and placements</w:t>
      </w:r>
      <w:r>
        <w:tab/>
      </w:r>
      <w:r w:rsidRPr="0058536D">
        <w:rPr>
          <w:rStyle w:val="TableUnitsChar"/>
        </w:rPr>
        <w:t>($ million)</w:t>
      </w:r>
      <w:bookmarkEnd w:id="46"/>
    </w:p>
    <w:tbl>
      <w:tblPr>
        <w:tblStyle w:val="TableDTFGeneral"/>
        <w:tblW w:w="9661" w:type="dxa"/>
        <w:tblLayout w:type="fixed"/>
        <w:tblLook w:val="02A0" w:firstRow="1" w:lastRow="0" w:firstColumn="1" w:lastColumn="0" w:noHBand="1" w:noVBand="0"/>
      </w:tblPr>
      <w:tblGrid>
        <w:gridCol w:w="6009"/>
        <w:gridCol w:w="907"/>
        <w:gridCol w:w="907"/>
        <w:gridCol w:w="9"/>
        <w:gridCol w:w="898"/>
        <w:gridCol w:w="931"/>
      </w:tblGrid>
      <w:tr w:rsidR="003A32B0"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3A32B0" w:rsidRPr="007C3146" w:rsidRDefault="003A32B0"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3A32B0" w:rsidRPr="007C3146" w:rsidRDefault="003A32B0" w:rsidP="003A32B0">
            <w:pPr>
              <w:jc w:val="center"/>
              <w:rPr>
                <w:color w:val="FFFFFF"/>
              </w:rPr>
            </w:pPr>
            <w:r w:rsidRPr="007C3146">
              <w:rPr>
                <w:color w:val="FFFFFF"/>
              </w:rPr>
              <w:t>State of Victoria</w:t>
            </w:r>
          </w:p>
        </w:tc>
        <w:tc>
          <w:tcPr>
            <w:tcW w:w="1829" w:type="dxa"/>
            <w:gridSpan w:val="2"/>
          </w:tcPr>
          <w:p w:rsidR="003A32B0" w:rsidRPr="007C3146" w:rsidRDefault="003A32B0" w:rsidP="003A32B0">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r w:rsidRPr="007C3146">
              <w:rPr>
                <w:color w:val="FFFFFF"/>
              </w:rPr>
              <w:br/>
              <w:t>government sector</w:t>
            </w:r>
          </w:p>
        </w:tc>
      </w:tr>
      <w:tr w:rsidR="00DF17E9"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FFFFFF"/>
              </w:rPr>
            </w:pPr>
            <w:r w:rsidRPr="007C3146">
              <w:rPr>
                <w:color w:val="FFFFFF"/>
              </w:rPr>
              <w:t>2016</w:t>
            </w:r>
          </w:p>
        </w:tc>
        <w:tc>
          <w:tcPr>
            <w:tcW w:w="931"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Current advances paid and 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b/>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b/>
                <w:color w:val="000000"/>
              </w:rPr>
              <w:t xml:space="preserve"> </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Loans and advances paid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20</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30</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r w:rsidRPr="007C3146">
              <w:rPr>
                <w:color w:val="000000"/>
              </w:rPr>
              <w:t>53</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60</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 xml:space="preserve">Equities and managed investment schemes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1 541</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1 320</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1 028</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962</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Australian dollar term deposits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232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390</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r w:rsidRPr="007C3146">
              <w:rPr>
                <w:color w:val="000000"/>
              </w:rPr>
              <w:t>933</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1 932</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pPr>
              <w:rPr>
                <w:color w:val="000000"/>
              </w:rPr>
            </w:pPr>
            <w:r w:rsidRPr="007C3146">
              <w:rPr>
                <w:color w:val="000000"/>
              </w:rPr>
              <w:t>5 547</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4 706</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r w:rsidRPr="007C3146">
              <w:rPr>
                <w:color w:val="000000"/>
              </w:rPr>
              <w:t>3</w:t>
            </w:r>
          </w:p>
        </w:tc>
        <w:tc>
          <w:tcPr>
            <w:tcW w:w="93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326</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106</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r w:rsidRPr="007C3146">
              <w:rPr>
                <w:color w:val="000000"/>
              </w:rPr>
              <w:t>1</w:t>
            </w:r>
          </w:p>
        </w:tc>
        <w:tc>
          <w:tcPr>
            <w:tcW w:w="93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tcBorders>
          </w:tcPr>
          <w:p w:rsidR="00DF17E9" w:rsidRPr="007C3146" w:rsidRDefault="00DF17E9" w:rsidP="00044843">
            <w:pPr>
              <w:ind w:left="0" w:firstLine="0"/>
              <w:rPr>
                <w:color w:val="000000"/>
              </w:rPr>
            </w:pPr>
            <w:r w:rsidRPr="007C3146">
              <w:rPr>
                <w:b/>
                <w:color w:val="000000"/>
              </w:rPr>
              <w:t>Total current advances paid and 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7C3146" w:rsidRDefault="00DF17E9" w:rsidP="00044843">
            <w:pPr>
              <w:rPr>
                <w:color w:val="000000"/>
              </w:rPr>
            </w:pPr>
            <w:r w:rsidRPr="007C3146">
              <w:rPr>
                <w:b/>
                <w:color w:val="000000"/>
              </w:rPr>
              <w:t>7 666</w:t>
            </w:r>
          </w:p>
        </w:tc>
        <w:tc>
          <w:tcPr>
            <w:tcW w:w="907"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6 552</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tcBorders>
          </w:tcPr>
          <w:p w:rsidR="00DF17E9" w:rsidRPr="007C3146" w:rsidRDefault="00DF17E9" w:rsidP="00044843">
            <w:pPr>
              <w:rPr>
                <w:color w:val="000000"/>
              </w:rPr>
            </w:pPr>
            <w:r w:rsidRPr="007C3146">
              <w:rPr>
                <w:b/>
                <w:color w:val="000000"/>
              </w:rPr>
              <w:t>2 019</w:t>
            </w:r>
          </w:p>
        </w:tc>
        <w:tc>
          <w:tcPr>
            <w:tcW w:w="931" w:type="dxa"/>
            <w:tcBorders>
              <w:top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2 960</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b/>
                <w:color w:val="000000"/>
              </w:rPr>
              <w:t>Non-current advances paid and 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b/>
                <w:color w:val="000000"/>
              </w:rPr>
              <w:t xml:space="preserve"> </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b/>
                <w:color w:val="000000"/>
              </w:rPr>
              <w:t xml:space="preserve"> </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Loans and advances paid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132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92</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4 529</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4 512</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 xml:space="preserve">Equities and managed investment schemes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22 875</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22 876</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r w:rsidRPr="007C3146">
              <w:rPr>
                <w:color w:val="000000"/>
              </w:rPr>
              <w:t>279</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273</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Australian dollar term deposits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r w:rsidRPr="007C3146">
              <w:rPr>
                <w:color w:val="000000"/>
              </w:rPr>
              <w:t>280</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159</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r w:rsidRPr="007C3146">
              <w:rPr>
                <w:color w:val="000000"/>
              </w:rPr>
              <w:t>528</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198</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pPr>
              <w:rPr>
                <w:color w:val="000000"/>
              </w:rPr>
            </w:pPr>
            <w:r w:rsidRPr="007C3146">
              <w:rPr>
                <w:color w:val="000000"/>
              </w:rPr>
              <w:t>3 937</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4 211</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r w:rsidRPr="007C3146">
              <w:rPr>
                <w:color w:val="000000"/>
              </w:rPr>
              <w:t>64</w:t>
            </w:r>
          </w:p>
        </w:tc>
        <w:tc>
          <w:tcPr>
            <w:tcW w:w="93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34</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797</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549</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r w:rsidRPr="007C3146">
              <w:rPr>
                <w:color w:val="000000"/>
              </w:rPr>
              <w:t>17</w:t>
            </w:r>
          </w:p>
        </w:tc>
        <w:tc>
          <w:tcPr>
            <w:tcW w:w="93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6" w:space="0" w:color="auto"/>
            </w:tcBorders>
          </w:tcPr>
          <w:p w:rsidR="00DF17E9" w:rsidRPr="007C3146" w:rsidRDefault="00DF17E9" w:rsidP="00044843">
            <w:pPr>
              <w:ind w:left="0" w:firstLine="0"/>
              <w:rPr>
                <w:color w:val="000000"/>
              </w:rPr>
            </w:pPr>
            <w:r w:rsidRPr="007C3146">
              <w:rPr>
                <w:b/>
                <w:color w:val="000000"/>
              </w:rPr>
              <w:t>Total non-current advances paid and 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7C3146" w:rsidRDefault="00DF17E9" w:rsidP="00044843">
            <w:pPr>
              <w:rPr>
                <w:color w:val="000000"/>
              </w:rPr>
            </w:pPr>
            <w:r w:rsidRPr="007C3146">
              <w:rPr>
                <w:b/>
                <w:color w:val="000000"/>
              </w:rPr>
              <w:t>28 021</w:t>
            </w:r>
          </w:p>
        </w:tc>
        <w:tc>
          <w:tcPr>
            <w:tcW w:w="907"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27 886</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6" w:space="0" w:color="auto"/>
            </w:tcBorders>
          </w:tcPr>
          <w:p w:rsidR="00DF17E9" w:rsidRPr="007C3146" w:rsidRDefault="00DF17E9" w:rsidP="00044843">
            <w:pPr>
              <w:rPr>
                <w:color w:val="000000"/>
              </w:rPr>
            </w:pPr>
            <w:r w:rsidRPr="007C3146">
              <w:rPr>
                <w:b/>
                <w:color w:val="000000"/>
              </w:rPr>
              <w:t>5 417</w:t>
            </w:r>
          </w:p>
        </w:tc>
        <w:tc>
          <w:tcPr>
            <w:tcW w:w="931" w:type="dxa"/>
            <w:tcBorders>
              <w:top w:val="single" w:sz="6" w:space="0" w:color="auto"/>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5 018</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advances paid and 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35 687</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34 438</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7 436</w:t>
            </w:r>
          </w:p>
        </w:tc>
        <w:tc>
          <w:tcPr>
            <w:tcW w:w="93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7 978</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top w:val="single" w:sz="12" w:space="0" w:color="auto"/>
            </w:tcBorders>
          </w:tcPr>
          <w:p w:rsidR="00DF17E9" w:rsidRPr="007C3146" w:rsidRDefault="00DF17E9" w:rsidP="00044843">
            <w:pPr>
              <w:ind w:left="0" w:firstLine="0"/>
              <w:rPr>
                <w:color w:val="000000"/>
              </w:rPr>
            </w:pPr>
            <w:r w:rsidRPr="007C3146">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7C3146" w:rsidRDefault="00DF17E9" w:rsidP="00044843">
            <w:pPr>
              <w:rPr>
                <w:color w:val="000000"/>
              </w:rPr>
            </w:pPr>
            <w:r w:rsidRPr="007C3146">
              <w:rPr>
                <w:b/>
                <w:color w:val="000000"/>
              </w:rPr>
              <w:t xml:space="preserve"> </w:t>
            </w:r>
          </w:p>
        </w:tc>
        <w:tc>
          <w:tcPr>
            <w:tcW w:w="907" w:type="dxa"/>
            <w:tcBorders>
              <w:top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12" w:space="0" w:color="auto"/>
            </w:tcBorders>
          </w:tcPr>
          <w:p w:rsidR="00DF17E9" w:rsidRPr="007C3146" w:rsidRDefault="00DF17E9" w:rsidP="00044843">
            <w:pPr>
              <w:rPr>
                <w:color w:val="000000"/>
              </w:rPr>
            </w:pPr>
            <w:r w:rsidRPr="007C3146">
              <w:rPr>
                <w:b/>
                <w:color w:val="000000"/>
              </w:rPr>
              <w:t xml:space="preserve"> </w:t>
            </w:r>
          </w:p>
        </w:tc>
        <w:tc>
          <w:tcPr>
            <w:tcW w:w="931" w:type="dxa"/>
            <w:tcBorders>
              <w:top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 xml:space="preserve"> </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Advances paid</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r w:rsidRPr="007C3146">
              <w:rPr>
                <w:color w:val="000000"/>
              </w:rPr>
              <w:t>153</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121</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pPr>
              <w:rPr>
                <w:color w:val="000000"/>
              </w:rPr>
            </w:pPr>
            <w:r w:rsidRPr="007C3146">
              <w:rPr>
                <w:color w:val="000000"/>
              </w:rPr>
              <w:t>4 582</w:t>
            </w:r>
          </w:p>
        </w:tc>
        <w:tc>
          <w:tcPr>
            <w:tcW w:w="93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4 572</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single" w:sz="12" w:space="0" w:color="auto"/>
            </w:tcBorders>
          </w:tcPr>
          <w:p w:rsidR="00DF17E9" w:rsidRPr="007C3146" w:rsidRDefault="00DF17E9" w:rsidP="00044843">
            <w:pPr>
              <w:ind w:left="0" w:firstLine="0"/>
              <w:rPr>
                <w:color w:val="000000"/>
              </w:rPr>
            </w:pPr>
            <w:r w:rsidRPr="007C3146">
              <w:rPr>
                <w:color w:val="000000"/>
              </w:rPr>
              <w:t>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7C3146" w:rsidRDefault="00DF17E9" w:rsidP="00044843">
            <w:pPr>
              <w:rPr>
                <w:color w:val="000000"/>
              </w:rPr>
            </w:pPr>
            <w:r w:rsidRPr="007C3146">
              <w:rPr>
                <w:color w:val="000000"/>
              </w:rPr>
              <w:t>35 534</w:t>
            </w:r>
          </w:p>
        </w:tc>
        <w:tc>
          <w:tcPr>
            <w:tcW w:w="907" w:type="dxa"/>
            <w:tcBorders>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34 317</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12" w:space="0" w:color="auto"/>
            </w:tcBorders>
          </w:tcPr>
          <w:p w:rsidR="00DF17E9" w:rsidRPr="007C3146" w:rsidRDefault="00DF17E9" w:rsidP="00044843">
            <w:pPr>
              <w:rPr>
                <w:color w:val="000000"/>
              </w:rPr>
            </w:pPr>
            <w:r w:rsidRPr="007C3146">
              <w:rPr>
                <w:color w:val="000000"/>
              </w:rPr>
              <w:t>2 853</w:t>
            </w:r>
          </w:p>
        </w:tc>
        <w:tc>
          <w:tcPr>
            <w:tcW w:w="931" w:type="dxa"/>
            <w:tcBorders>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3 406</w:t>
            </w:r>
          </w:p>
        </w:tc>
      </w:tr>
    </w:tbl>
    <w:p w:rsidR="00DF17E9" w:rsidRDefault="00DF17E9" w:rsidP="00651946"/>
    <w:p w:rsidR="00DF17E9" w:rsidRDefault="00DF17E9" w:rsidP="00651946">
      <w:pPr>
        <w:sectPr w:rsidR="00DF17E9" w:rsidSect="00BD6A6E">
          <w:headerReference w:type="even" r:id="rId151"/>
          <w:headerReference w:type="default" r:id="rId152"/>
          <w:type w:val="continuous"/>
          <w:pgSz w:w="11906" w:h="16838" w:code="9"/>
          <w:pgMar w:top="1134" w:right="1134" w:bottom="1134" w:left="1134" w:header="624" w:footer="567" w:gutter="0"/>
          <w:cols w:space="708"/>
          <w:docGrid w:linePitch="360"/>
        </w:sectPr>
      </w:pPr>
    </w:p>
    <w:p w:rsidR="00DF17E9" w:rsidRDefault="00DF17E9" w:rsidP="005142B3">
      <w:r>
        <w:lastRenderedPageBreak/>
        <w:t xml:space="preserve">The </w:t>
      </w:r>
      <w:r w:rsidRPr="00911FAC">
        <w:t>items in the table above are financial instruments (Note 7.1) that have</w:t>
      </w:r>
      <w:r>
        <w:t xml:space="preserve"> been classified into financial instrument categories, depending on the purpose for which the investments were acquired. Management determines the classification of its investments at initial recognition. </w:t>
      </w:r>
    </w:p>
    <w:p w:rsidR="00DF17E9" w:rsidRDefault="00DF17E9" w:rsidP="005142B3">
      <w:r>
        <w:t xml:space="preserve">Any dividend or interest earned on these financial assets is recognised in the consolidated comprehensive operating statement as a revenue transaction. </w:t>
      </w:r>
    </w:p>
    <w:p w:rsidR="00DF17E9" w:rsidRDefault="00DF17E9" w:rsidP="005142B3">
      <w:r w:rsidRPr="007A5863">
        <w:rPr>
          <w:b/>
        </w:rPr>
        <w:lastRenderedPageBreak/>
        <w:t>Advances paid</w:t>
      </w:r>
      <w:r>
        <w:t xml:space="preserve"> include long and short</w:t>
      </w:r>
      <w:r>
        <w:noBreakHyphen/>
        <w:t>term loans, non-marketable debentures and long and short</w:t>
      </w:r>
      <w:r>
        <w:noBreakHyphen/>
        <w: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rsidR="00DF17E9" w:rsidRDefault="00DF17E9" w:rsidP="00651946">
      <w:pPr>
        <w:sectPr w:rsidR="00DF17E9" w:rsidSect="00D11A1E">
          <w:type w:val="continuous"/>
          <w:pgSz w:w="11906" w:h="16838" w:code="9"/>
          <w:pgMar w:top="1134" w:right="1134" w:bottom="1134" w:left="1134" w:header="624" w:footer="567" w:gutter="0"/>
          <w:cols w:num="2" w:space="708"/>
          <w:docGrid w:linePitch="360"/>
        </w:sectPr>
      </w:pPr>
    </w:p>
    <w:p w:rsidR="00DF17E9" w:rsidRPr="007C3146" w:rsidRDefault="00DF17E9" w:rsidP="00044843">
      <w:pPr>
        <w:pStyle w:val="Heading2"/>
        <w:rPr>
          <w:bCs/>
          <w:lang w:val="en-US"/>
        </w:rPr>
      </w:pPr>
      <w:bookmarkStart w:id="47" w:name="_Toc459976378"/>
      <w:r w:rsidRPr="0037400C">
        <w:lastRenderedPageBreak/>
        <w:t>Interest expense</w:t>
      </w:r>
      <w:r>
        <w:tab/>
      </w:r>
      <w:r w:rsidRPr="00271E79">
        <w:rPr>
          <w:rStyle w:val="TableUnitsChar"/>
        </w:rPr>
        <w:t>($ million)</w:t>
      </w:r>
      <w:bookmarkEnd w:id="47"/>
    </w:p>
    <w:tbl>
      <w:tblPr>
        <w:tblStyle w:val="TableDTFGeneral"/>
        <w:tblW w:w="9661" w:type="dxa"/>
        <w:tblLayout w:type="fixed"/>
        <w:tblLook w:val="02A0" w:firstRow="1" w:lastRow="0" w:firstColumn="1" w:lastColumn="0" w:noHBand="1" w:noVBand="0"/>
      </w:tblPr>
      <w:tblGrid>
        <w:gridCol w:w="6009"/>
        <w:gridCol w:w="907"/>
        <w:gridCol w:w="907"/>
        <w:gridCol w:w="9"/>
        <w:gridCol w:w="898"/>
        <w:gridCol w:w="931"/>
      </w:tblGrid>
      <w:tr w:rsidR="003A32B0"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3A32B0" w:rsidRPr="007C3146" w:rsidRDefault="003A32B0"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3" w:type="dxa"/>
            <w:gridSpan w:val="3"/>
          </w:tcPr>
          <w:p w:rsidR="003A32B0" w:rsidRPr="007C3146" w:rsidRDefault="003A32B0" w:rsidP="003A32B0">
            <w:pPr>
              <w:jc w:val="center"/>
              <w:rPr>
                <w:color w:val="FFFFFF"/>
              </w:rPr>
            </w:pPr>
            <w:r w:rsidRPr="007C3146">
              <w:rPr>
                <w:color w:val="FFFFFF"/>
              </w:rPr>
              <w:t>State of Victoria</w:t>
            </w:r>
          </w:p>
        </w:tc>
        <w:tc>
          <w:tcPr>
            <w:tcW w:w="1829" w:type="dxa"/>
            <w:gridSpan w:val="2"/>
          </w:tcPr>
          <w:p w:rsidR="003A32B0" w:rsidRPr="007C3146" w:rsidRDefault="003A32B0" w:rsidP="003A32B0">
            <w:pPr>
              <w:jc w:val="cente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 xml:space="preserve">General </w:t>
            </w:r>
            <w:r w:rsidRPr="007C3146">
              <w:rPr>
                <w:color w:val="FFFFFF"/>
              </w:rPr>
              <w:br/>
              <w:t>government sector</w:t>
            </w:r>
          </w:p>
        </w:tc>
      </w:tr>
      <w:tr w:rsidR="00DF17E9" w:rsidRPr="007C3146" w:rsidTr="003A32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FFFFFF"/>
              </w:rPr>
            </w:pPr>
            <w:r w:rsidRPr="007C314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FFFFFF"/>
              </w:rPr>
            </w:pPr>
            <w:r w:rsidRPr="007C3146">
              <w:rPr>
                <w:color w:val="FFFFFF"/>
              </w:rPr>
              <w:t>2016</w:t>
            </w:r>
          </w:p>
        </w:tc>
        <w:tc>
          <w:tcPr>
            <w:tcW w:w="907"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FFFFFF"/>
              </w:rPr>
            </w:pPr>
            <w:r w:rsidRPr="007C3146">
              <w:rPr>
                <w:color w:val="FFFFFF"/>
              </w:rPr>
              <w:t>2016</w:t>
            </w:r>
          </w:p>
        </w:tc>
        <w:tc>
          <w:tcPr>
            <w:tcW w:w="931" w:type="dxa"/>
          </w:tcPr>
          <w:p w:rsidR="00DF17E9" w:rsidRPr="007C3146"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7C3146">
              <w:rPr>
                <w:color w:val="FFFFFF"/>
              </w:rPr>
              <w:t>2015</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Pr>
          <w:p w:rsidR="00DF17E9" w:rsidRPr="007C3146" w:rsidRDefault="00DF17E9" w:rsidP="00044843">
            <w:pPr>
              <w:ind w:left="0" w:firstLine="0"/>
              <w:rPr>
                <w:color w:val="000000"/>
              </w:rPr>
            </w:pPr>
            <w:r w:rsidRPr="007C3146">
              <w:rPr>
                <w:color w:val="000000"/>
              </w:rPr>
              <w:t>Interest on interest-bearing 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7C3146" w:rsidRDefault="00DF17E9" w:rsidP="00044843">
            <w:pPr>
              <w:rPr>
                <w:color w:val="000000"/>
              </w:rPr>
            </w:pPr>
            <w:r w:rsidRPr="007C3146">
              <w:rPr>
                <w:color w:val="000000"/>
              </w:rPr>
              <w:t>1 882</w:t>
            </w:r>
          </w:p>
        </w:tc>
        <w:tc>
          <w:tcPr>
            <w:tcW w:w="907"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2 019</w:t>
            </w:r>
          </w:p>
        </w:tc>
        <w:tc>
          <w:tcPr>
            <w:cnfStyle w:val="000010000000" w:firstRow="0" w:lastRow="0" w:firstColumn="0" w:lastColumn="0" w:oddVBand="1" w:evenVBand="0" w:oddHBand="0" w:evenHBand="0" w:firstRowFirstColumn="0" w:firstRowLastColumn="0" w:lastRowFirstColumn="0" w:lastRowLastColumn="0"/>
            <w:tcW w:w="907" w:type="dxa"/>
            <w:gridSpan w:val="2"/>
          </w:tcPr>
          <w:p w:rsidR="00DF17E9" w:rsidRPr="007C3146" w:rsidRDefault="00DF17E9" w:rsidP="00044843">
            <w:pPr>
              <w:rPr>
                <w:color w:val="000000"/>
              </w:rPr>
            </w:pPr>
            <w:r w:rsidRPr="007C3146">
              <w:rPr>
                <w:color w:val="000000"/>
              </w:rPr>
              <w:t>1 272</w:t>
            </w:r>
          </w:p>
        </w:tc>
        <w:tc>
          <w:tcPr>
            <w:tcW w:w="931" w:type="dxa"/>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color w:val="000000"/>
              </w:rPr>
              <w:t>1 300</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7C3146" w:rsidRDefault="00DF17E9" w:rsidP="00044843">
            <w:pPr>
              <w:ind w:left="0" w:firstLine="0"/>
              <w:rPr>
                <w:color w:val="000000"/>
              </w:rPr>
            </w:pPr>
            <w:r w:rsidRPr="007C3146">
              <w:rPr>
                <w:color w:val="000000"/>
              </w:rPr>
              <w:t>Finance charges on finance leases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7C3146" w:rsidRDefault="00DF17E9" w:rsidP="00044843">
            <w:r w:rsidRPr="007C3146">
              <w:rPr>
                <w:color w:val="000000"/>
              </w:rPr>
              <w:t>828</w:t>
            </w:r>
          </w:p>
        </w:tc>
        <w:tc>
          <w:tcPr>
            <w:tcW w:w="907"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833</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nil"/>
            </w:tcBorders>
          </w:tcPr>
          <w:p w:rsidR="00DF17E9" w:rsidRPr="007C3146" w:rsidRDefault="00DF17E9" w:rsidP="00044843">
            <w:r w:rsidRPr="007C3146">
              <w:rPr>
                <w:color w:val="000000"/>
              </w:rPr>
              <w:t>766</w:t>
            </w:r>
          </w:p>
        </w:tc>
        <w:tc>
          <w:tcPr>
            <w:tcW w:w="931" w:type="dxa"/>
            <w:tcBorders>
              <w:bottom w:val="nil"/>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764</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7C3146" w:rsidRDefault="00DF17E9" w:rsidP="00044843">
            <w:pPr>
              <w:ind w:left="0" w:firstLine="0"/>
              <w:rPr>
                <w:color w:val="000000"/>
              </w:rPr>
            </w:pPr>
            <w:r w:rsidRPr="007C3146">
              <w:rPr>
                <w:color w:val="000000"/>
              </w:rPr>
              <w:t>Discount interest on payables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7C3146" w:rsidRDefault="00DF17E9" w:rsidP="00044843">
            <w:r w:rsidRPr="007C3146">
              <w:rPr>
                <w:color w:val="000000"/>
              </w:rPr>
              <w:t>20</w:t>
            </w:r>
          </w:p>
        </w:tc>
        <w:tc>
          <w:tcPr>
            <w:tcW w:w="907"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15</w:t>
            </w:r>
          </w:p>
        </w:tc>
        <w:tc>
          <w:tcPr>
            <w:cnfStyle w:val="000010000000" w:firstRow="0" w:lastRow="0" w:firstColumn="0" w:lastColumn="0" w:oddVBand="1" w:evenVBand="0" w:oddHBand="0" w:evenHBand="0" w:firstRowFirstColumn="0" w:firstRowLastColumn="0" w:lastRowFirstColumn="0" w:lastRowLastColumn="0"/>
            <w:tcW w:w="907" w:type="dxa"/>
            <w:gridSpan w:val="2"/>
            <w:tcBorders>
              <w:bottom w:val="single" w:sz="6" w:space="0" w:color="auto"/>
            </w:tcBorders>
          </w:tcPr>
          <w:p w:rsidR="00DF17E9" w:rsidRPr="007C3146" w:rsidRDefault="00DF17E9" w:rsidP="00044843">
            <w:r w:rsidRPr="007C3146">
              <w:rPr>
                <w:color w:val="000000"/>
              </w:rPr>
              <w:t>38</w:t>
            </w:r>
          </w:p>
        </w:tc>
        <w:tc>
          <w:tcPr>
            <w:tcW w:w="931" w:type="dxa"/>
            <w:tcBorders>
              <w:bottom w:val="single" w:sz="6"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pPr>
            <w:r w:rsidRPr="007C3146">
              <w:rPr>
                <w:color w:val="000000"/>
              </w:rPr>
              <w:t>38</w:t>
            </w:r>
          </w:p>
        </w:tc>
      </w:tr>
      <w:tr w:rsidR="00DF17E9" w:rsidRPr="007C3146" w:rsidTr="003A32B0">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7C3146" w:rsidRDefault="00DF17E9" w:rsidP="00044843">
            <w:pPr>
              <w:ind w:left="0" w:firstLine="0"/>
              <w:rPr>
                <w:color w:val="000000"/>
              </w:rPr>
            </w:pPr>
            <w:r w:rsidRPr="007C3146">
              <w:rPr>
                <w:b/>
                <w:color w:val="000000"/>
              </w:rPr>
              <w:t>Total interest expense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7C3146" w:rsidRDefault="00DF17E9" w:rsidP="00044843">
            <w:pPr>
              <w:rPr>
                <w:color w:val="000000"/>
              </w:rPr>
            </w:pPr>
            <w:r w:rsidRPr="007C3146">
              <w:rPr>
                <w:b/>
                <w:color w:val="000000"/>
              </w:rPr>
              <w:t>2 730</w:t>
            </w:r>
          </w:p>
        </w:tc>
        <w:tc>
          <w:tcPr>
            <w:tcW w:w="907"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2 867</w:t>
            </w:r>
          </w:p>
        </w:tc>
        <w:tc>
          <w:tcPr>
            <w:cnfStyle w:val="000010000000" w:firstRow="0" w:lastRow="0" w:firstColumn="0" w:lastColumn="0" w:oddVBand="1" w:evenVBand="0" w:oddHBand="0" w:evenHBand="0" w:firstRowFirstColumn="0" w:firstRowLastColumn="0" w:lastRowFirstColumn="0" w:lastRowLastColumn="0"/>
            <w:tcW w:w="907" w:type="dxa"/>
            <w:gridSpan w:val="2"/>
            <w:tcBorders>
              <w:top w:val="single" w:sz="6" w:space="0" w:color="auto"/>
              <w:bottom w:val="single" w:sz="12" w:space="0" w:color="auto"/>
            </w:tcBorders>
          </w:tcPr>
          <w:p w:rsidR="00DF17E9" w:rsidRPr="007C3146" w:rsidRDefault="00DF17E9" w:rsidP="00044843">
            <w:pPr>
              <w:rPr>
                <w:color w:val="000000"/>
              </w:rPr>
            </w:pPr>
            <w:r w:rsidRPr="007C3146">
              <w:rPr>
                <w:b/>
                <w:color w:val="000000"/>
              </w:rPr>
              <w:t>2 076</w:t>
            </w:r>
          </w:p>
        </w:tc>
        <w:tc>
          <w:tcPr>
            <w:tcW w:w="931" w:type="dxa"/>
            <w:tcBorders>
              <w:top w:val="single" w:sz="6" w:space="0" w:color="auto"/>
              <w:bottom w:val="single" w:sz="12" w:space="0" w:color="auto"/>
            </w:tcBorders>
          </w:tcPr>
          <w:p w:rsidR="00DF17E9" w:rsidRPr="007C3146"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7C3146">
              <w:rPr>
                <w:b/>
                <w:color w:val="000000"/>
              </w:rPr>
              <w:t>2 102</w:t>
            </w:r>
          </w:p>
        </w:tc>
      </w:tr>
    </w:tbl>
    <w:p w:rsidR="00DF17E9" w:rsidRDefault="00DF17E9" w:rsidP="00651946"/>
    <w:p w:rsidR="00DF17E9" w:rsidRDefault="00DF17E9" w:rsidP="00651946">
      <w:pPr>
        <w:sectPr w:rsidR="00DF17E9" w:rsidSect="00CD6F54">
          <w:type w:val="continuous"/>
          <w:pgSz w:w="11906" w:h="16838" w:code="9"/>
          <w:pgMar w:top="1134" w:right="1134" w:bottom="1134" w:left="1134" w:header="624" w:footer="567" w:gutter="0"/>
          <w:cols w:space="708"/>
          <w:docGrid w:linePitch="360"/>
        </w:sectPr>
      </w:pPr>
    </w:p>
    <w:p w:rsidR="00DF17E9" w:rsidRDefault="00DF17E9" w:rsidP="00373D05">
      <w:r>
        <w:lastRenderedPageBreak/>
        <w:t>Interest expense represents costs incurred in relation to borrowings. It includes interest on advances, loans, overdrafts, bonds and bills, deposits, interest components of finance lease repayments, and amortisation of discounts or premiums in relation to borrowings.</w:t>
      </w:r>
    </w:p>
    <w:p w:rsidR="00DF17E9" w:rsidRDefault="00DF17E9" w:rsidP="00373D05">
      <w:r>
        <w:br w:type="column"/>
      </w:r>
      <w:r>
        <w:lastRenderedPageBreak/>
        <w:t>The State recognises borrowing costs immediately as an expense, even where they are directly attributable to the acquisition, construction or production of a qualifying asset.</w:t>
      </w:r>
    </w:p>
    <w:p w:rsidR="00DF17E9" w:rsidRDefault="00DF17E9">
      <w:pPr>
        <w:rPr>
          <w:rFonts w:asciiTheme="majorHAnsi" w:eastAsiaTheme="majorEastAsia" w:hAnsiTheme="majorHAnsi" w:cstheme="majorBidi"/>
          <w:b/>
          <w:spacing w:val="-2"/>
          <w:sz w:val="24"/>
          <w:szCs w:val="26"/>
        </w:rPr>
      </w:pPr>
      <w:r>
        <w:br w:type="page"/>
      </w:r>
    </w:p>
    <w:p w:rsidR="00DF17E9" w:rsidRPr="00F70B4C" w:rsidRDefault="00DF17E9" w:rsidP="00044843">
      <w:pPr>
        <w:pStyle w:val="Heading2"/>
      </w:pPr>
      <w:bookmarkStart w:id="48" w:name="_Toc459976379"/>
      <w:r w:rsidRPr="00F70B4C">
        <w:lastRenderedPageBreak/>
        <w:t xml:space="preserve">Public private partnership (service concession </w:t>
      </w:r>
      <w:r>
        <w:t>arrangements)</w:t>
      </w:r>
      <w:bookmarkEnd w:id="48"/>
      <w:r>
        <w:t xml:space="preserve"> </w:t>
      </w:r>
    </w:p>
    <w:p w:rsidR="00DF17E9" w:rsidRDefault="00DF17E9" w:rsidP="00373D05">
      <w:r w:rsidRPr="00091E3A">
        <w:t xml:space="preserve">The State </w:t>
      </w:r>
      <w:r>
        <w:t>from time to time</w:t>
      </w:r>
      <w:r w:rsidRPr="00091E3A">
        <w:t xml:space="preserve"> enters into certain arrangements with private sector participants to design and construct or upgrade assets used to provide public services. These arrangements usually include the provision of operational and maintenance services for a specified period of time. </w:t>
      </w:r>
    </w:p>
    <w:p w:rsidR="00DF17E9" w:rsidRPr="008C339D" w:rsidRDefault="00DF17E9" w:rsidP="008C339D">
      <w:r w:rsidRPr="008C339D">
        <w:t xml:space="preserve">These arrangements are often referred to as either public private partnerships (PPPs) or service concession arrangements (SCAs). </w:t>
      </w:r>
    </w:p>
    <w:p w:rsidR="00DF17E9" w:rsidRDefault="00DF17E9" w:rsidP="004115D7">
      <w:r w:rsidRPr="00091E3A">
        <w:t xml:space="preserve">These SCAs usually take one of two main forms. In the more common form, the State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w:t>
      </w:r>
    </w:p>
    <w:p w:rsidR="00DF17E9" w:rsidRPr="00091E3A" w:rsidRDefault="00DF17E9" w:rsidP="004115D7">
      <w:r>
        <w:br w:type="column"/>
      </w:r>
      <w:r w:rsidRPr="00091E3A">
        <w:lastRenderedPageBreak/>
        <w:t xml:space="preserve">The remaining components are accounted for </w:t>
      </w:r>
      <w:r w:rsidR="00494A92">
        <w:br/>
      </w:r>
      <w:r w:rsidRPr="00091E3A">
        <w:t xml:space="preserve">as commitments for operating costs which are expensed in the comprehensive operating </w:t>
      </w:r>
      <w:r w:rsidR="00494A92">
        <w:br/>
      </w:r>
      <w:r w:rsidRPr="00091E3A">
        <w:t>statement as they are incurred.</w:t>
      </w:r>
    </w:p>
    <w:p w:rsidR="00DF17E9" w:rsidRPr="00091E3A" w:rsidRDefault="00DF17E9" w:rsidP="004115D7">
      <w:r w:rsidRPr="00091E3A">
        <w:t>The other, less common form of SCA, is one in which the State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State and construct infrastructure. At the end of the concession period, the land and state works, together with the constructed facilities, will be returned to the State.</w:t>
      </w:r>
    </w:p>
    <w:p w:rsidR="00DF17E9" w:rsidRDefault="00DF17E9" w:rsidP="00651946">
      <w:r w:rsidRPr="00091E3A">
        <w:t>There is currently no authoritative accounting guidance applicable to grantors (the State) on the recognition and measurement of the right of the State to receive assets from such concession arrangements. Due to the lack of such guidance, there has been no change to existing policy and those assets are not currently recognised.</w:t>
      </w:r>
    </w:p>
    <w:p w:rsidR="00DF17E9" w:rsidRDefault="00DF17E9" w:rsidP="00091E3A"/>
    <w:p w:rsidR="00DF17E9" w:rsidRPr="00091E3A" w:rsidRDefault="00DF17E9" w:rsidP="00091E3A">
      <w:pPr>
        <w:sectPr w:rsidR="00DF17E9" w:rsidRPr="00091E3A" w:rsidSect="005142B3">
          <w:headerReference w:type="even" r:id="rId153"/>
          <w:headerReference w:type="default" r:id="rId154"/>
          <w:type w:val="continuous"/>
          <w:pgSz w:w="11906" w:h="16838" w:code="9"/>
          <w:pgMar w:top="1134" w:right="1134" w:bottom="1134" w:left="1134" w:header="624" w:footer="567" w:gutter="0"/>
          <w:cols w:num="2" w:space="708"/>
          <w:docGrid w:linePitch="360"/>
        </w:sectPr>
      </w:pPr>
    </w:p>
    <w:p w:rsidR="00DF17E9" w:rsidRPr="00272BD2" w:rsidRDefault="00DF17E9" w:rsidP="00651946">
      <w:pPr>
        <w:rPr>
          <w:rFonts w:asciiTheme="majorHAnsi" w:hAnsiTheme="majorHAnsi"/>
          <w:b/>
          <w:spacing w:val="-2"/>
        </w:rPr>
        <w:sectPr w:rsidR="00DF17E9" w:rsidRPr="00272BD2" w:rsidSect="00FC2368">
          <w:type w:val="continuous"/>
          <w:pgSz w:w="11906" w:h="16838" w:code="9"/>
          <w:pgMar w:top="1134" w:right="1134" w:bottom="1134" w:left="1134" w:header="624" w:footer="567" w:gutter="0"/>
          <w:cols w:space="708"/>
          <w:docGrid w:linePitch="360"/>
        </w:sectPr>
      </w:pPr>
      <w:r>
        <w:lastRenderedPageBreak/>
        <w:br w:type="page"/>
      </w:r>
    </w:p>
    <w:p w:rsidR="00DF17E9" w:rsidRPr="00EF4DE1" w:rsidRDefault="00DF17E9" w:rsidP="00044843">
      <w:pPr>
        <w:pStyle w:val="Subheading"/>
        <w:tabs>
          <w:tab w:val="right" w:pos="14601"/>
        </w:tabs>
        <w:rPr>
          <w:bCs/>
          <w:lang w:val="en-US"/>
        </w:rPr>
      </w:pPr>
      <w:r>
        <w:lastRenderedPageBreak/>
        <w:t>Public private partnership commitments</w:t>
      </w:r>
      <w:r w:rsidRPr="004C42D0">
        <w:rPr>
          <w:vertAlign w:val="superscript"/>
        </w:rPr>
        <w:t xml:space="preserve"> (a)(b)</w:t>
      </w:r>
      <w:r>
        <w:tab/>
      </w:r>
      <w:r>
        <w:tab/>
      </w:r>
      <w:r w:rsidRPr="00617936">
        <w:rPr>
          <w:rStyle w:val="TableUnitsChar"/>
        </w:rPr>
        <w:t>($ million)</w:t>
      </w:r>
    </w:p>
    <w:tbl>
      <w:tblPr>
        <w:tblStyle w:val="TableDTFGeneral"/>
        <w:tblW w:w="14742" w:type="dxa"/>
        <w:tblLayout w:type="fixed"/>
        <w:tblCellMar>
          <w:left w:w="28" w:type="dxa"/>
          <w:right w:w="28" w:type="dxa"/>
        </w:tblCellMar>
        <w:tblLook w:val="06A0" w:firstRow="1" w:lastRow="0" w:firstColumn="1" w:lastColumn="0" w:noHBand="1" w:noVBand="1"/>
      </w:tblPr>
      <w:tblGrid>
        <w:gridCol w:w="2410"/>
        <w:gridCol w:w="142"/>
        <w:gridCol w:w="752"/>
        <w:gridCol w:w="1064"/>
        <w:gridCol w:w="1078"/>
        <w:gridCol w:w="83"/>
        <w:gridCol w:w="798"/>
        <w:gridCol w:w="1078"/>
        <w:gridCol w:w="1064"/>
        <w:gridCol w:w="112"/>
        <w:gridCol w:w="775"/>
        <w:gridCol w:w="1073"/>
        <w:gridCol w:w="1105"/>
        <w:gridCol w:w="90"/>
        <w:gridCol w:w="792"/>
        <w:gridCol w:w="1120"/>
        <w:gridCol w:w="1206"/>
      </w:tblGrid>
      <w:tr w:rsidR="005E3226" w:rsidRPr="00EF4DE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5E3226" w:rsidRPr="00EF4DE1" w:rsidRDefault="005E3226" w:rsidP="00044843">
            <w:pPr>
              <w:ind w:left="0" w:firstLine="0"/>
              <w:rPr>
                <w:color w:val="FFFFFF"/>
                <w:sz w:val="16"/>
              </w:rPr>
            </w:pPr>
            <w:r w:rsidRPr="00EF4DE1">
              <w:rPr>
                <w:color w:val="FFFFFF"/>
                <w:sz w:val="16"/>
              </w:rPr>
              <w:t xml:space="preserve"> </w:t>
            </w:r>
          </w:p>
        </w:tc>
        <w:tc>
          <w:tcPr>
            <w:tcW w:w="142"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894" w:type="dxa"/>
            <w:gridSpan w:val="3"/>
          </w:tcPr>
          <w:p w:rsidR="005E3226" w:rsidRPr="00EF4DE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State of Victoria</w:t>
            </w:r>
          </w:p>
        </w:tc>
        <w:tc>
          <w:tcPr>
            <w:tcW w:w="83"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940" w:type="dxa"/>
            <w:gridSpan w:val="3"/>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General government sector</w:t>
            </w:r>
          </w:p>
        </w:tc>
        <w:tc>
          <w:tcPr>
            <w:tcW w:w="112"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953" w:type="dxa"/>
            <w:gridSpan w:val="3"/>
          </w:tcPr>
          <w:p w:rsidR="005E3226" w:rsidRPr="00EF4DE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State of Victoria</w:t>
            </w:r>
          </w:p>
        </w:tc>
        <w:tc>
          <w:tcPr>
            <w:tcW w:w="90"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118" w:type="dxa"/>
            <w:gridSpan w:val="3"/>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Pr>
                <w:color w:val="FFFFFF"/>
                <w:sz w:val="16"/>
              </w:rPr>
              <w:t>G</w:t>
            </w:r>
            <w:r w:rsidRPr="00EF4DE1">
              <w:rPr>
                <w:color w:val="FFFFFF"/>
                <w:sz w:val="16"/>
              </w:rPr>
              <w:t>eneral government sector</w:t>
            </w:r>
          </w:p>
        </w:tc>
      </w:tr>
      <w:tr w:rsidR="005E3226" w:rsidRPr="00EF4DE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5E3226" w:rsidRPr="00EF4DE1" w:rsidRDefault="005E3226" w:rsidP="00044843">
            <w:pPr>
              <w:ind w:left="0" w:firstLine="0"/>
              <w:rPr>
                <w:color w:val="FFFFFF"/>
                <w:sz w:val="16"/>
              </w:rPr>
            </w:pPr>
            <w:r w:rsidRPr="00EF4DE1">
              <w:rPr>
                <w:color w:val="FFFFFF"/>
                <w:sz w:val="16"/>
              </w:rPr>
              <w:t xml:space="preserve"> </w:t>
            </w:r>
          </w:p>
        </w:tc>
        <w:tc>
          <w:tcPr>
            <w:tcW w:w="142"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894" w:type="dxa"/>
            <w:gridSpan w:val="3"/>
            <w:tcBorders>
              <w:bottom w:val="nil"/>
            </w:tcBorders>
          </w:tcPr>
          <w:p w:rsidR="005E3226" w:rsidRPr="00EF4DE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2016</w:t>
            </w:r>
          </w:p>
        </w:tc>
        <w:tc>
          <w:tcPr>
            <w:tcW w:w="83"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940" w:type="dxa"/>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2016</w:t>
            </w:r>
          </w:p>
        </w:tc>
        <w:tc>
          <w:tcPr>
            <w:tcW w:w="112"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953" w:type="dxa"/>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2015</w:t>
            </w:r>
          </w:p>
        </w:tc>
        <w:tc>
          <w:tcPr>
            <w:tcW w:w="90"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118" w:type="dxa"/>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2015</w:t>
            </w:r>
          </w:p>
        </w:tc>
      </w:tr>
      <w:tr w:rsidR="005E3226" w:rsidRPr="00EF4DE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5E3226" w:rsidRPr="00EF4DE1" w:rsidRDefault="005E3226" w:rsidP="00044843">
            <w:pPr>
              <w:ind w:left="0" w:firstLine="0"/>
              <w:rPr>
                <w:color w:val="FFFFFF"/>
                <w:sz w:val="16"/>
              </w:rPr>
            </w:pPr>
            <w:r w:rsidRPr="00EF4DE1">
              <w:rPr>
                <w:color w:val="FFFFFF"/>
                <w:sz w:val="16"/>
              </w:rPr>
              <w:t xml:space="preserve"> </w:t>
            </w:r>
          </w:p>
        </w:tc>
        <w:tc>
          <w:tcPr>
            <w:tcW w:w="142"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894" w:type="dxa"/>
            <w:gridSpan w:val="3"/>
            <w:tcBorders>
              <w:bottom w:val="single" w:sz="6" w:space="0" w:color="FFFFFF" w:themeColor="background1"/>
            </w:tcBorders>
          </w:tcPr>
          <w:p w:rsidR="005E3226" w:rsidRPr="00EF4DE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Other commitments</w:t>
            </w:r>
          </w:p>
        </w:tc>
        <w:tc>
          <w:tcPr>
            <w:tcW w:w="83"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940" w:type="dxa"/>
            <w:gridSpan w:val="3"/>
            <w:tcBorders>
              <w:bottom w:val="single" w:sz="6" w:space="0" w:color="FFFFFF" w:themeColor="background1"/>
            </w:tcBorders>
          </w:tcPr>
          <w:p w:rsidR="005E3226" w:rsidRPr="00EF4DE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Other commitments</w:t>
            </w:r>
          </w:p>
        </w:tc>
        <w:tc>
          <w:tcPr>
            <w:tcW w:w="112"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2953" w:type="dxa"/>
            <w:gridSpan w:val="3"/>
            <w:tcBorders>
              <w:bottom w:val="single" w:sz="6" w:space="0" w:color="FFFFFF" w:themeColor="background1"/>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Other commitments</w:t>
            </w:r>
          </w:p>
        </w:tc>
        <w:tc>
          <w:tcPr>
            <w:tcW w:w="90" w:type="dxa"/>
          </w:tcPr>
          <w:p w:rsidR="005E3226" w:rsidRPr="00EF4DE1" w:rsidRDefault="005E3226"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118" w:type="dxa"/>
            <w:gridSpan w:val="3"/>
            <w:tcBorders>
              <w:bottom w:val="single" w:sz="6" w:space="0" w:color="FFFFFF" w:themeColor="background1"/>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Other commitments</w:t>
            </w:r>
          </w:p>
        </w:tc>
      </w:tr>
      <w:tr w:rsidR="00DF17E9" w:rsidRPr="005E3226"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DF17E9" w:rsidRPr="005E3226" w:rsidRDefault="00DF17E9" w:rsidP="00044843">
            <w:pPr>
              <w:ind w:left="0" w:firstLine="0"/>
              <w:rPr>
                <w:color w:val="FFFFFF"/>
                <w:sz w:val="16"/>
              </w:rPr>
            </w:pPr>
            <w:r w:rsidRPr="005E3226">
              <w:rPr>
                <w:color w:val="FFFFFF"/>
                <w:sz w:val="16"/>
              </w:rPr>
              <w:t xml:space="preserve"> </w:t>
            </w:r>
          </w:p>
        </w:tc>
        <w:tc>
          <w:tcPr>
            <w:tcW w:w="894" w:type="dxa"/>
            <w:gridSpan w:val="2"/>
          </w:tcPr>
          <w:p w:rsidR="00DF17E9" w:rsidRPr="005E3226"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 </w:t>
            </w:r>
          </w:p>
        </w:tc>
        <w:tc>
          <w:tcPr>
            <w:tcW w:w="1064"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Present </w:t>
            </w:r>
            <w:r w:rsidRPr="005E3226">
              <w:rPr>
                <w:color w:val="FFFFFF"/>
                <w:sz w:val="16"/>
              </w:rPr>
              <w:br/>
              <w:t>value</w:t>
            </w:r>
          </w:p>
        </w:tc>
        <w:tc>
          <w:tcPr>
            <w:tcW w:w="1078"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Nominal </w:t>
            </w:r>
            <w:r w:rsidRPr="005E3226">
              <w:rPr>
                <w:color w:val="FFFFFF"/>
                <w:sz w:val="16"/>
              </w:rPr>
              <w:br/>
              <w:t>value</w:t>
            </w:r>
          </w:p>
        </w:tc>
        <w:tc>
          <w:tcPr>
            <w:tcW w:w="881" w:type="dxa"/>
            <w:gridSpan w:val="2"/>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 </w:t>
            </w:r>
          </w:p>
        </w:tc>
        <w:tc>
          <w:tcPr>
            <w:tcW w:w="1078"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Present </w:t>
            </w:r>
            <w:r w:rsidRPr="005E3226">
              <w:rPr>
                <w:color w:val="FFFFFF"/>
                <w:sz w:val="16"/>
              </w:rPr>
              <w:br/>
              <w:t>value</w:t>
            </w:r>
          </w:p>
        </w:tc>
        <w:tc>
          <w:tcPr>
            <w:tcW w:w="1064"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Nominal </w:t>
            </w:r>
            <w:r w:rsidRPr="005E3226">
              <w:rPr>
                <w:color w:val="FFFFFF"/>
                <w:sz w:val="16"/>
              </w:rPr>
              <w:br/>
              <w:t>value</w:t>
            </w:r>
          </w:p>
        </w:tc>
        <w:tc>
          <w:tcPr>
            <w:tcW w:w="887" w:type="dxa"/>
            <w:gridSpan w:val="2"/>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 </w:t>
            </w:r>
          </w:p>
        </w:tc>
        <w:tc>
          <w:tcPr>
            <w:tcW w:w="1073"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Present </w:t>
            </w:r>
            <w:r w:rsidRPr="005E3226">
              <w:rPr>
                <w:color w:val="FFFFFF"/>
                <w:sz w:val="16"/>
              </w:rPr>
              <w:br/>
              <w:t>value</w:t>
            </w:r>
          </w:p>
        </w:tc>
        <w:tc>
          <w:tcPr>
            <w:tcW w:w="1105"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Nominal </w:t>
            </w:r>
            <w:r w:rsidRPr="005E3226">
              <w:rPr>
                <w:color w:val="FFFFFF"/>
                <w:sz w:val="16"/>
              </w:rPr>
              <w:br/>
              <w:t>value</w:t>
            </w:r>
          </w:p>
        </w:tc>
        <w:tc>
          <w:tcPr>
            <w:tcW w:w="882" w:type="dxa"/>
            <w:gridSpan w:val="2"/>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 </w:t>
            </w:r>
          </w:p>
        </w:tc>
        <w:tc>
          <w:tcPr>
            <w:tcW w:w="1120"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Present </w:t>
            </w:r>
            <w:r w:rsidRPr="005E3226">
              <w:rPr>
                <w:color w:val="FFFFFF"/>
                <w:sz w:val="16"/>
              </w:rPr>
              <w:br/>
              <w:t>value</w:t>
            </w:r>
          </w:p>
        </w:tc>
        <w:tc>
          <w:tcPr>
            <w:tcW w:w="1206" w:type="dxa"/>
          </w:tcPr>
          <w:p w:rsidR="00DF17E9" w:rsidRPr="005E3226"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5E3226">
              <w:rPr>
                <w:color w:val="FFFFFF"/>
                <w:sz w:val="16"/>
              </w:rPr>
              <w:t xml:space="preserve">Nominal </w:t>
            </w:r>
            <w:r w:rsidRPr="005E3226">
              <w:rPr>
                <w:color w:val="FFFFFF"/>
                <w:sz w:val="16"/>
              </w:rPr>
              <w:br/>
              <w:t>value</w:t>
            </w:r>
          </w:p>
        </w:tc>
      </w:tr>
      <w:tr w:rsidR="00DF17E9" w:rsidRPr="00EF4DE1"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i/>
                <w:color w:val="000000"/>
                <w:sz w:val="16"/>
              </w:rPr>
              <w:t xml:space="preserve"> </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5E3226">
            <w:pPr>
              <w:ind w:left="113" w:hanging="113"/>
              <w:rPr>
                <w:color w:val="000000"/>
                <w:sz w:val="16"/>
              </w:rPr>
            </w:pPr>
            <w:r w:rsidRPr="00EF4DE1">
              <w:rPr>
                <w:b/>
                <w:color w:val="000000"/>
                <w:sz w:val="16"/>
              </w:rPr>
              <w:t>Commissioned public private partnerships other commitments</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AgriBio Project</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121</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298</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121</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298</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120</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311</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120</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311</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Barwon Water</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66</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110</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65</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112</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Casey Hospital</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62</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112</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62</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112</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62</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118</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62</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118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Central Highlands Water</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59</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73</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60</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71</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Coliban Water</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84</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132</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99</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157</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County Court</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68</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83</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68</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83</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79</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97</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79</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97</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sz w:val="16"/>
                <w:vertAlign w:val="superscript"/>
              </w:rPr>
            </w:pPr>
            <w:r w:rsidRPr="00EF4DE1">
              <w:rPr>
                <w:color w:val="000000"/>
                <w:sz w:val="16"/>
              </w:rPr>
              <w:t>Emergency Service Telecommunications</w:t>
            </w:r>
            <w:r w:rsidRPr="00EF4DE1">
              <w:rPr>
                <w:color w:val="000000"/>
                <w:sz w:val="16"/>
                <w:vertAlign w:val="superscript"/>
              </w:rPr>
              <w:t xml:space="preserve"> </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65</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65</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65</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65</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57</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59</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57</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59</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Melbourne Convention Centre</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237</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464</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237</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464</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221</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485</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221</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485</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Peninsula Link</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186</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461</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186</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461</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201</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473</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201</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473</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sz w:val="16"/>
              </w:rPr>
            </w:pPr>
            <w:r w:rsidRPr="00EF4DE1">
              <w:rPr>
                <w:color w:val="000000"/>
                <w:sz w:val="16"/>
              </w:rPr>
              <w:t xml:space="preserve">Partnerships Victoria in Schools </w:t>
            </w:r>
            <w:r w:rsidRPr="00EF4DE1">
              <w:rPr>
                <w:sz w:val="16"/>
                <w:vertAlign w:val="superscript"/>
              </w:rPr>
              <w:t>(c)</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174</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389</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174</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389</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171</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398</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171</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398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sz w:val="16"/>
              </w:rPr>
            </w:pPr>
            <w:r w:rsidRPr="00EF4DE1">
              <w:rPr>
                <w:color w:val="000000"/>
                <w:sz w:val="16"/>
              </w:rPr>
              <w:t xml:space="preserve">Prisons </w:t>
            </w:r>
            <w:r w:rsidRPr="00EF4DE1">
              <w:rPr>
                <w:sz w:val="16"/>
                <w:vertAlign w:val="superscript"/>
              </w:rPr>
              <w:t>(c)</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1 467</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1 819</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1 467</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1 819</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1 368</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1 887</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1 368</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1 887</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Royal Children’s Hospital</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339</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803</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339</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803</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337</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835</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337</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835</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Royal Melbourne Showgrounds</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44</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66</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44</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66</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46</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74</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46</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Royal Women’s Hospital</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193</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399</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193</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399</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194</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414</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194</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414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Pr>
          <w:p w:rsidR="00DF17E9" w:rsidRPr="00EF4DE1" w:rsidRDefault="00DF17E9" w:rsidP="00044843">
            <w:pPr>
              <w:ind w:left="0" w:firstLine="0"/>
              <w:rPr>
                <w:color w:val="000000"/>
                <w:sz w:val="16"/>
              </w:rPr>
            </w:pPr>
            <w:r w:rsidRPr="00EF4DE1">
              <w:rPr>
                <w:color w:val="000000"/>
                <w:sz w:val="16"/>
              </w:rPr>
              <w:t>Southern Cross Station</w:t>
            </w:r>
          </w:p>
        </w:tc>
        <w:tc>
          <w:tcPr>
            <w:tcW w:w="894" w:type="dxa"/>
            <w:gridSpan w:val="2"/>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262</w:t>
            </w:r>
          </w:p>
        </w:tc>
        <w:tc>
          <w:tcPr>
            <w:tcW w:w="1078"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595</w:t>
            </w:r>
          </w:p>
        </w:tc>
        <w:tc>
          <w:tcPr>
            <w:tcW w:w="881"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262</w:t>
            </w:r>
          </w:p>
        </w:tc>
        <w:tc>
          <w:tcPr>
            <w:tcW w:w="1064"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595</w:t>
            </w:r>
          </w:p>
        </w:tc>
        <w:tc>
          <w:tcPr>
            <w:tcW w:w="887" w:type="dxa"/>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242</w:t>
            </w:r>
          </w:p>
        </w:tc>
        <w:tc>
          <w:tcPr>
            <w:tcW w:w="1105" w:type="dxa"/>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572</w:t>
            </w:r>
          </w:p>
        </w:tc>
        <w:tc>
          <w:tcPr>
            <w:tcW w:w="882" w:type="dxa"/>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242</w:t>
            </w:r>
          </w:p>
        </w:tc>
        <w:tc>
          <w:tcPr>
            <w:tcW w:w="1206"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572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Borders>
              <w:bottom w:val="nil"/>
            </w:tcBorders>
          </w:tcPr>
          <w:p w:rsidR="00DF17E9" w:rsidRPr="00EF4DE1" w:rsidRDefault="00DF17E9" w:rsidP="00044843">
            <w:pPr>
              <w:ind w:left="0" w:firstLine="0"/>
              <w:rPr>
                <w:color w:val="000000"/>
                <w:sz w:val="16"/>
              </w:rPr>
            </w:pPr>
            <w:r w:rsidRPr="00EF4DE1">
              <w:rPr>
                <w:color w:val="000000"/>
                <w:sz w:val="16"/>
              </w:rPr>
              <w:t>Victorian Comprehensive Cancer Centre (VCCC)</w:t>
            </w:r>
          </w:p>
        </w:tc>
        <w:tc>
          <w:tcPr>
            <w:tcW w:w="894" w:type="dxa"/>
            <w:gridSpan w:val="2"/>
            <w:tcBorders>
              <w:bottom w:val="nil"/>
            </w:tcBorders>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848</w:t>
            </w:r>
          </w:p>
        </w:tc>
        <w:tc>
          <w:tcPr>
            <w:tcW w:w="1078" w:type="dxa"/>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 xml:space="preserve">1 </w:t>
            </w:r>
            <w:r w:rsidRPr="00EF4DE1">
              <w:rPr>
                <w:sz w:val="16"/>
              </w:rPr>
              <w:t>830</w:t>
            </w:r>
          </w:p>
        </w:tc>
        <w:tc>
          <w:tcPr>
            <w:tcW w:w="881" w:type="dxa"/>
            <w:gridSpan w:val="2"/>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848</w:t>
            </w:r>
          </w:p>
        </w:tc>
        <w:tc>
          <w:tcPr>
            <w:tcW w:w="1064"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 xml:space="preserve">1 </w:t>
            </w:r>
            <w:r w:rsidRPr="00EF4DE1">
              <w:rPr>
                <w:sz w:val="16"/>
              </w:rPr>
              <w:t>830</w:t>
            </w:r>
          </w:p>
        </w:tc>
        <w:tc>
          <w:tcPr>
            <w:tcW w:w="887" w:type="dxa"/>
            <w:gridSpan w:val="2"/>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w:t>
            </w:r>
          </w:p>
        </w:tc>
        <w:tc>
          <w:tcPr>
            <w:tcW w:w="1105" w:type="dxa"/>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w:t>
            </w:r>
          </w:p>
        </w:tc>
        <w:tc>
          <w:tcPr>
            <w:tcW w:w="882" w:type="dxa"/>
            <w:gridSpan w:val="2"/>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w:t>
            </w:r>
          </w:p>
        </w:tc>
        <w:tc>
          <w:tcPr>
            <w:tcW w:w="1206"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tcBorders>
          </w:tcPr>
          <w:p w:rsidR="00DF17E9" w:rsidRPr="00EF4DE1" w:rsidRDefault="00DF17E9" w:rsidP="00044843">
            <w:pPr>
              <w:ind w:left="0" w:firstLine="0"/>
              <w:rPr>
                <w:color w:val="000000"/>
                <w:sz w:val="16"/>
              </w:rPr>
            </w:pPr>
            <w:r w:rsidRPr="00EF4DE1">
              <w:rPr>
                <w:color w:val="000000"/>
                <w:sz w:val="16"/>
              </w:rPr>
              <w:t>Victorian Desalination Plant</w:t>
            </w:r>
          </w:p>
        </w:tc>
        <w:tc>
          <w:tcPr>
            <w:tcW w:w="894" w:type="dxa"/>
            <w:gridSpan w:val="2"/>
            <w:tcBorders>
              <w:bottom w:val="single" w:sz="6" w:space="0" w:color="auto"/>
            </w:tcBorders>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1 587</w:t>
            </w:r>
          </w:p>
        </w:tc>
        <w:tc>
          <w:tcPr>
            <w:tcW w:w="1078" w:type="dxa"/>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4 762</w:t>
            </w:r>
          </w:p>
        </w:tc>
        <w:tc>
          <w:tcPr>
            <w:tcW w:w="881" w:type="dxa"/>
            <w:gridSpan w:val="2"/>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1 587</w:t>
            </w:r>
          </w:p>
        </w:tc>
        <w:tc>
          <w:tcPr>
            <w:tcW w:w="1064"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4 762</w:t>
            </w:r>
          </w:p>
        </w:tc>
        <w:tc>
          <w:tcPr>
            <w:tcW w:w="887" w:type="dxa"/>
            <w:gridSpan w:val="2"/>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3" w:type="dxa"/>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1 562</w:t>
            </w:r>
          </w:p>
        </w:tc>
        <w:tc>
          <w:tcPr>
            <w:tcW w:w="1105" w:type="dxa"/>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4 960</w:t>
            </w:r>
          </w:p>
        </w:tc>
        <w:tc>
          <w:tcPr>
            <w:tcW w:w="882" w:type="dxa"/>
            <w:gridSpan w:val="2"/>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12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1 562</w:t>
            </w:r>
          </w:p>
        </w:tc>
        <w:tc>
          <w:tcPr>
            <w:tcW w:w="1206"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4 960</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auto"/>
              <w:bottom w:val="single" w:sz="12" w:space="0" w:color="auto"/>
            </w:tcBorders>
          </w:tcPr>
          <w:p w:rsidR="00DF17E9" w:rsidRPr="00EF4DE1" w:rsidRDefault="00DF17E9" w:rsidP="00044843">
            <w:pPr>
              <w:ind w:left="0" w:firstLine="0"/>
              <w:rPr>
                <w:b/>
                <w:color w:val="000000"/>
                <w:sz w:val="16"/>
              </w:rPr>
            </w:pPr>
            <w:r w:rsidRPr="00EF4DE1">
              <w:rPr>
                <w:b/>
                <w:color w:val="000000"/>
                <w:sz w:val="16"/>
              </w:rPr>
              <w:t>Sub-total</w:t>
            </w:r>
          </w:p>
        </w:tc>
        <w:tc>
          <w:tcPr>
            <w:tcW w:w="894" w:type="dxa"/>
            <w:gridSpan w:val="2"/>
            <w:tcBorders>
              <w:top w:val="single" w:sz="6" w:space="0" w:color="auto"/>
              <w:bottom w:val="single" w:sz="12" w:space="0" w:color="auto"/>
            </w:tcBorders>
            <w:shd w:val="clear" w:color="auto" w:fill="EBEBEB"/>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64" w:type="dxa"/>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5 859</w:t>
            </w:r>
          </w:p>
        </w:tc>
        <w:tc>
          <w:tcPr>
            <w:tcW w:w="1078" w:type="dxa"/>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12 459</w:t>
            </w:r>
          </w:p>
        </w:tc>
        <w:tc>
          <w:tcPr>
            <w:tcW w:w="881" w:type="dxa"/>
            <w:gridSpan w:val="2"/>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1078"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5 650</w:t>
            </w:r>
          </w:p>
        </w:tc>
        <w:tc>
          <w:tcPr>
            <w:tcW w:w="1064"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12 145</w:t>
            </w:r>
          </w:p>
        </w:tc>
        <w:tc>
          <w:tcPr>
            <w:tcW w:w="887" w:type="dxa"/>
            <w:gridSpan w:val="2"/>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1073" w:type="dxa"/>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4 884</w:t>
            </w:r>
          </w:p>
        </w:tc>
        <w:tc>
          <w:tcPr>
            <w:tcW w:w="1105" w:type="dxa"/>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11 021</w:t>
            </w:r>
          </w:p>
        </w:tc>
        <w:tc>
          <w:tcPr>
            <w:tcW w:w="882" w:type="dxa"/>
            <w:gridSpan w:val="2"/>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1120"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4 660</w:t>
            </w:r>
          </w:p>
        </w:tc>
        <w:tc>
          <w:tcPr>
            <w:tcW w:w="1206"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10 681</w:t>
            </w:r>
          </w:p>
        </w:tc>
      </w:tr>
    </w:tbl>
    <w:p w:rsidR="00DF17E9" w:rsidRDefault="00DF17E9" w:rsidP="00044843">
      <w:pPr>
        <w:pStyle w:val="BodyText"/>
      </w:pPr>
    </w:p>
    <w:p w:rsidR="00DF17E9" w:rsidRDefault="00DF17E9" w:rsidP="00044843">
      <w:pPr>
        <w:pStyle w:val="BodyText"/>
      </w:pPr>
    </w:p>
    <w:p w:rsidR="00DF17E9" w:rsidRPr="00C5186E" w:rsidRDefault="00DF17E9" w:rsidP="00044843">
      <w:pPr>
        <w:pStyle w:val="BodyText"/>
      </w:pPr>
    </w:p>
    <w:p w:rsidR="00DF17E9" w:rsidRDefault="00DF17E9" w:rsidP="00044843">
      <w:r>
        <w:br w:type="page"/>
      </w:r>
    </w:p>
    <w:p w:rsidR="00DF17E9" w:rsidRPr="00EF4DE1" w:rsidRDefault="00DF17E9" w:rsidP="00044843">
      <w:pPr>
        <w:pStyle w:val="Subheading"/>
        <w:tabs>
          <w:tab w:val="right" w:pos="14601"/>
        </w:tabs>
        <w:rPr>
          <w:bCs/>
          <w:sz w:val="16"/>
          <w:lang w:val="en-US"/>
        </w:rPr>
      </w:pPr>
      <w:r w:rsidRPr="00CD2830">
        <w:lastRenderedPageBreak/>
        <w:t xml:space="preserve">Public private partnership commitments </w:t>
      </w:r>
      <w:r w:rsidRPr="006D4296">
        <w:rPr>
          <w:i/>
        </w:rPr>
        <w:t>(continued)</w:t>
      </w:r>
      <w:r>
        <w:tab/>
      </w:r>
      <w:r>
        <w:tab/>
      </w:r>
      <w:r w:rsidRPr="00DC48B7">
        <w:rPr>
          <w:rStyle w:val="TableUnitsChar"/>
        </w:rPr>
        <w:t>($ million)</w:t>
      </w:r>
    </w:p>
    <w:tbl>
      <w:tblPr>
        <w:tblStyle w:val="TableDTFGeneral"/>
        <w:tblW w:w="5000" w:type="pct"/>
        <w:tblInd w:w="0" w:type="dxa"/>
        <w:tblLayout w:type="fixed"/>
        <w:tblLook w:val="06A0" w:firstRow="1" w:lastRow="0" w:firstColumn="1" w:lastColumn="0" w:noHBand="1" w:noVBand="1"/>
      </w:tblPr>
      <w:tblGrid>
        <w:gridCol w:w="2463"/>
        <w:gridCol w:w="144"/>
        <w:gridCol w:w="752"/>
        <w:gridCol w:w="1066"/>
        <w:gridCol w:w="1081"/>
        <w:gridCol w:w="135"/>
        <w:gridCol w:w="746"/>
        <w:gridCol w:w="1078"/>
        <w:gridCol w:w="1063"/>
        <w:gridCol w:w="173"/>
        <w:gridCol w:w="711"/>
        <w:gridCol w:w="1063"/>
        <w:gridCol w:w="1119"/>
        <w:gridCol w:w="135"/>
        <w:gridCol w:w="761"/>
        <w:gridCol w:w="1107"/>
        <w:gridCol w:w="1087"/>
      </w:tblGrid>
      <w:tr w:rsidR="005E3226" w:rsidRPr="00EF4DE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9" w:type="pct"/>
          </w:tcPr>
          <w:p w:rsidR="005E3226" w:rsidRPr="00EF4DE1" w:rsidRDefault="005E3226" w:rsidP="00044843">
            <w:pPr>
              <w:ind w:left="0" w:firstLine="0"/>
              <w:rPr>
                <w:color w:val="FFFFFF"/>
                <w:sz w:val="16"/>
              </w:rPr>
            </w:pPr>
            <w:r w:rsidRPr="00EF4DE1">
              <w:rPr>
                <w:color w:val="FFFFFF"/>
                <w:sz w:val="16"/>
              </w:rPr>
              <w:t xml:space="preserve"> </w:t>
            </w:r>
          </w:p>
        </w:tc>
        <w:tc>
          <w:tcPr>
            <w:tcW w:w="49"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987" w:type="pct"/>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State of Victoria</w:t>
            </w:r>
          </w:p>
        </w:tc>
        <w:tc>
          <w:tcPr>
            <w:tcW w:w="46"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983" w:type="pct"/>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General government sector</w:t>
            </w:r>
          </w:p>
        </w:tc>
        <w:tc>
          <w:tcPr>
            <w:tcW w:w="59"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985" w:type="pct"/>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State of Victoria</w:t>
            </w:r>
          </w:p>
        </w:tc>
        <w:tc>
          <w:tcPr>
            <w:tcW w:w="46"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1006" w:type="pct"/>
            <w:gridSpan w:val="3"/>
            <w:tcBorders>
              <w:bottom w:val="nil"/>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General government sector</w:t>
            </w:r>
          </w:p>
        </w:tc>
      </w:tr>
      <w:tr w:rsidR="005E3226" w:rsidRPr="00EF4DE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9" w:type="pct"/>
          </w:tcPr>
          <w:p w:rsidR="005E3226" w:rsidRPr="00EF4DE1" w:rsidRDefault="005E3226" w:rsidP="00044843">
            <w:pPr>
              <w:ind w:left="0" w:firstLine="0"/>
              <w:rPr>
                <w:color w:val="FFFFFF"/>
                <w:sz w:val="16"/>
              </w:rPr>
            </w:pPr>
            <w:r w:rsidRPr="00EF4DE1">
              <w:rPr>
                <w:color w:val="FFFFFF"/>
                <w:sz w:val="16"/>
              </w:rPr>
              <w:t xml:space="preserve"> </w:t>
            </w:r>
          </w:p>
        </w:tc>
        <w:tc>
          <w:tcPr>
            <w:tcW w:w="49"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987" w:type="pct"/>
            <w:gridSpan w:val="3"/>
            <w:tcBorders>
              <w:bottom w:val="single" w:sz="6" w:space="0" w:color="FFFFFF" w:themeColor="background1"/>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2016</w:t>
            </w:r>
          </w:p>
        </w:tc>
        <w:tc>
          <w:tcPr>
            <w:tcW w:w="46"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983" w:type="pct"/>
            <w:gridSpan w:val="3"/>
            <w:tcBorders>
              <w:bottom w:val="single" w:sz="6" w:space="0" w:color="FFFFFF" w:themeColor="background1"/>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2016</w:t>
            </w:r>
          </w:p>
        </w:tc>
        <w:tc>
          <w:tcPr>
            <w:tcW w:w="59"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985" w:type="pct"/>
            <w:gridSpan w:val="3"/>
            <w:tcBorders>
              <w:bottom w:val="single" w:sz="6" w:space="0" w:color="FFFFFF" w:themeColor="background1"/>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2015</w:t>
            </w:r>
          </w:p>
        </w:tc>
        <w:tc>
          <w:tcPr>
            <w:tcW w:w="46" w:type="pct"/>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1006" w:type="pct"/>
            <w:gridSpan w:val="3"/>
            <w:tcBorders>
              <w:bottom w:val="single" w:sz="6" w:space="0" w:color="FFFFFF" w:themeColor="background1"/>
            </w:tcBorders>
          </w:tcPr>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i w:val="0"/>
                <w:color w:val="FFFFFF"/>
                <w:sz w:val="16"/>
              </w:rPr>
            </w:pPr>
            <w:r w:rsidRPr="00EF4DE1">
              <w:rPr>
                <w:color w:val="FFFFFF"/>
                <w:sz w:val="16"/>
              </w:rPr>
              <w:t xml:space="preserve"> </w:t>
            </w:r>
          </w:p>
          <w:p w:rsidR="005E3226" w:rsidRPr="00EF4DE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2015</w:t>
            </w:r>
          </w:p>
        </w:tc>
      </w:tr>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9" w:type="pct"/>
          </w:tcPr>
          <w:p w:rsidR="00DF17E9" w:rsidRPr="00EF4DE1" w:rsidRDefault="00DF17E9" w:rsidP="00044843">
            <w:pPr>
              <w:ind w:left="0" w:firstLine="0"/>
              <w:rPr>
                <w:color w:val="FFFFFF"/>
                <w:sz w:val="16"/>
              </w:rPr>
            </w:pPr>
            <w:r w:rsidRPr="00EF4DE1">
              <w:rPr>
                <w:color w:val="FFFFFF"/>
                <w:sz w:val="16"/>
              </w:rPr>
              <w:t xml:space="preserve"> </w:t>
            </w:r>
          </w:p>
        </w:tc>
        <w:tc>
          <w:tcPr>
            <w:tcW w:w="305"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Minimum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lease payments</w:t>
            </w:r>
          </w:p>
        </w:tc>
        <w:tc>
          <w:tcPr>
            <w:tcW w:w="363"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Other commitments</w:t>
            </w:r>
          </w:p>
        </w:tc>
        <w:tc>
          <w:tcPr>
            <w:tcW w:w="368"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Total commitments</w:t>
            </w:r>
          </w:p>
        </w:tc>
        <w:tc>
          <w:tcPr>
            <w:tcW w:w="300"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Minimum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lease payments</w:t>
            </w:r>
          </w:p>
        </w:tc>
        <w:tc>
          <w:tcPr>
            <w:tcW w:w="367"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Other commitments</w:t>
            </w:r>
          </w:p>
        </w:tc>
        <w:tc>
          <w:tcPr>
            <w:tcW w:w="362"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Total commitments</w:t>
            </w:r>
          </w:p>
        </w:tc>
        <w:tc>
          <w:tcPr>
            <w:tcW w:w="301"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Minimum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lease payments</w:t>
            </w:r>
          </w:p>
        </w:tc>
        <w:tc>
          <w:tcPr>
            <w:tcW w:w="362"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Other commitments</w:t>
            </w:r>
          </w:p>
        </w:tc>
        <w:tc>
          <w:tcPr>
            <w:tcW w:w="381"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Total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commitments</w:t>
            </w:r>
          </w:p>
        </w:tc>
        <w:tc>
          <w:tcPr>
            <w:tcW w:w="305"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Minimum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lease payments</w:t>
            </w:r>
          </w:p>
        </w:tc>
        <w:tc>
          <w:tcPr>
            <w:tcW w:w="377"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Other commitments</w:t>
            </w:r>
          </w:p>
        </w:tc>
        <w:tc>
          <w:tcPr>
            <w:tcW w:w="369"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Total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commitments</w:t>
            </w:r>
          </w:p>
        </w:tc>
      </w:tr>
      <w:tr w:rsidR="00DF17E9" w:rsidRPr="00EF4DE1" w:rsidTr="005E3226">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839" w:type="pct"/>
          </w:tcPr>
          <w:p w:rsidR="00DF17E9" w:rsidRPr="00EF4DE1" w:rsidRDefault="00DF17E9" w:rsidP="00044843">
            <w:pPr>
              <w:ind w:left="0" w:firstLine="0"/>
              <w:jc w:val="right"/>
              <w:rPr>
                <w:color w:val="FFFFFF"/>
                <w:sz w:val="16"/>
              </w:rPr>
            </w:pPr>
            <w:r w:rsidRPr="00EF4DE1">
              <w:rPr>
                <w:color w:val="FFFFFF"/>
                <w:sz w:val="16"/>
              </w:rPr>
              <w:t xml:space="preserve"> </w:t>
            </w:r>
          </w:p>
        </w:tc>
        <w:tc>
          <w:tcPr>
            <w:tcW w:w="305"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63"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68"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00"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67"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62"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01"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62"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81"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05" w:type="pct"/>
            <w:gridSpan w:val="2"/>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77"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c>
          <w:tcPr>
            <w:tcW w:w="369" w:type="pct"/>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 </w:t>
            </w:r>
          </w:p>
        </w:tc>
      </w:tr>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9" w:type="pct"/>
            <w:tcBorders>
              <w:bottom w:val="nil"/>
            </w:tcBorders>
          </w:tcPr>
          <w:p w:rsidR="00DF17E9" w:rsidRPr="00EF4DE1" w:rsidRDefault="00DF17E9" w:rsidP="00044843">
            <w:pPr>
              <w:ind w:left="0" w:firstLine="0"/>
              <w:jc w:val="right"/>
              <w:rPr>
                <w:color w:val="FFFFFF"/>
                <w:sz w:val="16"/>
              </w:rPr>
            </w:pPr>
            <w:r w:rsidRPr="00EF4DE1">
              <w:rPr>
                <w:color w:val="FFFFFF"/>
                <w:sz w:val="16"/>
              </w:rPr>
              <w:t xml:space="preserve"> </w:t>
            </w:r>
          </w:p>
        </w:tc>
        <w:tc>
          <w:tcPr>
            <w:tcW w:w="305" w:type="pct"/>
            <w:gridSpan w:val="2"/>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Discounted value</w:t>
            </w:r>
          </w:p>
        </w:tc>
        <w:tc>
          <w:tcPr>
            <w:tcW w:w="363"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Present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68"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Nominal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00" w:type="pct"/>
            <w:gridSpan w:val="2"/>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Discounted value</w:t>
            </w:r>
          </w:p>
        </w:tc>
        <w:tc>
          <w:tcPr>
            <w:tcW w:w="367"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Present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62"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Nominal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01" w:type="pct"/>
            <w:gridSpan w:val="2"/>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Discounted value</w:t>
            </w:r>
          </w:p>
        </w:tc>
        <w:tc>
          <w:tcPr>
            <w:tcW w:w="362"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Present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81"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Nominal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05" w:type="pct"/>
            <w:gridSpan w:val="2"/>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Discounted value</w:t>
            </w:r>
          </w:p>
        </w:tc>
        <w:tc>
          <w:tcPr>
            <w:tcW w:w="377"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Present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c>
          <w:tcPr>
            <w:tcW w:w="369" w:type="pct"/>
            <w:tcBorders>
              <w:bottom w:val="nil"/>
            </w:tcBorders>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 xml:space="preserve">Nominal </w:t>
            </w:r>
          </w:p>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EF4DE1">
              <w:rPr>
                <w:color w:val="FFFFFF"/>
                <w:sz w:val="16"/>
              </w:rPr>
              <w:t>value</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top w:val="nil"/>
            </w:tcBorders>
          </w:tcPr>
          <w:p w:rsidR="00DF17E9" w:rsidRPr="00EF4DE1" w:rsidRDefault="00DF17E9" w:rsidP="00044843">
            <w:pPr>
              <w:ind w:left="113" w:hanging="113"/>
              <w:rPr>
                <w:color w:val="000000"/>
                <w:sz w:val="16"/>
              </w:rPr>
            </w:pPr>
            <w:r w:rsidRPr="00EF4DE1">
              <w:rPr>
                <w:b/>
                <w:color w:val="000000"/>
                <w:sz w:val="16"/>
              </w:rPr>
              <w:t>Uncommissioned public private partnerships total commitments</w:t>
            </w:r>
          </w:p>
        </w:tc>
        <w:tc>
          <w:tcPr>
            <w:tcW w:w="305" w:type="pct"/>
            <w:gridSpan w:val="2"/>
            <w:tcBorders>
              <w:top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63" w:type="pct"/>
            <w:tcBorders>
              <w:top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68" w:type="pct"/>
            <w:tcBorders>
              <w:top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00" w:type="pct"/>
            <w:gridSpan w:val="2"/>
            <w:tcBorders>
              <w:top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67" w:type="pct"/>
            <w:tcBorders>
              <w:top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62" w:type="pct"/>
            <w:tcBorders>
              <w:top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01" w:type="pct"/>
            <w:gridSpan w:val="2"/>
            <w:tcBorders>
              <w:top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62" w:type="pct"/>
            <w:tcBorders>
              <w:top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81" w:type="pct"/>
            <w:tcBorders>
              <w:top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05" w:type="pct"/>
            <w:gridSpan w:val="2"/>
            <w:tcBorders>
              <w:top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77" w:type="pct"/>
            <w:tcBorders>
              <w:top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c>
          <w:tcPr>
            <w:tcW w:w="369" w:type="pct"/>
            <w:tcBorders>
              <w:top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i/>
                <w:color w:val="000000"/>
                <w:sz w:val="16"/>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Pr>
          <w:p w:rsidR="00DF17E9" w:rsidRPr="00EF4DE1" w:rsidRDefault="00DF17E9" w:rsidP="00044843">
            <w:pPr>
              <w:ind w:left="113" w:hanging="113"/>
              <w:rPr>
                <w:color w:val="000000"/>
                <w:sz w:val="16"/>
              </w:rPr>
            </w:pPr>
            <w:r w:rsidRPr="00EF4DE1">
              <w:rPr>
                <w:color w:val="000000"/>
                <w:sz w:val="16"/>
              </w:rPr>
              <w:t xml:space="preserve">Bendigo Hospital – stage one </w:t>
            </w:r>
            <w:r w:rsidRPr="00EF4DE1">
              <w:rPr>
                <w:color w:val="000000"/>
                <w:sz w:val="16"/>
                <w:vertAlign w:val="superscript"/>
              </w:rPr>
              <w:t>(d)</w:t>
            </w:r>
          </w:p>
        </w:tc>
        <w:tc>
          <w:tcPr>
            <w:tcW w:w="305"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274</w:t>
            </w:r>
          </w:p>
        </w:tc>
        <w:tc>
          <w:tcPr>
            <w:tcW w:w="363"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1 221</w:t>
            </w:r>
          </w:p>
        </w:tc>
        <w:tc>
          <w:tcPr>
            <w:tcW w:w="368"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2 862</w:t>
            </w:r>
          </w:p>
        </w:tc>
        <w:tc>
          <w:tcPr>
            <w:tcW w:w="300"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274</w:t>
            </w:r>
          </w:p>
        </w:tc>
        <w:tc>
          <w:tcPr>
            <w:tcW w:w="36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1 221</w:t>
            </w:r>
          </w:p>
        </w:tc>
        <w:tc>
          <w:tcPr>
            <w:tcW w:w="362"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2 862</w:t>
            </w:r>
          </w:p>
        </w:tc>
        <w:tc>
          <w:tcPr>
            <w:tcW w:w="301"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279</w:t>
            </w:r>
          </w:p>
        </w:tc>
        <w:tc>
          <w:tcPr>
            <w:tcW w:w="362"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1 178</w:t>
            </w:r>
          </w:p>
        </w:tc>
        <w:tc>
          <w:tcPr>
            <w:tcW w:w="381"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2 862</w:t>
            </w:r>
          </w:p>
        </w:tc>
        <w:tc>
          <w:tcPr>
            <w:tcW w:w="305"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279</w:t>
            </w:r>
          </w:p>
        </w:tc>
        <w:tc>
          <w:tcPr>
            <w:tcW w:w="37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1 178</w:t>
            </w:r>
          </w:p>
        </w:tc>
        <w:tc>
          <w:tcPr>
            <w:tcW w:w="369"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2 862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Pr>
          <w:p w:rsidR="00DF17E9" w:rsidRPr="00EF4DE1" w:rsidRDefault="00DF17E9" w:rsidP="00044843">
            <w:pPr>
              <w:ind w:left="113" w:hanging="113"/>
              <w:rPr>
                <w:color w:val="000000"/>
                <w:sz w:val="16"/>
              </w:rPr>
            </w:pPr>
            <w:r w:rsidRPr="00EF4DE1">
              <w:rPr>
                <w:color w:val="000000"/>
                <w:sz w:val="16"/>
              </w:rPr>
              <w:t>Bendigo Hospital – stage two</w:t>
            </w:r>
            <w:r w:rsidRPr="00EF4DE1">
              <w:rPr>
                <w:color w:val="000000"/>
                <w:sz w:val="16"/>
                <w:vertAlign w:val="superscript"/>
              </w:rPr>
              <w:t xml:space="preserve"> (d)</w:t>
            </w:r>
          </w:p>
        </w:tc>
        <w:tc>
          <w:tcPr>
            <w:tcW w:w="305"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14</w:t>
            </w:r>
          </w:p>
        </w:tc>
        <w:tc>
          <w:tcPr>
            <w:tcW w:w="363"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48</w:t>
            </w:r>
          </w:p>
        </w:tc>
        <w:tc>
          <w:tcPr>
            <w:tcW w:w="368"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100</w:t>
            </w:r>
          </w:p>
        </w:tc>
        <w:tc>
          <w:tcPr>
            <w:tcW w:w="300"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14</w:t>
            </w:r>
          </w:p>
        </w:tc>
        <w:tc>
          <w:tcPr>
            <w:tcW w:w="36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48</w:t>
            </w:r>
          </w:p>
        </w:tc>
        <w:tc>
          <w:tcPr>
            <w:tcW w:w="362"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100</w:t>
            </w:r>
          </w:p>
        </w:tc>
        <w:tc>
          <w:tcPr>
            <w:tcW w:w="301"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18</w:t>
            </w:r>
          </w:p>
        </w:tc>
        <w:tc>
          <w:tcPr>
            <w:tcW w:w="362"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47</w:t>
            </w:r>
          </w:p>
        </w:tc>
        <w:tc>
          <w:tcPr>
            <w:tcW w:w="381"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100</w:t>
            </w:r>
          </w:p>
        </w:tc>
        <w:tc>
          <w:tcPr>
            <w:tcW w:w="305"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18</w:t>
            </w:r>
          </w:p>
        </w:tc>
        <w:tc>
          <w:tcPr>
            <w:tcW w:w="37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47</w:t>
            </w:r>
          </w:p>
        </w:tc>
        <w:tc>
          <w:tcPr>
            <w:tcW w:w="369"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100</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Pr>
          <w:p w:rsidR="00DF17E9" w:rsidRPr="00EF4DE1" w:rsidRDefault="00DF17E9" w:rsidP="00044843">
            <w:pPr>
              <w:ind w:left="113" w:hanging="113"/>
              <w:rPr>
                <w:color w:val="000000"/>
                <w:sz w:val="16"/>
              </w:rPr>
            </w:pPr>
            <w:r w:rsidRPr="00EF4DE1">
              <w:rPr>
                <w:color w:val="000000"/>
                <w:sz w:val="16"/>
              </w:rPr>
              <w:t>New Schools PPP</w:t>
            </w:r>
          </w:p>
        </w:tc>
        <w:tc>
          <w:tcPr>
            <w:tcW w:w="305"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394</w:t>
            </w:r>
          </w:p>
        </w:tc>
        <w:tc>
          <w:tcPr>
            <w:tcW w:w="363"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176</w:t>
            </w:r>
          </w:p>
        </w:tc>
        <w:tc>
          <w:tcPr>
            <w:tcW w:w="368"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1 088</w:t>
            </w:r>
          </w:p>
        </w:tc>
        <w:tc>
          <w:tcPr>
            <w:tcW w:w="300"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394</w:t>
            </w:r>
          </w:p>
        </w:tc>
        <w:tc>
          <w:tcPr>
            <w:tcW w:w="36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176</w:t>
            </w:r>
          </w:p>
        </w:tc>
        <w:tc>
          <w:tcPr>
            <w:tcW w:w="362"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1 088</w:t>
            </w:r>
          </w:p>
        </w:tc>
        <w:tc>
          <w:tcPr>
            <w:tcW w:w="301"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62"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81"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05"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7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69"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Pr>
          <w:p w:rsidR="00DF17E9" w:rsidRPr="00EF4DE1" w:rsidRDefault="00DF17E9" w:rsidP="00044843">
            <w:pPr>
              <w:ind w:left="113" w:hanging="113"/>
              <w:rPr>
                <w:color w:val="000000"/>
                <w:sz w:val="16"/>
              </w:rPr>
            </w:pPr>
            <w:r w:rsidRPr="00EF4DE1">
              <w:rPr>
                <w:color w:val="000000"/>
                <w:sz w:val="16"/>
              </w:rPr>
              <w:t>Victorian Comprehensive Cancer Centre (VCCC)</w:t>
            </w:r>
          </w:p>
        </w:tc>
        <w:tc>
          <w:tcPr>
            <w:tcW w:w="305"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63"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68"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00"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6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62"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01" w:type="pct"/>
            <w:gridSpan w:val="2"/>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1 050</w:t>
            </w:r>
          </w:p>
        </w:tc>
        <w:tc>
          <w:tcPr>
            <w:tcW w:w="362"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383</w:t>
            </w:r>
          </w:p>
        </w:tc>
        <w:tc>
          <w:tcPr>
            <w:tcW w:w="381" w:type="pct"/>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3 200</w:t>
            </w:r>
          </w:p>
        </w:tc>
        <w:tc>
          <w:tcPr>
            <w:tcW w:w="305" w:type="pct"/>
            <w:gridSpan w:val="2"/>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1 050</w:t>
            </w:r>
          </w:p>
        </w:tc>
        <w:tc>
          <w:tcPr>
            <w:tcW w:w="377"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383</w:t>
            </w:r>
          </w:p>
        </w:tc>
        <w:tc>
          <w:tcPr>
            <w:tcW w:w="369" w:type="pct"/>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3 200</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bottom w:val="nil"/>
            </w:tcBorders>
          </w:tcPr>
          <w:p w:rsidR="00DF17E9" w:rsidRPr="00EF4DE1" w:rsidRDefault="00DF17E9" w:rsidP="00044843">
            <w:pPr>
              <w:ind w:left="113" w:hanging="113"/>
              <w:rPr>
                <w:sz w:val="16"/>
              </w:rPr>
            </w:pPr>
            <w:r w:rsidRPr="00EF4DE1">
              <w:rPr>
                <w:color w:val="000000"/>
                <w:sz w:val="16"/>
              </w:rPr>
              <w:t xml:space="preserve">Ravenhall Prison </w:t>
            </w:r>
            <w:r w:rsidRPr="00EF4DE1">
              <w:rPr>
                <w:sz w:val="16"/>
                <w:vertAlign w:val="superscript"/>
              </w:rPr>
              <w:t>(c)</w:t>
            </w:r>
          </w:p>
        </w:tc>
        <w:tc>
          <w:tcPr>
            <w:tcW w:w="305" w:type="pct"/>
            <w:gridSpan w:val="2"/>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792</w:t>
            </w:r>
          </w:p>
        </w:tc>
        <w:tc>
          <w:tcPr>
            <w:tcW w:w="363" w:type="pct"/>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2 799</w:t>
            </w:r>
          </w:p>
        </w:tc>
        <w:tc>
          <w:tcPr>
            <w:tcW w:w="368" w:type="pct"/>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7 460</w:t>
            </w:r>
          </w:p>
        </w:tc>
        <w:tc>
          <w:tcPr>
            <w:tcW w:w="300" w:type="pct"/>
            <w:gridSpan w:val="2"/>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792</w:t>
            </w:r>
          </w:p>
        </w:tc>
        <w:tc>
          <w:tcPr>
            <w:tcW w:w="367" w:type="pct"/>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2 799</w:t>
            </w:r>
          </w:p>
        </w:tc>
        <w:tc>
          <w:tcPr>
            <w:tcW w:w="362" w:type="pct"/>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7 460</w:t>
            </w:r>
          </w:p>
        </w:tc>
        <w:tc>
          <w:tcPr>
            <w:tcW w:w="301" w:type="pct"/>
            <w:gridSpan w:val="2"/>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792</w:t>
            </w:r>
          </w:p>
        </w:tc>
        <w:tc>
          <w:tcPr>
            <w:tcW w:w="362" w:type="pct"/>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2 652</w:t>
            </w:r>
          </w:p>
        </w:tc>
        <w:tc>
          <w:tcPr>
            <w:tcW w:w="381" w:type="pct"/>
            <w:tcBorders>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7 460</w:t>
            </w:r>
          </w:p>
        </w:tc>
        <w:tc>
          <w:tcPr>
            <w:tcW w:w="305" w:type="pct"/>
            <w:gridSpan w:val="2"/>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792</w:t>
            </w:r>
          </w:p>
        </w:tc>
        <w:tc>
          <w:tcPr>
            <w:tcW w:w="377" w:type="pct"/>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2 652</w:t>
            </w:r>
          </w:p>
        </w:tc>
        <w:tc>
          <w:tcPr>
            <w:tcW w:w="369" w:type="pct"/>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7 460</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bottom w:val="single" w:sz="6" w:space="0" w:color="auto"/>
            </w:tcBorders>
          </w:tcPr>
          <w:p w:rsidR="00DF17E9" w:rsidRPr="00EF4DE1" w:rsidRDefault="00DF17E9" w:rsidP="00044843">
            <w:pPr>
              <w:ind w:left="113" w:hanging="113"/>
              <w:rPr>
                <w:color w:val="000000"/>
                <w:sz w:val="16"/>
              </w:rPr>
            </w:pPr>
            <w:r w:rsidRPr="00EF4DE1">
              <w:rPr>
                <w:color w:val="000000"/>
                <w:sz w:val="16"/>
              </w:rPr>
              <w:t>Melbourne Convention Centre – stage two</w:t>
            </w:r>
          </w:p>
        </w:tc>
        <w:tc>
          <w:tcPr>
            <w:tcW w:w="305" w:type="pct"/>
            <w:gridSpan w:val="2"/>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38</w:t>
            </w:r>
          </w:p>
        </w:tc>
        <w:tc>
          <w:tcPr>
            <w:tcW w:w="363"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36</w:t>
            </w:r>
          </w:p>
        </w:tc>
        <w:tc>
          <w:tcPr>
            <w:tcW w:w="368"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160</w:t>
            </w:r>
          </w:p>
        </w:tc>
        <w:tc>
          <w:tcPr>
            <w:tcW w:w="300" w:type="pct"/>
            <w:gridSpan w:val="2"/>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38</w:t>
            </w:r>
          </w:p>
        </w:tc>
        <w:tc>
          <w:tcPr>
            <w:tcW w:w="367"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36</w:t>
            </w:r>
          </w:p>
        </w:tc>
        <w:tc>
          <w:tcPr>
            <w:tcW w:w="362"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sz w:val="16"/>
              </w:rPr>
            </w:pPr>
            <w:r w:rsidRPr="00EF4DE1">
              <w:rPr>
                <w:color w:val="000000"/>
                <w:sz w:val="16"/>
              </w:rPr>
              <w:t>160</w:t>
            </w:r>
          </w:p>
        </w:tc>
        <w:tc>
          <w:tcPr>
            <w:tcW w:w="301" w:type="pct"/>
            <w:gridSpan w:val="2"/>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62"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81"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05" w:type="pct"/>
            <w:gridSpan w:val="2"/>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77"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c>
          <w:tcPr>
            <w:tcW w:w="369"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auto"/>
              <w:bottom w:val="single" w:sz="6" w:space="0" w:color="auto"/>
            </w:tcBorders>
          </w:tcPr>
          <w:p w:rsidR="00DF17E9" w:rsidRPr="00EF4DE1" w:rsidRDefault="00DF17E9" w:rsidP="00044843">
            <w:pPr>
              <w:ind w:left="113" w:hanging="113"/>
              <w:rPr>
                <w:color w:val="000000"/>
                <w:sz w:val="16"/>
              </w:rPr>
            </w:pPr>
            <w:r w:rsidRPr="00EF4DE1">
              <w:rPr>
                <w:b/>
                <w:color w:val="000000"/>
                <w:sz w:val="16"/>
              </w:rPr>
              <w:t>Sub-total</w:t>
            </w:r>
          </w:p>
        </w:tc>
        <w:tc>
          <w:tcPr>
            <w:tcW w:w="305" w:type="pct"/>
            <w:gridSpan w:val="2"/>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1 511</w:t>
            </w:r>
          </w:p>
        </w:tc>
        <w:tc>
          <w:tcPr>
            <w:tcW w:w="363"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4 280</w:t>
            </w:r>
          </w:p>
        </w:tc>
        <w:tc>
          <w:tcPr>
            <w:tcW w:w="368"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11 669</w:t>
            </w:r>
          </w:p>
        </w:tc>
        <w:tc>
          <w:tcPr>
            <w:tcW w:w="300" w:type="pct"/>
            <w:gridSpan w:val="2"/>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1 511</w:t>
            </w:r>
          </w:p>
        </w:tc>
        <w:tc>
          <w:tcPr>
            <w:tcW w:w="367"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4 280</w:t>
            </w:r>
          </w:p>
        </w:tc>
        <w:tc>
          <w:tcPr>
            <w:tcW w:w="362"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11 669</w:t>
            </w:r>
          </w:p>
        </w:tc>
        <w:tc>
          <w:tcPr>
            <w:tcW w:w="301" w:type="pct"/>
            <w:gridSpan w:val="2"/>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2 139</w:t>
            </w:r>
          </w:p>
        </w:tc>
        <w:tc>
          <w:tcPr>
            <w:tcW w:w="362"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4 261</w:t>
            </w:r>
          </w:p>
        </w:tc>
        <w:tc>
          <w:tcPr>
            <w:tcW w:w="381"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13 621</w:t>
            </w:r>
          </w:p>
        </w:tc>
        <w:tc>
          <w:tcPr>
            <w:tcW w:w="305" w:type="pct"/>
            <w:gridSpan w:val="2"/>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2 139</w:t>
            </w:r>
          </w:p>
        </w:tc>
        <w:tc>
          <w:tcPr>
            <w:tcW w:w="377"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4 261</w:t>
            </w:r>
          </w:p>
        </w:tc>
        <w:tc>
          <w:tcPr>
            <w:tcW w:w="369"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13 621</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auto"/>
              <w:bottom w:val="single" w:sz="6" w:space="0" w:color="auto"/>
            </w:tcBorders>
          </w:tcPr>
          <w:p w:rsidR="00DF17E9" w:rsidRPr="00EF4DE1" w:rsidRDefault="00DF17E9" w:rsidP="00044843">
            <w:pPr>
              <w:ind w:left="113" w:hanging="113"/>
              <w:rPr>
                <w:color w:val="000000"/>
                <w:sz w:val="16"/>
              </w:rPr>
            </w:pPr>
            <w:r w:rsidRPr="00EF4DE1">
              <w:rPr>
                <w:b/>
                <w:color w:val="000000"/>
                <w:sz w:val="16"/>
              </w:rPr>
              <w:t>Total commitments for public private partnerships</w:t>
            </w:r>
          </w:p>
        </w:tc>
        <w:tc>
          <w:tcPr>
            <w:tcW w:w="305" w:type="pct"/>
            <w:gridSpan w:val="2"/>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3"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10 139</w:t>
            </w:r>
          </w:p>
        </w:tc>
        <w:tc>
          <w:tcPr>
            <w:tcW w:w="368"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24 128</w:t>
            </w:r>
          </w:p>
        </w:tc>
        <w:tc>
          <w:tcPr>
            <w:tcW w:w="300" w:type="pct"/>
            <w:gridSpan w:val="2"/>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7"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9 930</w:t>
            </w:r>
          </w:p>
        </w:tc>
        <w:tc>
          <w:tcPr>
            <w:tcW w:w="362"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23 814</w:t>
            </w:r>
          </w:p>
        </w:tc>
        <w:tc>
          <w:tcPr>
            <w:tcW w:w="301" w:type="pct"/>
            <w:gridSpan w:val="2"/>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2"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9 145</w:t>
            </w:r>
          </w:p>
        </w:tc>
        <w:tc>
          <w:tcPr>
            <w:tcW w:w="381" w:type="pct"/>
            <w:tcBorders>
              <w:top w:val="single" w:sz="6" w:space="0" w:color="auto"/>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24 642</w:t>
            </w:r>
          </w:p>
        </w:tc>
        <w:tc>
          <w:tcPr>
            <w:tcW w:w="305" w:type="pct"/>
            <w:gridSpan w:val="2"/>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6"/>
              </w:rPr>
            </w:pPr>
          </w:p>
        </w:tc>
        <w:tc>
          <w:tcPr>
            <w:tcW w:w="377"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8 921</w:t>
            </w:r>
          </w:p>
        </w:tc>
        <w:tc>
          <w:tcPr>
            <w:tcW w:w="369" w:type="pct"/>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24 302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auto"/>
              <w:bottom w:val="nil"/>
            </w:tcBorders>
          </w:tcPr>
          <w:p w:rsidR="00DF17E9" w:rsidRPr="00EF4DE1" w:rsidRDefault="00DF17E9" w:rsidP="00044843">
            <w:pPr>
              <w:ind w:left="113" w:hanging="113"/>
              <w:rPr>
                <w:color w:val="000000"/>
                <w:sz w:val="16"/>
              </w:rPr>
            </w:pPr>
            <w:r w:rsidRPr="00EF4DE1">
              <w:rPr>
                <w:b/>
                <w:color w:val="000000"/>
                <w:sz w:val="16"/>
              </w:rPr>
              <w:t xml:space="preserve">Total commitments </w:t>
            </w:r>
            <w:r>
              <w:rPr>
                <w:b/>
                <w:color w:val="000000"/>
                <w:sz w:val="16"/>
              </w:rPr>
              <w:br/>
            </w:r>
            <w:r w:rsidRPr="00EF4DE1">
              <w:rPr>
                <w:b/>
                <w:color w:val="000000"/>
                <w:sz w:val="16"/>
              </w:rPr>
              <w:t>(inclusive of GST)</w:t>
            </w:r>
            <w:r w:rsidRPr="00EF4DE1">
              <w:rPr>
                <w:b/>
                <w:color w:val="000000"/>
                <w:sz w:val="16"/>
                <w:vertAlign w:val="superscript"/>
              </w:rPr>
              <w:t xml:space="preserve"> (e)</w:t>
            </w:r>
          </w:p>
        </w:tc>
        <w:tc>
          <w:tcPr>
            <w:tcW w:w="305" w:type="pct"/>
            <w:gridSpan w:val="2"/>
            <w:tcBorders>
              <w:top w:val="single" w:sz="6" w:space="0" w:color="auto"/>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3" w:type="pct"/>
            <w:tcBorders>
              <w:top w:val="single" w:sz="6" w:space="0" w:color="auto"/>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8" w:type="pct"/>
            <w:tcBorders>
              <w:top w:val="single" w:sz="6" w:space="0" w:color="auto"/>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48 598</w:t>
            </w:r>
          </w:p>
        </w:tc>
        <w:tc>
          <w:tcPr>
            <w:tcW w:w="300" w:type="pct"/>
            <w:gridSpan w:val="2"/>
            <w:tcBorders>
              <w:top w:val="single" w:sz="6" w:space="0" w:color="auto"/>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7" w:type="pct"/>
            <w:tcBorders>
              <w:top w:val="single" w:sz="6" w:space="0" w:color="auto"/>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2" w:type="pct"/>
            <w:tcBorders>
              <w:top w:val="single" w:sz="6" w:space="0" w:color="auto"/>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46 601</w:t>
            </w:r>
          </w:p>
        </w:tc>
        <w:tc>
          <w:tcPr>
            <w:tcW w:w="301" w:type="pct"/>
            <w:gridSpan w:val="2"/>
            <w:tcBorders>
              <w:top w:val="single" w:sz="6" w:space="0" w:color="auto"/>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2" w:type="pct"/>
            <w:tcBorders>
              <w:top w:val="single" w:sz="6" w:space="0" w:color="auto"/>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81" w:type="pct"/>
            <w:tcBorders>
              <w:top w:val="single" w:sz="6" w:space="0" w:color="auto"/>
              <w:bottom w:val="nil"/>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42 853</w:t>
            </w:r>
          </w:p>
        </w:tc>
        <w:tc>
          <w:tcPr>
            <w:tcW w:w="305" w:type="pct"/>
            <w:gridSpan w:val="2"/>
            <w:tcBorders>
              <w:top w:val="single" w:sz="6" w:space="0" w:color="auto"/>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77" w:type="pct"/>
            <w:tcBorders>
              <w:top w:val="single" w:sz="6" w:space="0" w:color="auto"/>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9" w:type="pct"/>
            <w:tcBorders>
              <w:top w:val="single" w:sz="6" w:space="0" w:color="auto"/>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41 033</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bottom w:val="single" w:sz="6" w:space="0" w:color="auto"/>
            </w:tcBorders>
          </w:tcPr>
          <w:p w:rsidR="00DF17E9" w:rsidRPr="00EF4DE1" w:rsidRDefault="00DF17E9" w:rsidP="00044843">
            <w:pPr>
              <w:ind w:left="113" w:hanging="113"/>
              <w:rPr>
                <w:color w:val="000000"/>
                <w:sz w:val="16"/>
              </w:rPr>
            </w:pPr>
            <w:r w:rsidRPr="00EF4DE1">
              <w:rPr>
                <w:color w:val="000000"/>
                <w:sz w:val="16"/>
              </w:rPr>
              <w:t>Less GST recoverable from the Australian Tax Office</w:t>
            </w:r>
          </w:p>
        </w:tc>
        <w:tc>
          <w:tcPr>
            <w:tcW w:w="305" w:type="pct"/>
            <w:gridSpan w:val="2"/>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363"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368"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4 418</w:t>
            </w:r>
          </w:p>
        </w:tc>
        <w:tc>
          <w:tcPr>
            <w:tcW w:w="300" w:type="pct"/>
            <w:gridSpan w:val="2"/>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367"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 xml:space="preserve"> </w:t>
            </w:r>
          </w:p>
        </w:tc>
        <w:tc>
          <w:tcPr>
            <w:tcW w:w="362"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4 236</w:t>
            </w:r>
          </w:p>
        </w:tc>
        <w:tc>
          <w:tcPr>
            <w:tcW w:w="301" w:type="pct"/>
            <w:gridSpan w:val="2"/>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62"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81" w:type="pct"/>
            <w:tcBorders>
              <w:bottom w:val="single" w:sz="6"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3 896</w:t>
            </w:r>
          </w:p>
        </w:tc>
        <w:tc>
          <w:tcPr>
            <w:tcW w:w="305" w:type="pct"/>
            <w:gridSpan w:val="2"/>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77"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p>
        </w:tc>
        <w:tc>
          <w:tcPr>
            <w:tcW w:w="369" w:type="pct"/>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color w:val="000000"/>
                <w:sz w:val="16"/>
              </w:rPr>
              <w:t>3 730</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839" w:type="pct"/>
            <w:tcBorders>
              <w:top w:val="single" w:sz="6" w:space="0" w:color="auto"/>
              <w:bottom w:val="single" w:sz="12" w:space="0" w:color="auto"/>
            </w:tcBorders>
          </w:tcPr>
          <w:p w:rsidR="00DF17E9" w:rsidRPr="00EF4DE1" w:rsidRDefault="00DF17E9" w:rsidP="00044843">
            <w:pPr>
              <w:ind w:left="113" w:hanging="113"/>
              <w:rPr>
                <w:color w:val="000000"/>
                <w:sz w:val="16"/>
              </w:rPr>
            </w:pPr>
            <w:r w:rsidRPr="00EF4DE1">
              <w:rPr>
                <w:b/>
                <w:color w:val="000000"/>
                <w:sz w:val="16"/>
              </w:rPr>
              <w:t xml:space="preserve">Total commitments </w:t>
            </w:r>
            <w:r>
              <w:rPr>
                <w:b/>
                <w:color w:val="000000"/>
                <w:sz w:val="16"/>
              </w:rPr>
              <w:br/>
            </w:r>
            <w:r w:rsidRPr="00EF4DE1">
              <w:rPr>
                <w:b/>
                <w:color w:val="000000"/>
                <w:sz w:val="16"/>
              </w:rPr>
              <w:t>(exclusive of GST)</w:t>
            </w:r>
          </w:p>
        </w:tc>
        <w:tc>
          <w:tcPr>
            <w:tcW w:w="305" w:type="pct"/>
            <w:gridSpan w:val="2"/>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3" w:type="pct"/>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8" w:type="pct"/>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44 180</w:t>
            </w:r>
          </w:p>
        </w:tc>
        <w:tc>
          <w:tcPr>
            <w:tcW w:w="300" w:type="pct"/>
            <w:gridSpan w:val="2"/>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7" w:type="pct"/>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 xml:space="preserve"> </w:t>
            </w:r>
          </w:p>
        </w:tc>
        <w:tc>
          <w:tcPr>
            <w:tcW w:w="362" w:type="pct"/>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42 365</w:t>
            </w:r>
          </w:p>
        </w:tc>
        <w:tc>
          <w:tcPr>
            <w:tcW w:w="301" w:type="pct"/>
            <w:gridSpan w:val="2"/>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6"/>
              </w:rPr>
            </w:pPr>
          </w:p>
        </w:tc>
        <w:tc>
          <w:tcPr>
            <w:tcW w:w="362" w:type="pct"/>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6"/>
              </w:rPr>
            </w:pPr>
          </w:p>
        </w:tc>
        <w:tc>
          <w:tcPr>
            <w:tcW w:w="381" w:type="pct"/>
            <w:tcBorders>
              <w:top w:val="single" w:sz="6" w:space="0" w:color="auto"/>
              <w:bottom w:val="single" w:sz="12" w:space="0" w:color="auto"/>
            </w:tcBorders>
            <w:shd w:val="clear" w:color="auto" w:fill="EBEBEB"/>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38 957</w:t>
            </w:r>
          </w:p>
        </w:tc>
        <w:tc>
          <w:tcPr>
            <w:tcW w:w="305" w:type="pct"/>
            <w:gridSpan w:val="2"/>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6"/>
              </w:rPr>
            </w:pPr>
          </w:p>
        </w:tc>
        <w:tc>
          <w:tcPr>
            <w:tcW w:w="377" w:type="pct"/>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6"/>
              </w:rPr>
            </w:pPr>
          </w:p>
        </w:tc>
        <w:tc>
          <w:tcPr>
            <w:tcW w:w="369" w:type="pct"/>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6"/>
              </w:rPr>
            </w:pPr>
            <w:r w:rsidRPr="00EF4DE1">
              <w:rPr>
                <w:b/>
                <w:color w:val="000000"/>
                <w:sz w:val="16"/>
              </w:rPr>
              <w:t>37 303</w:t>
            </w:r>
          </w:p>
        </w:tc>
      </w:tr>
    </w:tbl>
    <w:p w:rsidR="00DF17E9" w:rsidRDefault="00DF17E9" w:rsidP="00044843">
      <w:pPr>
        <w:pStyle w:val="Note"/>
      </w:pPr>
      <w:r>
        <w:t>Notes:</w:t>
      </w:r>
    </w:p>
    <w:p w:rsidR="00DF17E9" w:rsidRDefault="00DF17E9" w:rsidP="00044843">
      <w:pPr>
        <w:pStyle w:val="Note"/>
      </w:pPr>
      <w:r>
        <w:t>(a)</w:t>
      </w:r>
      <w:r>
        <w:tab/>
        <w:t>The minimum lease payments of commissioned public private partnerships (PPP) are recognised on the balance sheet and are not disclosed as a commitment.</w:t>
      </w:r>
    </w:p>
    <w:p w:rsidR="00DF17E9" w:rsidRDefault="00DF17E9" w:rsidP="00044843">
      <w:pPr>
        <w:pStyle w:val="Note"/>
      </w:pPr>
      <w:r>
        <w:t>(b)</w:t>
      </w:r>
      <w:r>
        <w:tab/>
        <w:t>The discounted value of the ‘minimum lease payments’ is at the expected date of commissioning and the present value of ‘other commitments’ is at 30 June of the respective financial years. After adjusting for GST, the discounted value of minimum lease payments reflects the expected impact on the balance sheet when the PPP is commissioned.</w:t>
      </w:r>
    </w:p>
    <w:p w:rsidR="00DF17E9" w:rsidRDefault="00DF17E9" w:rsidP="00044843">
      <w:pPr>
        <w:pStyle w:val="Note"/>
      </w:pPr>
      <w:r>
        <w:t>(c)</w:t>
      </w:r>
      <w:r>
        <w:tab/>
      </w:r>
      <w:r w:rsidRPr="00152DE2">
        <w:t xml:space="preserve"> </w:t>
      </w:r>
      <w:r w:rsidRPr="00274D51">
        <w:t>June 2015 comparative figures have been restated to reflect more current information.</w:t>
      </w:r>
    </w:p>
    <w:p w:rsidR="00DF17E9" w:rsidRDefault="00DF17E9" w:rsidP="00044843">
      <w:pPr>
        <w:pStyle w:val="Note"/>
      </w:pPr>
      <w:r>
        <w:t>(d)</w:t>
      </w:r>
      <w:r>
        <w:tab/>
        <w:t>The liabilities for Bendigo Hospital are required to be split for reporting purposes due to the contracted staged commissioning (Commercial Acceptance to occur in 2016-17 and 2017-18 for Stages 1 and 2 respectively).</w:t>
      </w:r>
    </w:p>
    <w:p w:rsidR="00DF17E9" w:rsidRDefault="00DF17E9" w:rsidP="00044843">
      <w:pPr>
        <w:pStyle w:val="Note"/>
      </w:pPr>
      <w:r>
        <w:t>(e)</w:t>
      </w:r>
      <w:r>
        <w:tab/>
        <w:t>Total commitments (inclusive of GST) include commitments of both PPPs and non PPPs.</w:t>
      </w:r>
    </w:p>
    <w:p w:rsidR="00DF17E9" w:rsidRPr="00C5186E" w:rsidRDefault="00DF17E9" w:rsidP="00044843">
      <w:pPr>
        <w:pStyle w:val="BodyText"/>
      </w:pPr>
    </w:p>
    <w:p w:rsidR="00DF17E9" w:rsidRDefault="00DF17E9" w:rsidP="00651946"/>
    <w:p w:rsidR="00DF17E9" w:rsidRDefault="00DF17E9" w:rsidP="00651946"/>
    <w:p w:rsidR="00DF17E9" w:rsidRDefault="00DF17E9" w:rsidP="00651946">
      <w:pPr>
        <w:sectPr w:rsidR="00DF17E9" w:rsidSect="00044843">
          <w:headerReference w:type="even" r:id="rId155"/>
          <w:headerReference w:type="default" r:id="rId156"/>
          <w:footerReference w:type="even" r:id="rId157"/>
          <w:footerReference w:type="default" r:id="rId158"/>
          <w:pgSz w:w="16838" w:h="11906" w:orient="landscape" w:code="9"/>
          <w:pgMar w:top="1134" w:right="1134" w:bottom="1134" w:left="1134" w:header="624" w:footer="567" w:gutter="0"/>
          <w:cols w:space="708"/>
          <w:docGrid w:linePitch="360"/>
        </w:sectPr>
      </w:pPr>
    </w:p>
    <w:p w:rsidR="00DF17E9" w:rsidRPr="00091E3A" w:rsidRDefault="00DF17E9" w:rsidP="00044843">
      <w:pPr>
        <w:pStyle w:val="Heading2"/>
      </w:pPr>
      <w:bookmarkStart w:id="49" w:name="_Toc459976380"/>
      <w:r>
        <w:lastRenderedPageBreak/>
        <w:t>Other c</w:t>
      </w:r>
      <w:r w:rsidRPr="00091E3A">
        <w:t>ommitments</w:t>
      </w:r>
      <w:bookmarkEnd w:id="49"/>
    </w:p>
    <w:p w:rsidR="00DF17E9" w:rsidRDefault="00DF17E9" w:rsidP="00044843">
      <w:r w:rsidRPr="00091E3A">
        <w:t>Commitments for future expenditure include operating and capital commitments arising from contracts.</w:t>
      </w:r>
    </w:p>
    <w:p w:rsidR="00494A92" w:rsidRDefault="00DF17E9" w:rsidP="00044843">
      <w:r>
        <w:t xml:space="preserve">These commitments are disclosed at their nominal value and inclusive of the GST payable. </w:t>
      </w:r>
    </w:p>
    <w:p w:rsidR="00DF17E9" w:rsidRDefault="00DF17E9" w:rsidP="00044843">
      <w:r>
        <w:lastRenderedPageBreak/>
        <w:t xml:space="preserve">In addition, where it is considered appropriate and provides additional relevant information to users, the net present values of significant individual projects are stated. </w:t>
      </w:r>
    </w:p>
    <w:p w:rsidR="00DF17E9" w:rsidRDefault="00DF17E9" w:rsidP="00044843">
      <w:pPr>
        <w:sectPr w:rsidR="00DF17E9" w:rsidSect="00044843">
          <w:headerReference w:type="even" r:id="rId159"/>
          <w:headerReference w:type="default" r:id="rId160"/>
          <w:footerReference w:type="even" r:id="rId161"/>
          <w:footerReference w:type="default" r:id="rId162"/>
          <w:pgSz w:w="11906" w:h="16838" w:code="9"/>
          <w:pgMar w:top="1134" w:right="1134" w:bottom="1134" w:left="1134" w:header="624" w:footer="567" w:gutter="0"/>
          <w:cols w:num="2" w:space="708"/>
          <w:docGrid w:linePitch="360"/>
        </w:sectPr>
      </w:pPr>
      <w:r>
        <w:t>These future expenditures cease to be disclosed as commitments once the related liabilities are recognised in the consolidated balance sheet.</w:t>
      </w:r>
    </w:p>
    <w:p w:rsidR="00DF17E9" w:rsidRPr="00EF4DE1" w:rsidRDefault="00DF17E9" w:rsidP="00044843">
      <w:pPr>
        <w:pStyle w:val="Subheading"/>
        <w:rPr>
          <w:bCs/>
          <w:lang w:val="en-US"/>
        </w:rPr>
      </w:pPr>
      <w:r>
        <w:lastRenderedPageBreak/>
        <w:t>Non-</w:t>
      </w:r>
      <w:r w:rsidRPr="00ED07D6">
        <w:t>public private partnership commitments</w:t>
      </w:r>
      <w:r>
        <w:t xml:space="preserve"> </w:t>
      </w:r>
      <w:r w:rsidRPr="004C42D0">
        <w:rPr>
          <w:vertAlign w:val="superscript"/>
        </w:rPr>
        <w:t>(a)</w:t>
      </w:r>
      <w:r>
        <w:tab/>
      </w:r>
      <w:r w:rsidRPr="00ED07D6">
        <w:rPr>
          <w:rStyle w:val="TableUnitsChar"/>
        </w:rPr>
        <w:t>($ million)</w:t>
      </w:r>
    </w:p>
    <w:tbl>
      <w:tblPr>
        <w:tblStyle w:val="TableDTFGeneral"/>
        <w:tblW w:w="9633" w:type="dxa"/>
        <w:tblLayout w:type="fixed"/>
        <w:tblLook w:val="02A0" w:firstRow="1" w:lastRow="0" w:firstColumn="1" w:lastColumn="0" w:noHBand="1" w:noVBand="0"/>
      </w:tblPr>
      <w:tblGrid>
        <w:gridCol w:w="3907"/>
        <w:gridCol w:w="1372"/>
        <w:gridCol w:w="1497"/>
        <w:gridCol w:w="1377"/>
        <w:gridCol w:w="1480"/>
      </w:tblGrid>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0" w:firstLine="0"/>
              <w:rPr>
                <w:color w:val="FFFFFF"/>
              </w:rPr>
            </w:pPr>
            <w:r w:rsidRPr="00EF4DE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FFFFFF"/>
              </w:rPr>
            </w:pPr>
          </w:p>
          <w:p w:rsidR="00DF17E9" w:rsidRPr="00EF4DE1" w:rsidRDefault="00DF17E9" w:rsidP="00044843">
            <w:pPr>
              <w:rPr>
                <w:color w:val="FFFFFF"/>
              </w:rPr>
            </w:pPr>
            <w:r w:rsidRPr="00EF4DE1">
              <w:rPr>
                <w:color w:val="FFFFFF"/>
              </w:rPr>
              <w:t>State of Victoria</w:t>
            </w:r>
          </w:p>
        </w:tc>
        <w:tc>
          <w:tcPr>
            <w:tcW w:w="1497"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 xml:space="preserve">General </w:t>
            </w:r>
            <w:r w:rsidRPr="00EF4DE1">
              <w:rPr>
                <w:color w:val="FFFFFF"/>
              </w:rPr>
              <w:br/>
              <w:t>government sector</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FFFFFF"/>
              </w:rPr>
            </w:pPr>
          </w:p>
          <w:p w:rsidR="00DF17E9" w:rsidRPr="00EF4DE1" w:rsidRDefault="00DF17E9" w:rsidP="00044843">
            <w:pPr>
              <w:rPr>
                <w:color w:val="FFFFFF"/>
              </w:rPr>
            </w:pPr>
            <w:r w:rsidRPr="00EF4DE1">
              <w:rPr>
                <w:color w:val="FFFFFF"/>
              </w:rPr>
              <w:t>State of Victoria</w:t>
            </w:r>
          </w:p>
        </w:tc>
        <w:tc>
          <w:tcPr>
            <w:tcW w:w="1480"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 xml:space="preserve">General </w:t>
            </w:r>
            <w:r w:rsidRPr="00EF4DE1">
              <w:rPr>
                <w:color w:val="FFFFFF"/>
              </w:rPr>
              <w:br/>
              <w:t>government sector</w:t>
            </w:r>
          </w:p>
        </w:tc>
      </w:tr>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0" w:firstLine="0"/>
              <w:jc w:val="right"/>
              <w:rPr>
                <w:color w:val="FFFFFF"/>
              </w:rPr>
            </w:pPr>
            <w:r w:rsidRPr="00EF4DE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FFFFFF"/>
              </w:rPr>
            </w:pPr>
            <w:r w:rsidRPr="00EF4DE1">
              <w:rPr>
                <w:color w:val="FFFFFF"/>
              </w:rPr>
              <w:t>2016</w:t>
            </w:r>
          </w:p>
        </w:tc>
        <w:tc>
          <w:tcPr>
            <w:tcW w:w="1497"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2016</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FFFFFF"/>
              </w:rPr>
            </w:pPr>
            <w:r w:rsidRPr="00EF4DE1">
              <w:rPr>
                <w:color w:val="FFFFFF"/>
              </w:rPr>
              <w:t>2015</w:t>
            </w:r>
          </w:p>
        </w:tc>
        <w:tc>
          <w:tcPr>
            <w:tcW w:w="1480"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2015</w:t>
            </w:r>
          </w:p>
        </w:tc>
      </w:tr>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0" w:firstLine="0"/>
              <w:jc w:val="right"/>
              <w:rPr>
                <w:color w:val="FFFFFF"/>
              </w:rPr>
            </w:pPr>
            <w:r w:rsidRPr="00EF4DE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FFFFFF"/>
              </w:rPr>
            </w:pPr>
            <w:r w:rsidRPr="00EF4DE1">
              <w:rPr>
                <w:color w:val="FFFFFF"/>
              </w:rPr>
              <w:t>Nominal value</w:t>
            </w:r>
          </w:p>
        </w:tc>
        <w:tc>
          <w:tcPr>
            <w:tcW w:w="1497"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Nominal value</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FFFFFF"/>
              </w:rPr>
            </w:pPr>
            <w:r w:rsidRPr="00EF4DE1">
              <w:rPr>
                <w:color w:val="FFFFFF"/>
              </w:rPr>
              <w:t>Nominal value</w:t>
            </w:r>
          </w:p>
        </w:tc>
        <w:tc>
          <w:tcPr>
            <w:tcW w:w="1480"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Nominal value</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Capital expenditure commitments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b/>
                <w:color w:val="000000"/>
              </w:rPr>
              <w:t xml:space="preserve"> </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 xml:space="preserve"> </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Land and buildings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872</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731</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653</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498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246</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200</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204</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158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3 715</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3 347</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727</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288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Road networks and earthworks</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pPr>
              <w:rPr>
                <w:color w:val="000000"/>
              </w:rPr>
            </w:pPr>
            <w:r w:rsidRPr="00EF4DE1">
              <w:rPr>
                <w:color w:val="000000"/>
              </w:rPr>
              <w:t>1 082</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1 082</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pPr>
              <w:rPr>
                <w:color w:val="000000"/>
              </w:rPr>
            </w:pPr>
            <w:r w:rsidRPr="00EF4DE1">
              <w:rPr>
                <w:color w:val="000000"/>
              </w:rPr>
              <w:t>1 113</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1 113</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Other</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pPr>
              <w:rPr>
                <w:color w:val="000000"/>
              </w:rPr>
            </w:pPr>
            <w:r w:rsidRPr="00EF4DE1">
              <w:rPr>
                <w:color w:val="000000"/>
              </w:rPr>
              <w:t>1 560</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1 543</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pPr>
              <w:rPr>
                <w:color w:val="000000"/>
              </w:rPr>
            </w:pPr>
            <w:r w:rsidRPr="00EF4DE1">
              <w:rPr>
                <w:color w:val="000000"/>
              </w:rPr>
              <w:t>1 010</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991</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rsidR="00DF17E9" w:rsidRPr="00EF4DE1" w:rsidRDefault="00DF17E9" w:rsidP="00044843">
            <w:pPr>
              <w:ind w:left="113" w:hanging="113"/>
              <w:rPr>
                <w:color w:val="000000"/>
              </w:rPr>
            </w:pPr>
            <w:r w:rsidRPr="00EF4DE1">
              <w:rPr>
                <w:b/>
                <w:color w:val="000000"/>
              </w:rPr>
              <w:t>Total capital expenditure commitments</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7 474</w:t>
            </w:r>
          </w:p>
        </w:tc>
        <w:tc>
          <w:tcPr>
            <w:tcW w:w="1497"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6 904</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3 707</w:t>
            </w:r>
          </w:p>
        </w:tc>
        <w:tc>
          <w:tcPr>
            <w:tcW w:w="1480"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3 048</w:t>
            </w:r>
          </w:p>
        </w:tc>
      </w:tr>
      <w:tr w:rsidR="00DF17E9" w:rsidRPr="00EF4DE1"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rsidR="00DF17E9" w:rsidRPr="00EF4DE1" w:rsidRDefault="00DF17E9" w:rsidP="00044843">
            <w:pPr>
              <w:ind w:left="113" w:hanging="113"/>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tcBorders>
          </w:tcPr>
          <w:p w:rsidR="00DF17E9" w:rsidRPr="00EF4DE1" w:rsidRDefault="00DF17E9" w:rsidP="00044843">
            <w:pPr>
              <w:rPr>
                <w:color w:val="000000"/>
              </w:rPr>
            </w:pPr>
            <w:r w:rsidRPr="00EF4DE1">
              <w:rPr>
                <w:b/>
                <w:color w:val="000000"/>
              </w:rPr>
              <w:t xml:space="preserve"> </w:t>
            </w:r>
          </w:p>
        </w:tc>
        <w:tc>
          <w:tcPr>
            <w:tcW w:w="1497"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tcBorders>
          </w:tcPr>
          <w:p w:rsidR="00DF17E9" w:rsidRPr="00EF4DE1" w:rsidRDefault="00DF17E9" w:rsidP="00044843">
            <w:pPr>
              <w:rPr>
                <w:color w:val="000000"/>
              </w:rPr>
            </w:pPr>
            <w:r w:rsidRPr="00EF4DE1">
              <w:rPr>
                <w:b/>
                <w:color w:val="000000"/>
              </w:rPr>
              <w:t xml:space="preserve"> </w:t>
            </w:r>
          </w:p>
        </w:tc>
        <w:tc>
          <w:tcPr>
            <w:tcW w:w="1480"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Operating and lease commitments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 xml:space="preserve"> </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 xml:space="preserve"> </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Rail services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2 165</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2 165</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3 384</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3 384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Bus services</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pPr>
              <w:rPr>
                <w:color w:val="000000"/>
              </w:rPr>
            </w:pPr>
            <w:r w:rsidRPr="00EF4DE1">
              <w:rPr>
                <w:color w:val="000000"/>
              </w:rPr>
              <w:t>3 117</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3 116</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pPr>
              <w:rPr>
                <w:color w:val="000000"/>
              </w:rPr>
            </w:pPr>
            <w:r w:rsidRPr="00EF4DE1">
              <w:rPr>
                <w:color w:val="000000"/>
              </w:rPr>
              <w:t>4 105</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4 104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 xml:space="preserve">Other </w:t>
            </w:r>
            <w:r w:rsidRPr="00EF4DE1">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pPr>
              <w:rPr>
                <w:color w:val="000000"/>
              </w:rPr>
            </w:pPr>
            <w:r w:rsidRPr="00EF4DE1">
              <w:rPr>
                <w:color w:val="000000"/>
              </w:rPr>
              <w:t>2 616</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1 769</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pPr>
              <w:rPr>
                <w:color w:val="000000"/>
              </w:rPr>
            </w:pPr>
            <w:r w:rsidRPr="00EF4DE1">
              <w:rPr>
                <w:color w:val="000000"/>
              </w:rPr>
              <w:t>2 329</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1 652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rsidR="00DF17E9" w:rsidRPr="00EF4DE1" w:rsidRDefault="00DF17E9" w:rsidP="00044843">
            <w:pPr>
              <w:ind w:left="113" w:hanging="113"/>
              <w:rPr>
                <w:color w:val="000000"/>
              </w:rPr>
            </w:pPr>
            <w:r w:rsidRPr="00EF4DE1">
              <w:rPr>
                <w:b/>
                <w:color w:val="000000"/>
              </w:rPr>
              <w:t>Total operating and lease commitments</w:t>
            </w:r>
            <w:r w:rsidRPr="00EF4DE1">
              <w:rPr>
                <w:b/>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7 897</w:t>
            </w:r>
          </w:p>
        </w:tc>
        <w:tc>
          <w:tcPr>
            <w:tcW w:w="1497"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7 050</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9 818</w:t>
            </w:r>
          </w:p>
        </w:tc>
        <w:tc>
          <w:tcPr>
            <w:tcW w:w="1480"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9 140</w:t>
            </w:r>
          </w:p>
        </w:tc>
      </w:tr>
      <w:tr w:rsidR="00DF17E9" w:rsidRPr="00EF4DE1"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rsidR="00DF17E9" w:rsidRPr="00EF4DE1" w:rsidRDefault="00DF17E9" w:rsidP="00044843">
            <w:pPr>
              <w:ind w:left="113" w:hanging="113"/>
              <w:rPr>
                <w:color w:val="000000"/>
              </w:rPr>
            </w:pPr>
            <w:r w:rsidRPr="00EF4DE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tcBorders>
          </w:tcPr>
          <w:p w:rsidR="00DF17E9" w:rsidRPr="00EF4DE1" w:rsidRDefault="00DF17E9" w:rsidP="00044843">
            <w:pPr>
              <w:rPr>
                <w:color w:val="000000"/>
              </w:rPr>
            </w:pPr>
            <w:r w:rsidRPr="00EF4DE1">
              <w:rPr>
                <w:b/>
                <w:color w:val="000000"/>
              </w:rPr>
              <w:t xml:space="preserve"> </w:t>
            </w:r>
          </w:p>
        </w:tc>
        <w:tc>
          <w:tcPr>
            <w:tcW w:w="1497"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tcBorders>
          </w:tcPr>
          <w:p w:rsidR="00DF17E9" w:rsidRPr="00EF4DE1" w:rsidRDefault="00DF17E9" w:rsidP="00044843">
            <w:pPr>
              <w:rPr>
                <w:color w:val="000000"/>
              </w:rPr>
            </w:pPr>
            <w:r w:rsidRPr="00EF4DE1">
              <w:rPr>
                <w:b/>
                <w:color w:val="000000"/>
              </w:rPr>
              <w:t xml:space="preserve"> </w:t>
            </w:r>
          </w:p>
        </w:tc>
        <w:tc>
          <w:tcPr>
            <w:tcW w:w="1480"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Other commitments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 xml:space="preserve"> </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 xml:space="preserve"> </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Building occupancy services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65</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72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Capital investment commitments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239</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126</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Commercial contracts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220</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119</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193</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52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Debt collection services (Traffic camera office)</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35</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35</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96</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96</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Emergency Alert System</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18</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18</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31</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31</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 xml:space="preserve">Goulburn-Murray Water Connections Project  </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65</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577</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115</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725</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Hopkins Correctional Centre</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468</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468</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435</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435</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Information technology</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53</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47</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32</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27</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pPr>
            <w:r w:rsidRPr="00EF4DE1">
              <w:rPr>
                <w:color w:val="000000"/>
              </w:rPr>
              <w:t xml:space="preserve">New ticketing solution </w:t>
            </w:r>
            <w:r w:rsidRPr="00EF4DE1">
              <w:rPr>
                <w:i/>
                <w:color w:val="000000"/>
              </w:rPr>
              <w:t>(myki)</w:t>
            </w:r>
            <w:r w:rsidRPr="00EF4DE1">
              <w:rPr>
                <w:color w:val="000000"/>
              </w:rPr>
              <w:t xml:space="preserve"> </w:t>
            </w:r>
            <w:r w:rsidRPr="00EF4DE1">
              <w:rPr>
                <w:vertAlign w:val="superscript"/>
              </w:rPr>
              <w:t>(c)</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69</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69</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178</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178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Outsourcing of services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430</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248</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373</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192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Policing services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11</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11</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27</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27</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Port Phillip Prison</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3 644</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3 644</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Traffic camera services (Traffic camera office)</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r w:rsidRPr="00EF4DE1">
              <w:rPr>
                <w:color w:val="000000"/>
              </w:rPr>
              <w:t>81</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81</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91</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91</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Transport Accident Commission funded medical research</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r w:rsidRPr="00EF4DE1">
              <w:rPr>
                <w:color w:val="000000"/>
              </w:rPr>
              <w:t>13</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r w:rsidRPr="00EF4DE1">
              <w:rPr>
                <w:color w:val="000000"/>
              </w:rPr>
              <w:t>23</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 xml:space="preserve">Other </w:t>
            </w:r>
            <w:r w:rsidRPr="00EF4DE1">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pPr>
              <w:rPr>
                <w:color w:val="000000"/>
              </w:rPr>
            </w:pPr>
            <w:r w:rsidRPr="00EF4DE1">
              <w:rPr>
                <w:color w:val="000000"/>
              </w:rPr>
              <w:t>3 754</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3 453</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pPr>
              <w:rPr>
                <w:color w:val="000000"/>
              </w:rPr>
            </w:pPr>
            <w:r w:rsidRPr="00EF4DE1">
              <w:rPr>
                <w:color w:val="000000"/>
              </w:rPr>
              <w:t>2 968</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2 619</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rsidR="00DF17E9" w:rsidRPr="00EF4DE1" w:rsidRDefault="00DF17E9" w:rsidP="00044843">
            <w:pPr>
              <w:ind w:left="113" w:hanging="113"/>
              <w:rPr>
                <w:color w:val="000000"/>
              </w:rPr>
            </w:pPr>
            <w:r w:rsidRPr="00EF4DE1">
              <w:rPr>
                <w:b/>
                <w:color w:val="000000"/>
              </w:rPr>
              <w:t xml:space="preserve">Total other commitments </w:t>
            </w:r>
            <w:r w:rsidRPr="00EF4DE1">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9 099</w:t>
            </w:r>
          </w:p>
        </w:tc>
        <w:tc>
          <w:tcPr>
            <w:tcW w:w="1497"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8 834</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4 686</w:t>
            </w:r>
          </w:p>
        </w:tc>
        <w:tc>
          <w:tcPr>
            <w:tcW w:w="1480"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4 543</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12" w:space="0" w:color="auto"/>
            </w:tcBorders>
          </w:tcPr>
          <w:p w:rsidR="00DF17E9" w:rsidRPr="00EF4DE1" w:rsidRDefault="00DF17E9" w:rsidP="00044843">
            <w:pPr>
              <w:ind w:left="113" w:hanging="113"/>
              <w:rPr>
                <w:color w:val="000000"/>
              </w:rPr>
            </w:pPr>
            <w:r w:rsidRPr="00EF4DE1">
              <w:rPr>
                <w:b/>
                <w:color w:val="000000"/>
              </w:rPr>
              <w:t>Total commitments</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bottom w:val="single" w:sz="12" w:space="0" w:color="auto"/>
            </w:tcBorders>
          </w:tcPr>
          <w:p w:rsidR="00DF17E9" w:rsidRPr="00EF4DE1" w:rsidRDefault="00DF17E9" w:rsidP="00044843">
            <w:pPr>
              <w:rPr>
                <w:color w:val="000000"/>
              </w:rPr>
            </w:pPr>
            <w:r w:rsidRPr="00EF4DE1">
              <w:rPr>
                <w:b/>
                <w:color w:val="000000"/>
              </w:rPr>
              <w:t>24 469</w:t>
            </w:r>
          </w:p>
        </w:tc>
        <w:tc>
          <w:tcPr>
            <w:tcW w:w="1497"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22 787</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bottom w:val="single" w:sz="12" w:space="0" w:color="auto"/>
            </w:tcBorders>
          </w:tcPr>
          <w:p w:rsidR="00DF17E9" w:rsidRPr="00EF4DE1" w:rsidRDefault="00DF17E9" w:rsidP="00044843">
            <w:pPr>
              <w:rPr>
                <w:color w:val="000000"/>
              </w:rPr>
            </w:pPr>
            <w:r w:rsidRPr="00EF4DE1">
              <w:rPr>
                <w:b/>
                <w:color w:val="000000"/>
              </w:rPr>
              <w:t>18 211</w:t>
            </w:r>
          </w:p>
        </w:tc>
        <w:tc>
          <w:tcPr>
            <w:tcW w:w="1480"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16 731</w:t>
            </w:r>
          </w:p>
        </w:tc>
      </w:tr>
    </w:tbl>
    <w:p w:rsidR="00DF17E9" w:rsidRDefault="00DF17E9" w:rsidP="00044843">
      <w:pPr>
        <w:pStyle w:val="Note"/>
      </w:pPr>
      <w:r>
        <w:t>Notes:</w:t>
      </w:r>
    </w:p>
    <w:p w:rsidR="00DF17E9" w:rsidRDefault="00DF17E9" w:rsidP="00044843">
      <w:pPr>
        <w:pStyle w:val="Note"/>
      </w:pPr>
      <w:r>
        <w:t>(a)</w:t>
      </w:r>
      <w:r>
        <w:tab/>
        <w:t>The figures presented are inclusive of GST.</w:t>
      </w:r>
    </w:p>
    <w:p w:rsidR="00DF17E9" w:rsidRPr="00C5186E" w:rsidRDefault="00DF17E9" w:rsidP="00044843">
      <w:pPr>
        <w:pStyle w:val="Note"/>
      </w:pPr>
      <w:r>
        <w:t>(b)</w:t>
      </w:r>
      <w:r>
        <w:tab/>
      </w:r>
      <w:r w:rsidRPr="00274D51">
        <w:t>June 2015 comparative figures have been restated to reflect more current information.</w:t>
      </w:r>
    </w:p>
    <w:p w:rsidR="00DF17E9" w:rsidRDefault="00DF17E9" w:rsidP="00044843">
      <w:pPr>
        <w:pStyle w:val="Note"/>
      </w:pPr>
      <w:r>
        <w:t>(c)</w:t>
      </w:r>
      <w:r>
        <w:tab/>
      </w:r>
      <w:r w:rsidRPr="007D6192">
        <w:t>The Victorian Government announced on 5 July 2016 that it had awarded a new contract for the operation of the myki ticketing system. The new contract will begin on 1 January 2017 with a term of seven years.</w:t>
      </w:r>
    </w:p>
    <w:p w:rsidR="00DF17E9" w:rsidRDefault="00DF17E9" w:rsidP="00044843"/>
    <w:p w:rsidR="00DF17E9" w:rsidRDefault="00DF17E9" w:rsidP="00044843"/>
    <w:p w:rsidR="00DF17E9" w:rsidRPr="00272BD2" w:rsidRDefault="00DF17E9" w:rsidP="00044843"/>
    <w:p w:rsidR="00DF17E9" w:rsidRDefault="00DF17E9">
      <w:pPr>
        <w:rPr>
          <w:rFonts w:asciiTheme="majorHAnsi" w:hAnsiTheme="majorHAnsi"/>
          <w:b/>
          <w:spacing w:val="-2"/>
        </w:rPr>
      </w:pPr>
      <w:r>
        <w:br w:type="page"/>
      </w:r>
    </w:p>
    <w:p w:rsidR="00DF17E9" w:rsidRPr="00EF4DE1" w:rsidRDefault="00DF17E9" w:rsidP="00044843">
      <w:pPr>
        <w:pStyle w:val="Subheading"/>
        <w:rPr>
          <w:bCs/>
          <w:lang w:val="en-US"/>
        </w:rPr>
      </w:pPr>
      <w:r>
        <w:lastRenderedPageBreak/>
        <w:t>Commitment payables</w:t>
      </w:r>
      <w:r>
        <w:tab/>
      </w:r>
      <w:r w:rsidRPr="00617936">
        <w:rPr>
          <w:rStyle w:val="TableUnitsChar"/>
        </w:rPr>
        <w:t>($ million)</w:t>
      </w:r>
    </w:p>
    <w:tbl>
      <w:tblPr>
        <w:tblStyle w:val="TableDTFGeneral"/>
        <w:tblW w:w="9633" w:type="dxa"/>
        <w:tblLayout w:type="fixed"/>
        <w:tblLook w:val="02A0" w:firstRow="1" w:lastRow="0" w:firstColumn="1" w:lastColumn="0" w:noHBand="1" w:noVBand="0"/>
      </w:tblPr>
      <w:tblGrid>
        <w:gridCol w:w="3907"/>
        <w:gridCol w:w="1372"/>
        <w:gridCol w:w="1497"/>
        <w:gridCol w:w="1377"/>
        <w:gridCol w:w="1480"/>
      </w:tblGrid>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0" w:firstLine="0"/>
              <w:rPr>
                <w:color w:val="FFFFFF"/>
              </w:rPr>
            </w:pPr>
            <w:r w:rsidRPr="00EF4DE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FFFFFF"/>
              </w:rPr>
            </w:pPr>
          </w:p>
          <w:p w:rsidR="00DF17E9" w:rsidRPr="00EF4DE1" w:rsidRDefault="00DF17E9" w:rsidP="00044843">
            <w:pPr>
              <w:rPr>
                <w:color w:val="FFFFFF"/>
              </w:rPr>
            </w:pPr>
            <w:r w:rsidRPr="00EF4DE1">
              <w:rPr>
                <w:color w:val="FFFFFF"/>
              </w:rPr>
              <w:t>State of Victoria</w:t>
            </w:r>
          </w:p>
        </w:tc>
        <w:tc>
          <w:tcPr>
            <w:tcW w:w="1497"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 xml:space="preserve">General </w:t>
            </w:r>
            <w:r w:rsidRPr="00EF4DE1">
              <w:rPr>
                <w:color w:val="FFFFFF"/>
              </w:rPr>
              <w:br/>
              <w:t>government sector</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FFFFFF"/>
              </w:rPr>
            </w:pPr>
          </w:p>
          <w:p w:rsidR="00DF17E9" w:rsidRPr="00EF4DE1" w:rsidRDefault="00DF17E9" w:rsidP="00044843">
            <w:pPr>
              <w:rPr>
                <w:color w:val="FFFFFF"/>
              </w:rPr>
            </w:pPr>
            <w:r w:rsidRPr="00EF4DE1">
              <w:rPr>
                <w:color w:val="FFFFFF"/>
              </w:rPr>
              <w:t>State of Victoria</w:t>
            </w:r>
          </w:p>
        </w:tc>
        <w:tc>
          <w:tcPr>
            <w:tcW w:w="1480"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 xml:space="preserve">General </w:t>
            </w:r>
            <w:r w:rsidRPr="00EF4DE1">
              <w:rPr>
                <w:color w:val="FFFFFF"/>
              </w:rPr>
              <w:br/>
              <w:t>government sector</w:t>
            </w:r>
          </w:p>
        </w:tc>
      </w:tr>
      <w:tr w:rsidR="00DF17E9"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FFFFFF"/>
              </w:rPr>
            </w:pPr>
            <w:r w:rsidRPr="00EF4DE1">
              <w:rPr>
                <w:color w:val="FFFFFF"/>
              </w:rPr>
              <w:t>2016</w:t>
            </w:r>
          </w:p>
        </w:tc>
        <w:tc>
          <w:tcPr>
            <w:tcW w:w="1497"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2016</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FFFFFF"/>
              </w:rPr>
            </w:pPr>
            <w:r w:rsidRPr="00EF4DE1">
              <w:rPr>
                <w:color w:val="FFFFFF"/>
              </w:rPr>
              <w:t>2015</w:t>
            </w:r>
          </w:p>
        </w:tc>
        <w:tc>
          <w:tcPr>
            <w:tcW w:w="1480" w:type="dxa"/>
          </w:tcPr>
          <w:p w:rsidR="00DF17E9" w:rsidRPr="00EF4DE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EF4DE1">
              <w:rPr>
                <w:color w:val="FFFFFF"/>
              </w:rPr>
              <w:t>2015</w:t>
            </w:r>
          </w:p>
        </w:tc>
      </w:tr>
      <w:tr w:rsidR="00336F0B" w:rsidRPr="00EF4DE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336F0B" w:rsidRPr="00EF4DE1" w:rsidRDefault="00336F0B" w:rsidP="00044843">
            <w:pPr>
              <w:rPr>
                <w:color w:val="FFFFFF"/>
              </w:rPr>
            </w:pPr>
          </w:p>
        </w:tc>
        <w:tc>
          <w:tcPr>
            <w:cnfStyle w:val="000010000000" w:firstRow="0" w:lastRow="0" w:firstColumn="0" w:lastColumn="0" w:oddVBand="1" w:evenVBand="0" w:oddHBand="0" w:evenHBand="0" w:firstRowFirstColumn="0" w:firstRowLastColumn="0" w:lastRowFirstColumn="0" w:lastRowLastColumn="0"/>
            <w:tcW w:w="1372" w:type="dxa"/>
          </w:tcPr>
          <w:p w:rsidR="00336F0B" w:rsidRPr="00EF4DE1" w:rsidRDefault="00336F0B" w:rsidP="00044843">
            <w:pPr>
              <w:rPr>
                <w:color w:val="FFFFFF"/>
              </w:rPr>
            </w:pPr>
            <w:r>
              <w:rPr>
                <w:color w:val="FFFFFF"/>
              </w:rPr>
              <w:t>Nominal value</w:t>
            </w:r>
          </w:p>
        </w:tc>
        <w:tc>
          <w:tcPr>
            <w:tcW w:w="1497" w:type="dxa"/>
          </w:tcPr>
          <w:p w:rsidR="00336F0B" w:rsidRPr="00EF4DE1" w:rsidRDefault="00336F0B" w:rsidP="00044843">
            <w:pPr>
              <w:cnfStyle w:val="100000000000" w:firstRow="1" w:lastRow="0" w:firstColumn="0" w:lastColumn="0" w:oddVBand="0" w:evenVBand="0" w:oddHBand="0" w:evenHBand="0" w:firstRowFirstColumn="0" w:firstRowLastColumn="0" w:lastRowFirstColumn="0" w:lastRowLastColumn="0"/>
              <w:rPr>
                <w:color w:val="FFFFFF"/>
              </w:rPr>
            </w:pPr>
            <w:r>
              <w:rPr>
                <w:color w:val="FFFFFF"/>
              </w:rPr>
              <w:t>Nominal value</w:t>
            </w:r>
          </w:p>
        </w:tc>
        <w:tc>
          <w:tcPr>
            <w:cnfStyle w:val="000010000000" w:firstRow="0" w:lastRow="0" w:firstColumn="0" w:lastColumn="0" w:oddVBand="1" w:evenVBand="0" w:oddHBand="0" w:evenHBand="0" w:firstRowFirstColumn="0" w:firstRowLastColumn="0" w:lastRowFirstColumn="0" w:lastRowLastColumn="0"/>
            <w:tcW w:w="1377" w:type="dxa"/>
          </w:tcPr>
          <w:p w:rsidR="00336F0B" w:rsidRPr="00EF4DE1" w:rsidRDefault="00336F0B" w:rsidP="00044843">
            <w:pPr>
              <w:rPr>
                <w:color w:val="FFFFFF"/>
              </w:rPr>
            </w:pPr>
            <w:r>
              <w:rPr>
                <w:color w:val="FFFFFF"/>
              </w:rPr>
              <w:t>Nominal value</w:t>
            </w:r>
          </w:p>
        </w:tc>
        <w:tc>
          <w:tcPr>
            <w:tcW w:w="1480" w:type="dxa"/>
          </w:tcPr>
          <w:p w:rsidR="00336F0B" w:rsidRPr="00EF4DE1" w:rsidRDefault="00336F0B" w:rsidP="00044843">
            <w:pPr>
              <w:cnfStyle w:val="100000000000" w:firstRow="1" w:lastRow="0" w:firstColumn="0" w:lastColumn="0" w:oddVBand="0" w:evenVBand="0" w:oddHBand="0" w:evenHBand="0" w:firstRowFirstColumn="0" w:firstRowLastColumn="0" w:lastRowFirstColumn="0" w:lastRowLastColumn="0"/>
              <w:rPr>
                <w:color w:val="FFFFFF"/>
              </w:rPr>
            </w:pPr>
            <w:r>
              <w:rPr>
                <w:color w:val="FFFFFF"/>
              </w:rPr>
              <w:t>Nominal value</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Capital expenditure commitments payable</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jc w:val="left"/>
              <w:rPr>
                <w:color w:val="FFFFFF"/>
              </w:rPr>
            </w:pPr>
            <w:r w:rsidRPr="00EF4DE1">
              <w:rPr>
                <w:b/>
                <w:color w:val="FFFFFF"/>
              </w:rPr>
              <w:t xml:space="preserve"> </w:t>
            </w:r>
          </w:p>
        </w:tc>
        <w:tc>
          <w:tcPr>
            <w:tcW w:w="1497"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FFFF"/>
              </w:rPr>
            </w:pPr>
            <w:r w:rsidRPr="00EF4DE1">
              <w:rPr>
                <w:b/>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jc w:val="left"/>
              <w:rPr>
                <w:color w:val="000000"/>
              </w:rPr>
            </w:pPr>
            <w:r w:rsidRPr="00EF4DE1">
              <w:rPr>
                <w:b/>
                <w:color w:val="000000"/>
              </w:rPr>
              <w:t xml:space="preserve"> </w:t>
            </w:r>
          </w:p>
        </w:tc>
        <w:tc>
          <w:tcPr>
            <w:tcW w:w="1480"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Less than 1 year</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4 354</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3 752</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2 562</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1 862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1 year but less than 5 years</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pPr>
              <w:rPr>
                <w:color w:val="000000"/>
              </w:rPr>
            </w:pPr>
            <w:r w:rsidRPr="00EF4DE1">
              <w:rPr>
                <w:color w:val="000000"/>
              </w:rPr>
              <w:t>3 073</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3 106</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pPr>
              <w:rPr>
                <w:color w:val="000000"/>
              </w:rPr>
            </w:pPr>
            <w:r w:rsidRPr="00EF4DE1">
              <w:rPr>
                <w:color w:val="000000"/>
              </w:rPr>
              <w:t>1 143</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1 184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5 years or more</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r w:rsidRPr="00EF4DE1">
              <w:rPr>
                <w:color w:val="000000"/>
              </w:rPr>
              <w:t>47</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47</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r w:rsidRPr="00EF4DE1">
              <w:rPr>
                <w:color w:val="000000"/>
              </w:rPr>
              <w:t>2</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rsidR="00DF17E9" w:rsidRPr="00EF4DE1" w:rsidRDefault="00DF17E9" w:rsidP="00044843">
            <w:pPr>
              <w:ind w:left="113" w:hanging="113"/>
              <w:rPr>
                <w:color w:val="000000"/>
              </w:rPr>
            </w:pPr>
            <w:r w:rsidRPr="00EF4DE1">
              <w:rPr>
                <w:b/>
                <w:color w:val="000000"/>
              </w:rPr>
              <w:t>Total capital expenditure commitments</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tcBorders>
          </w:tcPr>
          <w:p w:rsidR="00DF17E9" w:rsidRPr="00EF4DE1" w:rsidRDefault="00DF17E9" w:rsidP="00044843">
            <w:pPr>
              <w:rPr>
                <w:color w:val="000000"/>
              </w:rPr>
            </w:pPr>
            <w:r w:rsidRPr="00EF4DE1">
              <w:rPr>
                <w:b/>
                <w:color w:val="000000"/>
              </w:rPr>
              <w:t>7 474</w:t>
            </w:r>
          </w:p>
        </w:tc>
        <w:tc>
          <w:tcPr>
            <w:tcW w:w="1497"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6 904</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tcBorders>
          </w:tcPr>
          <w:p w:rsidR="00DF17E9" w:rsidRPr="00EF4DE1" w:rsidRDefault="00DF17E9" w:rsidP="00044843">
            <w:pPr>
              <w:rPr>
                <w:color w:val="000000"/>
              </w:rPr>
            </w:pPr>
            <w:r w:rsidRPr="00EF4DE1">
              <w:rPr>
                <w:b/>
                <w:color w:val="000000"/>
              </w:rPr>
              <w:t>3 707</w:t>
            </w:r>
          </w:p>
        </w:tc>
        <w:tc>
          <w:tcPr>
            <w:tcW w:w="1480"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3 048</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Operating and lease commitments payable</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 xml:space="preserve"> </w:t>
            </w:r>
          </w:p>
        </w:tc>
        <w:tc>
          <w:tcPr>
            <w:tcW w:w="1497"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 xml:space="preserve"> </w:t>
            </w:r>
          </w:p>
        </w:tc>
        <w:tc>
          <w:tcPr>
            <w:tcW w:w="1480"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Less than 1 year</w:t>
            </w:r>
            <w:r w:rsidRPr="00EF4DE1">
              <w:rPr>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3 157</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3 050</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3 222</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3 114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 xml:space="preserve">1 year but less than 5 years </w:t>
            </w:r>
            <w:r w:rsidRPr="00EF4DE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pPr>
              <w:rPr>
                <w:color w:val="000000"/>
              </w:rPr>
            </w:pPr>
            <w:r w:rsidRPr="00EF4DE1">
              <w:rPr>
                <w:color w:val="000000"/>
              </w:rPr>
              <w:t>3 911</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3 656</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pPr>
              <w:rPr>
                <w:color w:val="000000"/>
              </w:rPr>
            </w:pPr>
            <w:r w:rsidRPr="00EF4DE1">
              <w:rPr>
                <w:color w:val="000000"/>
              </w:rPr>
              <w:t>5 873</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5 627</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 xml:space="preserve">5 years or more </w:t>
            </w:r>
            <w:r w:rsidRPr="00EF4DE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r w:rsidRPr="00EF4DE1">
              <w:rPr>
                <w:color w:val="000000"/>
              </w:rPr>
              <w:t>830</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344</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r w:rsidRPr="00EF4DE1">
              <w:rPr>
                <w:color w:val="000000"/>
              </w:rPr>
              <w:t>724</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399</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rsidR="00DF17E9" w:rsidRPr="00EF4DE1" w:rsidRDefault="00DF17E9" w:rsidP="00044843">
            <w:pPr>
              <w:ind w:left="113" w:hanging="113"/>
              <w:rPr>
                <w:color w:val="000000"/>
              </w:rPr>
            </w:pPr>
            <w:r w:rsidRPr="00EF4DE1">
              <w:rPr>
                <w:b/>
                <w:color w:val="000000"/>
              </w:rPr>
              <w:t>Total operating and lease commitments</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tcBorders>
          </w:tcPr>
          <w:p w:rsidR="00DF17E9" w:rsidRPr="00EF4DE1" w:rsidRDefault="00DF17E9" w:rsidP="00044843">
            <w:pPr>
              <w:rPr>
                <w:color w:val="000000"/>
              </w:rPr>
            </w:pPr>
            <w:r w:rsidRPr="00EF4DE1">
              <w:rPr>
                <w:b/>
                <w:color w:val="000000"/>
              </w:rPr>
              <w:t>7 897</w:t>
            </w:r>
          </w:p>
        </w:tc>
        <w:tc>
          <w:tcPr>
            <w:tcW w:w="1497"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7 050</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tcBorders>
          </w:tcPr>
          <w:p w:rsidR="00DF17E9" w:rsidRPr="00EF4DE1" w:rsidRDefault="00DF17E9" w:rsidP="00044843">
            <w:pPr>
              <w:rPr>
                <w:color w:val="000000"/>
              </w:rPr>
            </w:pPr>
            <w:r w:rsidRPr="00EF4DE1">
              <w:rPr>
                <w:b/>
                <w:color w:val="000000"/>
              </w:rPr>
              <w:t>9 818</w:t>
            </w:r>
          </w:p>
        </w:tc>
        <w:tc>
          <w:tcPr>
            <w:tcW w:w="1480"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9 140</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Public private partnership commitments</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 xml:space="preserve"> </w:t>
            </w:r>
          </w:p>
        </w:tc>
        <w:tc>
          <w:tcPr>
            <w:tcW w:w="1497"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 xml:space="preserve"> </w:t>
            </w:r>
          </w:p>
        </w:tc>
        <w:tc>
          <w:tcPr>
            <w:tcW w:w="1480"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 xml:space="preserve">Less than 1 year </w:t>
            </w:r>
            <w:r w:rsidRPr="00EF4DE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1 166</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1 144</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r w:rsidRPr="00EF4DE1">
              <w:rPr>
                <w:color w:val="000000"/>
              </w:rPr>
              <w:t>489</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464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1 year but less than 5 years</w:t>
            </w:r>
            <w:r w:rsidRPr="00EF4DE1">
              <w:rPr>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pPr>
              <w:rPr>
                <w:color w:val="000000"/>
              </w:rPr>
            </w:pPr>
            <w:r w:rsidRPr="00EF4DE1">
              <w:rPr>
                <w:color w:val="000000"/>
              </w:rPr>
              <w:t>3 679</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3 583</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pPr>
              <w:rPr>
                <w:color w:val="000000"/>
              </w:rPr>
            </w:pPr>
            <w:r w:rsidRPr="00EF4DE1">
              <w:rPr>
                <w:color w:val="000000"/>
              </w:rPr>
              <w:t>4 105</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4 011</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 xml:space="preserve">5 years or more </w:t>
            </w:r>
            <w:r w:rsidRPr="00EF4DE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pPr>
              <w:rPr>
                <w:color w:val="000000"/>
              </w:rPr>
            </w:pPr>
            <w:r w:rsidRPr="00EF4DE1">
              <w:rPr>
                <w:color w:val="000000"/>
              </w:rPr>
              <w:t>19 283</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19 087</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pPr>
              <w:rPr>
                <w:color w:val="000000"/>
              </w:rPr>
            </w:pPr>
            <w:r w:rsidRPr="00EF4DE1">
              <w:rPr>
                <w:color w:val="000000"/>
              </w:rPr>
              <w:t>20 049</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19 826</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rsidR="00DF17E9" w:rsidRPr="00EF4DE1" w:rsidRDefault="00DF17E9" w:rsidP="00044843">
            <w:pPr>
              <w:ind w:left="113" w:hanging="113"/>
              <w:rPr>
                <w:color w:val="000000"/>
              </w:rPr>
            </w:pPr>
            <w:r w:rsidRPr="00EF4DE1">
              <w:rPr>
                <w:b/>
                <w:color w:val="000000"/>
              </w:rPr>
              <w:t xml:space="preserve">Total public private partnership commitments </w:t>
            </w:r>
            <w:r w:rsidRPr="00EF4DE1">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tcBorders>
          </w:tcPr>
          <w:p w:rsidR="00DF17E9" w:rsidRPr="00EF4DE1" w:rsidRDefault="00DF17E9" w:rsidP="00044843">
            <w:pPr>
              <w:rPr>
                <w:color w:val="000000"/>
              </w:rPr>
            </w:pPr>
            <w:r w:rsidRPr="00EF4DE1">
              <w:rPr>
                <w:b/>
                <w:color w:val="000000"/>
              </w:rPr>
              <w:t>24 128</w:t>
            </w:r>
          </w:p>
        </w:tc>
        <w:tc>
          <w:tcPr>
            <w:tcW w:w="1497"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23 814</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tcBorders>
          </w:tcPr>
          <w:p w:rsidR="00DF17E9" w:rsidRPr="00EF4DE1" w:rsidRDefault="00DF17E9" w:rsidP="00044843">
            <w:pPr>
              <w:rPr>
                <w:color w:val="000000"/>
              </w:rPr>
            </w:pPr>
            <w:r w:rsidRPr="00EF4DE1">
              <w:rPr>
                <w:b/>
                <w:color w:val="000000"/>
              </w:rPr>
              <w:t>24 642</w:t>
            </w:r>
          </w:p>
        </w:tc>
        <w:tc>
          <w:tcPr>
            <w:tcW w:w="1480" w:type="dxa"/>
            <w:tcBorders>
              <w:top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24 302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b/>
                <w:color w:val="000000"/>
              </w:rPr>
              <w:t>Total other commitments payable</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 xml:space="preserve"> </w:t>
            </w:r>
          </w:p>
        </w:tc>
        <w:tc>
          <w:tcPr>
            <w:tcW w:w="1497"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 xml:space="preserve"> </w:t>
            </w:r>
          </w:p>
        </w:tc>
        <w:tc>
          <w:tcPr>
            <w:tcW w:w="1480" w:type="dxa"/>
          </w:tcPr>
          <w:p w:rsidR="00DF17E9" w:rsidRPr="00EF4DE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 xml:space="preserve"> </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Pr>
          <w:p w:rsidR="00DF17E9" w:rsidRPr="00EF4DE1" w:rsidRDefault="00DF17E9" w:rsidP="00044843">
            <w:pPr>
              <w:ind w:left="113" w:hanging="113"/>
              <w:rPr>
                <w:color w:val="000000"/>
              </w:rPr>
            </w:pPr>
            <w:r w:rsidRPr="00EF4DE1">
              <w:rPr>
                <w:color w:val="000000"/>
              </w:rPr>
              <w:t xml:space="preserve">Less than 1 year </w:t>
            </w:r>
            <w:r w:rsidRPr="00EF4DE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Pr>
          <w:p w:rsidR="00DF17E9" w:rsidRPr="00EF4DE1" w:rsidRDefault="00DF17E9" w:rsidP="00044843">
            <w:pPr>
              <w:rPr>
                <w:color w:val="000000"/>
              </w:rPr>
            </w:pPr>
            <w:r w:rsidRPr="00EF4DE1">
              <w:rPr>
                <w:color w:val="000000"/>
              </w:rPr>
              <w:t>2 441</w:t>
            </w:r>
          </w:p>
        </w:tc>
        <w:tc>
          <w:tcPr>
            <w:tcW w:w="1497"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2 364</w:t>
            </w:r>
          </w:p>
        </w:tc>
        <w:tc>
          <w:tcPr>
            <w:cnfStyle w:val="000010000000" w:firstRow="0" w:lastRow="0" w:firstColumn="0" w:lastColumn="0" w:oddVBand="1" w:evenVBand="0" w:oddHBand="0" w:evenHBand="0" w:firstRowFirstColumn="0" w:firstRowLastColumn="0" w:lastRowFirstColumn="0" w:lastRowLastColumn="0"/>
            <w:tcW w:w="1377" w:type="dxa"/>
          </w:tcPr>
          <w:p w:rsidR="00DF17E9" w:rsidRPr="00EF4DE1" w:rsidRDefault="00DF17E9" w:rsidP="00044843">
            <w:pPr>
              <w:rPr>
                <w:color w:val="000000"/>
              </w:rPr>
            </w:pPr>
            <w:r w:rsidRPr="00EF4DE1">
              <w:rPr>
                <w:color w:val="000000"/>
              </w:rPr>
              <w:t>2 061</w:t>
            </w:r>
          </w:p>
        </w:tc>
        <w:tc>
          <w:tcPr>
            <w:tcW w:w="1480" w:type="dxa"/>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2 045</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nil"/>
            </w:tcBorders>
          </w:tcPr>
          <w:p w:rsidR="00DF17E9" w:rsidRPr="00EF4DE1" w:rsidRDefault="00DF17E9" w:rsidP="00044843">
            <w:pPr>
              <w:ind w:left="113" w:hanging="113"/>
              <w:rPr>
                <w:color w:val="000000"/>
              </w:rPr>
            </w:pPr>
            <w:r w:rsidRPr="00EF4DE1">
              <w:rPr>
                <w:color w:val="000000"/>
              </w:rPr>
              <w:t>1 year but less than 5 years</w:t>
            </w:r>
          </w:p>
        </w:tc>
        <w:tc>
          <w:tcPr>
            <w:cnfStyle w:val="000010000000" w:firstRow="0" w:lastRow="0" w:firstColumn="0" w:lastColumn="0" w:oddVBand="1" w:evenVBand="0" w:oddHBand="0" w:evenHBand="0" w:firstRowFirstColumn="0" w:firstRowLastColumn="0" w:lastRowFirstColumn="0" w:lastRowLastColumn="0"/>
            <w:tcW w:w="1372" w:type="dxa"/>
            <w:tcBorders>
              <w:bottom w:val="nil"/>
            </w:tcBorders>
          </w:tcPr>
          <w:p w:rsidR="00DF17E9" w:rsidRPr="00EF4DE1" w:rsidRDefault="00DF17E9" w:rsidP="00044843">
            <w:pPr>
              <w:rPr>
                <w:color w:val="000000"/>
              </w:rPr>
            </w:pPr>
            <w:r w:rsidRPr="00EF4DE1">
              <w:rPr>
                <w:color w:val="000000"/>
              </w:rPr>
              <w:t>2 901</w:t>
            </w:r>
          </w:p>
        </w:tc>
        <w:tc>
          <w:tcPr>
            <w:tcW w:w="1497"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2 794</w:t>
            </w:r>
          </w:p>
        </w:tc>
        <w:tc>
          <w:tcPr>
            <w:cnfStyle w:val="000010000000" w:firstRow="0" w:lastRow="0" w:firstColumn="0" w:lastColumn="0" w:oddVBand="1" w:evenVBand="0" w:oddHBand="0" w:evenHBand="0" w:firstRowFirstColumn="0" w:firstRowLastColumn="0" w:lastRowFirstColumn="0" w:lastRowLastColumn="0"/>
            <w:tcW w:w="1377" w:type="dxa"/>
            <w:tcBorders>
              <w:bottom w:val="nil"/>
            </w:tcBorders>
          </w:tcPr>
          <w:p w:rsidR="00DF17E9" w:rsidRPr="00EF4DE1" w:rsidRDefault="00DF17E9" w:rsidP="00044843">
            <w:pPr>
              <w:rPr>
                <w:color w:val="000000"/>
              </w:rPr>
            </w:pPr>
            <w:r w:rsidRPr="00EF4DE1">
              <w:rPr>
                <w:color w:val="000000"/>
              </w:rPr>
              <w:t>1 917</w:t>
            </w:r>
          </w:p>
        </w:tc>
        <w:tc>
          <w:tcPr>
            <w:tcW w:w="1480" w:type="dxa"/>
            <w:tcBorders>
              <w:bottom w:val="nil"/>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1 883</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bottom w:val="single" w:sz="6" w:space="0" w:color="auto"/>
            </w:tcBorders>
          </w:tcPr>
          <w:p w:rsidR="00DF17E9" w:rsidRPr="00EF4DE1" w:rsidRDefault="00DF17E9" w:rsidP="00044843">
            <w:pPr>
              <w:ind w:left="113" w:hanging="113"/>
              <w:rPr>
                <w:color w:val="000000"/>
              </w:rPr>
            </w:pPr>
            <w:r w:rsidRPr="00EF4DE1">
              <w:rPr>
                <w:color w:val="000000"/>
              </w:rPr>
              <w:t>5 years or more</w:t>
            </w:r>
          </w:p>
        </w:tc>
        <w:tc>
          <w:tcPr>
            <w:cnfStyle w:val="000010000000" w:firstRow="0" w:lastRow="0" w:firstColumn="0" w:lastColumn="0" w:oddVBand="1" w:evenVBand="0" w:oddHBand="0" w:evenHBand="0" w:firstRowFirstColumn="0" w:firstRowLastColumn="0" w:lastRowFirstColumn="0" w:lastRowLastColumn="0"/>
            <w:tcW w:w="1372" w:type="dxa"/>
            <w:tcBorders>
              <w:bottom w:val="single" w:sz="6" w:space="0" w:color="auto"/>
            </w:tcBorders>
          </w:tcPr>
          <w:p w:rsidR="00DF17E9" w:rsidRPr="00EF4DE1" w:rsidRDefault="00DF17E9" w:rsidP="00044843">
            <w:pPr>
              <w:rPr>
                <w:color w:val="000000"/>
              </w:rPr>
            </w:pPr>
            <w:r w:rsidRPr="00EF4DE1">
              <w:rPr>
                <w:color w:val="000000"/>
              </w:rPr>
              <w:t>3 757</w:t>
            </w:r>
          </w:p>
        </w:tc>
        <w:tc>
          <w:tcPr>
            <w:tcW w:w="1497"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color w:val="000000"/>
              </w:rPr>
              <w:t>3 676</w:t>
            </w:r>
          </w:p>
        </w:tc>
        <w:tc>
          <w:tcPr>
            <w:cnfStyle w:val="000010000000" w:firstRow="0" w:lastRow="0" w:firstColumn="0" w:lastColumn="0" w:oddVBand="1" w:evenVBand="0" w:oddHBand="0" w:evenHBand="0" w:firstRowFirstColumn="0" w:firstRowLastColumn="0" w:lastRowFirstColumn="0" w:lastRowLastColumn="0"/>
            <w:tcW w:w="1377" w:type="dxa"/>
            <w:tcBorders>
              <w:bottom w:val="single" w:sz="6" w:space="0" w:color="auto"/>
            </w:tcBorders>
          </w:tcPr>
          <w:p w:rsidR="00DF17E9" w:rsidRPr="00EF4DE1" w:rsidRDefault="00DF17E9" w:rsidP="00044843">
            <w:r w:rsidRPr="00EF4DE1">
              <w:rPr>
                <w:color w:val="000000"/>
              </w:rPr>
              <w:t>706</w:t>
            </w:r>
          </w:p>
        </w:tc>
        <w:tc>
          <w:tcPr>
            <w:tcW w:w="1480" w:type="dxa"/>
            <w:tcBorders>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pPr>
            <w:r w:rsidRPr="00EF4DE1">
              <w:rPr>
                <w:color w:val="000000"/>
              </w:rPr>
              <w:t>614</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rsidR="00DF17E9" w:rsidRPr="00EF4DE1" w:rsidRDefault="00DF17E9" w:rsidP="00044843">
            <w:pPr>
              <w:ind w:left="113" w:hanging="113"/>
              <w:rPr>
                <w:color w:val="000000"/>
              </w:rPr>
            </w:pPr>
            <w:r w:rsidRPr="00EF4DE1">
              <w:rPr>
                <w:b/>
                <w:color w:val="000000"/>
              </w:rPr>
              <w:t xml:space="preserve">Total other commitments </w:t>
            </w:r>
            <w:r w:rsidRPr="00EF4DE1">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9 099</w:t>
            </w:r>
          </w:p>
        </w:tc>
        <w:tc>
          <w:tcPr>
            <w:tcW w:w="1497"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8 834</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bottom w:val="single" w:sz="6" w:space="0" w:color="auto"/>
            </w:tcBorders>
          </w:tcPr>
          <w:p w:rsidR="00DF17E9" w:rsidRPr="00EF4DE1" w:rsidRDefault="00DF17E9" w:rsidP="00044843">
            <w:pPr>
              <w:rPr>
                <w:color w:val="000000"/>
              </w:rPr>
            </w:pPr>
            <w:r w:rsidRPr="00EF4DE1">
              <w:rPr>
                <w:b/>
                <w:color w:val="000000"/>
              </w:rPr>
              <w:t>4 685</w:t>
            </w:r>
          </w:p>
        </w:tc>
        <w:tc>
          <w:tcPr>
            <w:tcW w:w="1480" w:type="dxa"/>
            <w:tcBorders>
              <w:top w:val="single" w:sz="6" w:space="0" w:color="auto"/>
              <w:bottom w:val="single" w:sz="6"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4 542</w:t>
            </w:r>
          </w:p>
        </w:tc>
      </w:tr>
      <w:tr w:rsidR="00DF17E9" w:rsidRPr="00EF4DE1" w:rsidTr="00044843">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12" w:space="0" w:color="auto"/>
            </w:tcBorders>
          </w:tcPr>
          <w:p w:rsidR="00DF17E9" w:rsidRPr="00EF4DE1" w:rsidRDefault="00DF17E9" w:rsidP="00044843">
            <w:pPr>
              <w:ind w:left="113" w:hanging="113"/>
              <w:rPr>
                <w:color w:val="000000"/>
              </w:rPr>
            </w:pPr>
            <w:r w:rsidRPr="00EF4DE1">
              <w:rPr>
                <w:b/>
                <w:color w:val="000000"/>
              </w:rPr>
              <w:t xml:space="preserve">Total commitments (inclusive of GST) </w:t>
            </w:r>
            <w:r w:rsidRPr="00EF4DE1">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372" w:type="dxa"/>
            <w:tcBorders>
              <w:top w:val="single" w:sz="6" w:space="0" w:color="auto"/>
              <w:bottom w:val="single" w:sz="12" w:space="0" w:color="auto"/>
            </w:tcBorders>
          </w:tcPr>
          <w:p w:rsidR="00DF17E9" w:rsidRPr="00EF4DE1" w:rsidRDefault="00DF17E9" w:rsidP="00044843">
            <w:pPr>
              <w:rPr>
                <w:color w:val="000000"/>
              </w:rPr>
            </w:pPr>
            <w:r w:rsidRPr="00EF4DE1">
              <w:rPr>
                <w:b/>
                <w:color w:val="000000"/>
              </w:rPr>
              <w:t>48 598</w:t>
            </w:r>
          </w:p>
        </w:tc>
        <w:tc>
          <w:tcPr>
            <w:tcW w:w="1497"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46 601</w:t>
            </w:r>
          </w:p>
        </w:tc>
        <w:tc>
          <w:tcPr>
            <w:cnfStyle w:val="000010000000" w:firstRow="0" w:lastRow="0" w:firstColumn="0" w:lastColumn="0" w:oddVBand="1" w:evenVBand="0" w:oddHBand="0" w:evenHBand="0" w:firstRowFirstColumn="0" w:firstRowLastColumn="0" w:lastRowFirstColumn="0" w:lastRowLastColumn="0"/>
            <w:tcW w:w="1377" w:type="dxa"/>
            <w:tcBorders>
              <w:top w:val="single" w:sz="6" w:space="0" w:color="auto"/>
              <w:bottom w:val="single" w:sz="12" w:space="0" w:color="auto"/>
            </w:tcBorders>
          </w:tcPr>
          <w:p w:rsidR="00DF17E9" w:rsidRPr="00EF4DE1" w:rsidRDefault="00DF17E9" w:rsidP="00044843">
            <w:pPr>
              <w:rPr>
                <w:color w:val="000000"/>
              </w:rPr>
            </w:pPr>
            <w:r w:rsidRPr="00EF4DE1">
              <w:rPr>
                <w:b/>
                <w:color w:val="000000"/>
              </w:rPr>
              <w:t>42 852</w:t>
            </w:r>
          </w:p>
        </w:tc>
        <w:tc>
          <w:tcPr>
            <w:tcW w:w="1480" w:type="dxa"/>
            <w:tcBorders>
              <w:top w:val="single" w:sz="6" w:space="0" w:color="auto"/>
              <w:bottom w:val="single" w:sz="12" w:space="0" w:color="auto"/>
            </w:tcBorders>
          </w:tcPr>
          <w:p w:rsidR="00DF17E9" w:rsidRPr="00EF4DE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EF4DE1">
              <w:rPr>
                <w:b/>
                <w:color w:val="000000"/>
              </w:rPr>
              <w:t>41 032</w:t>
            </w:r>
          </w:p>
        </w:tc>
      </w:tr>
    </w:tbl>
    <w:p w:rsidR="00DF17E9" w:rsidRDefault="00DF17E9" w:rsidP="00044843">
      <w:pPr>
        <w:pStyle w:val="Note"/>
        <w:ind w:left="0" w:firstLine="0"/>
      </w:pPr>
      <w:r>
        <w:t>Note:</w:t>
      </w:r>
    </w:p>
    <w:p w:rsidR="00DF17E9" w:rsidRDefault="00DF17E9" w:rsidP="00044843">
      <w:pPr>
        <w:pStyle w:val="Note"/>
      </w:pPr>
      <w:r>
        <w:t>(a)</w:t>
      </w:r>
      <w:r>
        <w:tab/>
      </w:r>
      <w:r w:rsidRPr="00274D51">
        <w:t>June 2015 comparative figures have been restated to reflect more current information.</w:t>
      </w:r>
    </w:p>
    <w:p w:rsidR="00DF17E9" w:rsidRDefault="00DF17E9" w:rsidP="00044843">
      <w:pPr>
        <w:sectPr w:rsidR="00DF17E9" w:rsidSect="00044843">
          <w:headerReference w:type="default" r:id="rId163"/>
          <w:type w:val="continuous"/>
          <w:pgSz w:w="11906" w:h="16838" w:code="9"/>
          <w:pgMar w:top="1134" w:right="1134" w:bottom="1134" w:left="1134" w:header="624" w:footer="567" w:gutter="0"/>
          <w:cols w:space="708"/>
          <w:docGrid w:linePitch="360"/>
        </w:sectPr>
      </w:pPr>
    </w:p>
    <w:bookmarkEnd w:id="42"/>
    <w:p w:rsidR="00DF17E9" w:rsidRDefault="00DF17E9" w:rsidP="00044843">
      <w:pPr>
        <w:sectPr w:rsidR="00DF17E9" w:rsidSect="00044843">
          <w:headerReference w:type="even" r:id="rId164"/>
          <w:headerReference w:type="default" r:id="rId165"/>
          <w:footerReference w:type="even" r:id="rId166"/>
          <w:footerReference w:type="default" r:id="rId167"/>
          <w:type w:val="continuous"/>
          <w:pgSz w:w="11906" w:h="16838" w:code="9"/>
          <w:pgMar w:top="1134" w:right="1134" w:bottom="1134" w:left="1134" w:header="624" w:footer="567" w:gutter="0"/>
          <w:cols w:num="2" w:space="708"/>
          <w:docGrid w:linePitch="360"/>
        </w:sectPr>
      </w:pPr>
    </w:p>
    <w:p w:rsidR="00DF17E9" w:rsidRDefault="00DF17E9" w:rsidP="00044843">
      <w:pPr>
        <w:pStyle w:val="Heading1"/>
      </w:pPr>
      <w:bookmarkStart w:id="50" w:name="_Toc462865844"/>
      <w:r>
        <w:lastRenderedPageBreak/>
        <w:t>Other assets and liabilities</w:t>
      </w:r>
      <w:bookmarkEnd w:id="50"/>
    </w:p>
    <w:p w:rsidR="00DF17E9" w:rsidRDefault="00DF17E9" w:rsidP="00AB724F">
      <w:pPr>
        <w:pStyle w:val="Subheadingunderline"/>
        <w:sectPr w:rsidR="00DF17E9" w:rsidSect="00044843">
          <w:headerReference w:type="even" r:id="rId168"/>
          <w:headerReference w:type="default" r:id="rId169"/>
          <w:footerReference w:type="even" r:id="rId170"/>
          <w:footerReference w:type="default" r:id="rId171"/>
          <w:pgSz w:w="11906" w:h="16838" w:code="9"/>
          <w:pgMar w:top="1134" w:right="1134" w:bottom="1134" w:left="1134" w:header="624" w:footer="567" w:gutter="0"/>
          <w:cols w:space="708"/>
          <w:docGrid w:linePitch="360"/>
        </w:sectPr>
      </w:pPr>
    </w:p>
    <w:p w:rsidR="00DF17E9" w:rsidRPr="0083707B" w:rsidRDefault="00DF17E9" w:rsidP="00AB724F">
      <w:pPr>
        <w:pStyle w:val="Subheadingunderline"/>
      </w:pPr>
      <w:bookmarkStart w:id="51" w:name="Section_06"/>
      <w:r w:rsidRPr="0083707B">
        <w:lastRenderedPageBreak/>
        <w:t xml:space="preserve">Introduction </w:t>
      </w:r>
    </w:p>
    <w:p w:rsidR="00DF17E9" w:rsidRDefault="00DF17E9" w:rsidP="00AB724F">
      <w:pPr>
        <w:pStyle w:val="BodyText"/>
      </w:pPr>
      <w:r>
        <w:t>This section sets out other assets and liabilities that ari</w:t>
      </w:r>
      <w:r w:rsidRPr="00AB724F">
        <w:t>se from the State’s operations</w:t>
      </w:r>
      <w:r>
        <w:t>.</w:t>
      </w:r>
    </w:p>
    <w:p w:rsidR="00DF17E9" w:rsidRDefault="00DF17E9" w:rsidP="0042008E"/>
    <w:p w:rsidR="00DF17E9" w:rsidRPr="0083707B" w:rsidRDefault="00DF17E9" w:rsidP="00560E01">
      <w:pPr>
        <w:pStyle w:val="Subheadingunderline"/>
      </w:pPr>
      <w:r>
        <w:br w:type="column"/>
      </w:r>
      <w:r w:rsidRPr="0083707B">
        <w:lastRenderedPageBreak/>
        <w:t>Structure</w:t>
      </w:r>
    </w:p>
    <w:p w:rsidR="00DF17E9" w:rsidRDefault="00DF17E9" w:rsidP="00044843">
      <w:pPr>
        <w:pStyle w:val="TOC9"/>
        <w:rPr>
          <w:b/>
          <w:noProof/>
        </w:rPr>
      </w:pPr>
      <w:r>
        <w:rPr>
          <w:b/>
          <w:noProof/>
        </w:rPr>
        <w:t>Assets</w:t>
      </w:r>
    </w:p>
    <w:p w:rsidR="00DF17E9" w:rsidRDefault="00DF17E9">
      <w:pPr>
        <w:pStyle w:val="TOC9"/>
        <w:rPr>
          <w:rFonts w:eastAsiaTheme="minorEastAsia"/>
          <w:noProof/>
          <w:sz w:val="22"/>
          <w:lang w:eastAsia="en-AU"/>
        </w:rPr>
      </w:pPr>
      <w:r>
        <w:rPr>
          <w:b/>
          <w:noProof/>
        </w:rPr>
        <w:fldChar w:fldCharType="begin"/>
      </w:r>
      <w:r>
        <w:rPr>
          <w:b/>
          <w:noProof/>
        </w:rPr>
        <w:instrText xml:space="preserve"> TOC \h \z \t "Heading 2,9" \b Section_06 </w:instrText>
      </w:r>
      <w:r>
        <w:rPr>
          <w:b/>
          <w:noProof/>
        </w:rPr>
        <w:fldChar w:fldCharType="separate"/>
      </w:r>
      <w:hyperlink w:anchor="_Toc459976568" w:history="1">
        <w:r w:rsidRPr="0071365B">
          <w:rPr>
            <w:rStyle w:val="Hyperlink"/>
            <w:noProof/>
            <w14:scene3d>
              <w14:camera w14:prst="orthographicFront"/>
              <w14:lightRig w14:rig="threePt" w14:dir="t">
                <w14:rot w14:lat="0" w14:lon="0" w14:rev="0"/>
              </w14:lightRig>
            </w14:scene3d>
          </w:rPr>
          <w:t>6.1</w:t>
        </w:r>
        <w:r>
          <w:rPr>
            <w:rFonts w:eastAsiaTheme="minorEastAsia"/>
            <w:noProof/>
            <w:sz w:val="22"/>
            <w:lang w:eastAsia="en-AU"/>
          </w:rPr>
          <w:tab/>
        </w:r>
        <w:r w:rsidRPr="0071365B">
          <w:rPr>
            <w:rStyle w:val="Hyperlink"/>
            <w:noProof/>
          </w:rPr>
          <w:t>Investment in other sector entities</w:t>
        </w:r>
        <w:r>
          <w:rPr>
            <w:noProof/>
            <w:webHidden/>
          </w:rPr>
          <w:tab/>
        </w:r>
        <w:r>
          <w:rPr>
            <w:noProof/>
            <w:webHidden/>
          </w:rPr>
          <w:fldChar w:fldCharType="begin"/>
        </w:r>
        <w:r>
          <w:rPr>
            <w:noProof/>
            <w:webHidden/>
          </w:rPr>
          <w:instrText xml:space="preserve"> PAGEREF _Toc459976568 \h </w:instrText>
        </w:r>
        <w:r>
          <w:rPr>
            <w:noProof/>
            <w:webHidden/>
          </w:rPr>
        </w:r>
        <w:r>
          <w:rPr>
            <w:noProof/>
            <w:webHidden/>
          </w:rPr>
          <w:fldChar w:fldCharType="separate"/>
        </w:r>
        <w:r w:rsidR="00E3704D">
          <w:rPr>
            <w:noProof/>
            <w:webHidden/>
          </w:rPr>
          <w:t>70</w:t>
        </w:r>
        <w:r>
          <w:rPr>
            <w:noProof/>
            <w:webHidden/>
          </w:rPr>
          <w:fldChar w:fldCharType="end"/>
        </w:r>
      </w:hyperlink>
    </w:p>
    <w:p w:rsidR="00DF17E9" w:rsidRDefault="003A3C3D">
      <w:pPr>
        <w:pStyle w:val="TOC9"/>
        <w:rPr>
          <w:rFonts w:eastAsiaTheme="minorEastAsia"/>
          <w:noProof/>
          <w:sz w:val="22"/>
          <w:lang w:eastAsia="en-AU"/>
        </w:rPr>
      </w:pPr>
      <w:hyperlink w:anchor="_Toc459976569" w:history="1">
        <w:r w:rsidR="00DF17E9" w:rsidRPr="0071365B">
          <w:rPr>
            <w:rStyle w:val="Hyperlink"/>
            <w:noProof/>
            <w:lang w:val="en-US"/>
            <w14:scene3d>
              <w14:camera w14:prst="orthographicFront"/>
              <w14:lightRig w14:rig="threePt" w14:dir="t">
                <w14:rot w14:lat="0" w14:lon="0" w14:rev="0"/>
              </w14:lightRig>
            </w14:scene3d>
          </w:rPr>
          <w:t>6.2</w:t>
        </w:r>
        <w:r w:rsidR="00DF17E9">
          <w:rPr>
            <w:rFonts w:eastAsiaTheme="minorEastAsia"/>
            <w:noProof/>
            <w:sz w:val="22"/>
            <w:lang w:eastAsia="en-AU"/>
          </w:rPr>
          <w:tab/>
        </w:r>
        <w:r w:rsidR="00DF17E9" w:rsidRPr="0071365B">
          <w:rPr>
            <w:rStyle w:val="Hyperlink"/>
            <w:noProof/>
          </w:rPr>
          <w:t>Inventories</w:t>
        </w:r>
        <w:r w:rsidR="00DF17E9">
          <w:rPr>
            <w:noProof/>
            <w:webHidden/>
          </w:rPr>
          <w:tab/>
        </w:r>
        <w:r w:rsidR="00DF17E9">
          <w:rPr>
            <w:noProof/>
            <w:webHidden/>
          </w:rPr>
          <w:fldChar w:fldCharType="begin"/>
        </w:r>
        <w:r w:rsidR="00DF17E9">
          <w:rPr>
            <w:noProof/>
            <w:webHidden/>
          </w:rPr>
          <w:instrText xml:space="preserve"> PAGEREF _Toc459976569 \h </w:instrText>
        </w:r>
        <w:r w:rsidR="00DF17E9">
          <w:rPr>
            <w:noProof/>
            <w:webHidden/>
          </w:rPr>
        </w:r>
        <w:r w:rsidR="00DF17E9">
          <w:rPr>
            <w:noProof/>
            <w:webHidden/>
          </w:rPr>
          <w:fldChar w:fldCharType="separate"/>
        </w:r>
        <w:r w:rsidR="00E3704D">
          <w:rPr>
            <w:noProof/>
            <w:webHidden/>
          </w:rPr>
          <w:t>70</w:t>
        </w:r>
        <w:r w:rsidR="00DF17E9">
          <w:rPr>
            <w:noProof/>
            <w:webHidden/>
          </w:rPr>
          <w:fldChar w:fldCharType="end"/>
        </w:r>
      </w:hyperlink>
    </w:p>
    <w:p w:rsidR="00DF17E9" w:rsidRDefault="003A3C3D">
      <w:pPr>
        <w:pStyle w:val="TOC9"/>
        <w:rPr>
          <w:rFonts w:eastAsiaTheme="minorEastAsia"/>
          <w:noProof/>
          <w:sz w:val="22"/>
          <w:lang w:eastAsia="en-AU"/>
        </w:rPr>
      </w:pPr>
      <w:hyperlink w:anchor="_Toc459976570" w:history="1">
        <w:r w:rsidR="00DF17E9" w:rsidRPr="0071365B">
          <w:rPr>
            <w:rStyle w:val="Hyperlink"/>
            <w:noProof/>
            <w:lang w:val="en-US"/>
            <w14:scene3d>
              <w14:camera w14:prst="orthographicFront"/>
              <w14:lightRig w14:rig="threePt" w14:dir="t">
                <w14:rot w14:lat="0" w14:lon="0" w14:rev="0"/>
              </w14:lightRig>
            </w14:scene3d>
          </w:rPr>
          <w:t>6.3</w:t>
        </w:r>
        <w:r w:rsidR="00DF17E9">
          <w:rPr>
            <w:rFonts w:eastAsiaTheme="minorEastAsia"/>
            <w:noProof/>
            <w:sz w:val="22"/>
            <w:lang w:eastAsia="en-AU"/>
          </w:rPr>
          <w:tab/>
        </w:r>
        <w:r w:rsidR="00DF17E9" w:rsidRPr="0071365B">
          <w:rPr>
            <w:rStyle w:val="Hyperlink"/>
            <w:noProof/>
          </w:rPr>
          <w:t>Receivables</w:t>
        </w:r>
        <w:r w:rsidR="00DF17E9">
          <w:rPr>
            <w:noProof/>
            <w:webHidden/>
          </w:rPr>
          <w:tab/>
        </w:r>
        <w:r w:rsidR="00DF17E9">
          <w:rPr>
            <w:noProof/>
            <w:webHidden/>
          </w:rPr>
          <w:fldChar w:fldCharType="begin"/>
        </w:r>
        <w:r w:rsidR="00DF17E9">
          <w:rPr>
            <w:noProof/>
            <w:webHidden/>
          </w:rPr>
          <w:instrText xml:space="preserve"> PAGEREF _Toc459976570 \h </w:instrText>
        </w:r>
        <w:r w:rsidR="00DF17E9">
          <w:rPr>
            <w:noProof/>
            <w:webHidden/>
          </w:rPr>
        </w:r>
        <w:r w:rsidR="00DF17E9">
          <w:rPr>
            <w:noProof/>
            <w:webHidden/>
          </w:rPr>
          <w:fldChar w:fldCharType="separate"/>
        </w:r>
        <w:r w:rsidR="00E3704D">
          <w:rPr>
            <w:noProof/>
            <w:webHidden/>
          </w:rPr>
          <w:t>71</w:t>
        </w:r>
        <w:r w:rsidR="00DF17E9">
          <w:rPr>
            <w:noProof/>
            <w:webHidden/>
          </w:rPr>
          <w:fldChar w:fldCharType="end"/>
        </w:r>
      </w:hyperlink>
    </w:p>
    <w:p w:rsidR="00DF17E9" w:rsidRPr="00B37737" w:rsidRDefault="00DF17E9" w:rsidP="00044843">
      <w:pPr>
        <w:pStyle w:val="TOC9"/>
        <w:rPr>
          <w:b/>
          <w:noProof/>
        </w:rPr>
      </w:pPr>
      <w:r w:rsidRPr="00B37737">
        <w:rPr>
          <w:b/>
          <w:noProof/>
        </w:rPr>
        <w:t>Liabilities</w:t>
      </w:r>
    </w:p>
    <w:p w:rsidR="00DF17E9" w:rsidRDefault="003A3C3D">
      <w:pPr>
        <w:pStyle w:val="TOC9"/>
        <w:rPr>
          <w:rFonts w:eastAsiaTheme="minorEastAsia"/>
          <w:noProof/>
          <w:sz w:val="22"/>
          <w:lang w:eastAsia="en-AU"/>
        </w:rPr>
      </w:pPr>
      <w:hyperlink w:anchor="_Toc459976571" w:history="1">
        <w:r w:rsidR="00DF17E9" w:rsidRPr="0071365B">
          <w:rPr>
            <w:rStyle w:val="Hyperlink"/>
            <w:noProof/>
            <w:lang w:val="en-US"/>
            <w14:scene3d>
              <w14:camera w14:prst="orthographicFront"/>
              <w14:lightRig w14:rig="threePt" w14:dir="t">
                <w14:rot w14:lat="0" w14:lon="0" w14:rev="0"/>
              </w14:lightRig>
            </w14:scene3d>
          </w:rPr>
          <w:t>6.4</w:t>
        </w:r>
        <w:r w:rsidR="00DF17E9">
          <w:rPr>
            <w:rFonts w:eastAsiaTheme="minorEastAsia"/>
            <w:noProof/>
            <w:sz w:val="22"/>
            <w:lang w:eastAsia="en-AU"/>
          </w:rPr>
          <w:tab/>
        </w:r>
        <w:r w:rsidR="00DF17E9" w:rsidRPr="0071365B">
          <w:rPr>
            <w:rStyle w:val="Hyperlink"/>
            <w:noProof/>
          </w:rPr>
          <w:t>Payables</w:t>
        </w:r>
        <w:r w:rsidR="00DF17E9">
          <w:rPr>
            <w:noProof/>
            <w:webHidden/>
          </w:rPr>
          <w:tab/>
        </w:r>
        <w:r w:rsidR="00DF17E9">
          <w:rPr>
            <w:noProof/>
            <w:webHidden/>
          </w:rPr>
          <w:fldChar w:fldCharType="begin"/>
        </w:r>
        <w:r w:rsidR="00DF17E9">
          <w:rPr>
            <w:noProof/>
            <w:webHidden/>
          </w:rPr>
          <w:instrText xml:space="preserve"> PAGEREF _Toc459976571 \h </w:instrText>
        </w:r>
        <w:r w:rsidR="00DF17E9">
          <w:rPr>
            <w:noProof/>
            <w:webHidden/>
          </w:rPr>
        </w:r>
        <w:r w:rsidR="00DF17E9">
          <w:rPr>
            <w:noProof/>
            <w:webHidden/>
          </w:rPr>
          <w:fldChar w:fldCharType="separate"/>
        </w:r>
        <w:r w:rsidR="00E3704D">
          <w:rPr>
            <w:noProof/>
            <w:webHidden/>
          </w:rPr>
          <w:t>73</w:t>
        </w:r>
        <w:r w:rsidR="00DF17E9">
          <w:rPr>
            <w:noProof/>
            <w:webHidden/>
          </w:rPr>
          <w:fldChar w:fldCharType="end"/>
        </w:r>
      </w:hyperlink>
    </w:p>
    <w:p w:rsidR="00DF17E9" w:rsidRDefault="003A3C3D">
      <w:pPr>
        <w:pStyle w:val="TOC9"/>
        <w:rPr>
          <w:rFonts w:eastAsiaTheme="minorEastAsia"/>
          <w:noProof/>
          <w:sz w:val="22"/>
          <w:lang w:eastAsia="en-AU"/>
        </w:rPr>
      </w:pPr>
      <w:hyperlink w:anchor="_Toc459976572" w:history="1">
        <w:r w:rsidR="00DF17E9" w:rsidRPr="0071365B">
          <w:rPr>
            <w:rStyle w:val="Hyperlink"/>
            <w:noProof/>
            <w14:scene3d>
              <w14:camera w14:prst="orthographicFront"/>
              <w14:lightRig w14:rig="threePt" w14:dir="t">
                <w14:rot w14:lat="0" w14:lon="0" w14:rev="0"/>
              </w14:lightRig>
            </w14:scene3d>
          </w:rPr>
          <w:t>6.5</w:t>
        </w:r>
        <w:r w:rsidR="00DF17E9">
          <w:rPr>
            <w:rFonts w:eastAsiaTheme="minorEastAsia"/>
            <w:noProof/>
            <w:sz w:val="22"/>
            <w:lang w:eastAsia="en-AU"/>
          </w:rPr>
          <w:tab/>
        </w:r>
        <w:r w:rsidR="00DF17E9" w:rsidRPr="0071365B">
          <w:rPr>
            <w:rStyle w:val="Hyperlink"/>
            <w:noProof/>
          </w:rPr>
          <w:t>Superannuation</w:t>
        </w:r>
        <w:r w:rsidR="00DF17E9">
          <w:rPr>
            <w:noProof/>
            <w:webHidden/>
          </w:rPr>
          <w:tab/>
        </w:r>
        <w:r w:rsidR="00DF17E9">
          <w:rPr>
            <w:noProof/>
            <w:webHidden/>
          </w:rPr>
          <w:fldChar w:fldCharType="begin"/>
        </w:r>
        <w:r w:rsidR="00DF17E9">
          <w:rPr>
            <w:noProof/>
            <w:webHidden/>
          </w:rPr>
          <w:instrText xml:space="preserve"> PAGEREF _Toc459976572 \h </w:instrText>
        </w:r>
        <w:r w:rsidR="00DF17E9">
          <w:rPr>
            <w:noProof/>
            <w:webHidden/>
          </w:rPr>
        </w:r>
        <w:r w:rsidR="00DF17E9">
          <w:rPr>
            <w:noProof/>
            <w:webHidden/>
          </w:rPr>
          <w:fldChar w:fldCharType="separate"/>
        </w:r>
        <w:r w:rsidR="00E3704D">
          <w:rPr>
            <w:noProof/>
            <w:webHidden/>
          </w:rPr>
          <w:t>73</w:t>
        </w:r>
        <w:r w:rsidR="00DF17E9">
          <w:rPr>
            <w:noProof/>
            <w:webHidden/>
          </w:rPr>
          <w:fldChar w:fldCharType="end"/>
        </w:r>
      </w:hyperlink>
    </w:p>
    <w:p w:rsidR="00DF17E9" w:rsidRDefault="003A3C3D" w:rsidP="00560E01">
      <w:pPr>
        <w:pStyle w:val="TOC9"/>
      </w:pPr>
      <w:hyperlink w:anchor="_Toc459976573" w:history="1">
        <w:r w:rsidR="00DF17E9" w:rsidRPr="0071365B">
          <w:rPr>
            <w:rStyle w:val="Hyperlink"/>
            <w:noProof/>
            <w:lang w:val="en-US"/>
            <w14:scene3d>
              <w14:camera w14:prst="orthographicFront"/>
              <w14:lightRig w14:rig="threePt" w14:dir="t">
                <w14:rot w14:lat="0" w14:lon="0" w14:rev="0"/>
              </w14:lightRig>
            </w14:scene3d>
          </w:rPr>
          <w:t>6.6</w:t>
        </w:r>
        <w:r w:rsidR="00DF17E9">
          <w:rPr>
            <w:rFonts w:eastAsiaTheme="minorEastAsia"/>
            <w:noProof/>
            <w:sz w:val="22"/>
            <w:lang w:eastAsia="en-AU"/>
          </w:rPr>
          <w:tab/>
        </w:r>
        <w:r w:rsidR="00DF17E9" w:rsidRPr="0071365B">
          <w:rPr>
            <w:rStyle w:val="Hyperlink"/>
            <w:noProof/>
          </w:rPr>
          <w:t>Other provisions</w:t>
        </w:r>
        <w:r w:rsidR="00DF17E9">
          <w:rPr>
            <w:noProof/>
            <w:webHidden/>
          </w:rPr>
          <w:tab/>
        </w:r>
        <w:r w:rsidR="00DF17E9">
          <w:rPr>
            <w:noProof/>
            <w:webHidden/>
          </w:rPr>
          <w:fldChar w:fldCharType="begin"/>
        </w:r>
        <w:r w:rsidR="00DF17E9">
          <w:rPr>
            <w:noProof/>
            <w:webHidden/>
          </w:rPr>
          <w:instrText xml:space="preserve"> PAGEREF _Toc459976573 \h </w:instrText>
        </w:r>
        <w:r w:rsidR="00DF17E9">
          <w:rPr>
            <w:noProof/>
            <w:webHidden/>
          </w:rPr>
        </w:r>
        <w:r w:rsidR="00DF17E9">
          <w:rPr>
            <w:noProof/>
            <w:webHidden/>
          </w:rPr>
          <w:fldChar w:fldCharType="separate"/>
        </w:r>
        <w:r w:rsidR="00E3704D">
          <w:rPr>
            <w:noProof/>
            <w:webHidden/>
          </w:rPr>
          <w:t>77</w:t>
        </w:r>
        <w:r w:rsidR="00DF17E9">
          <w:rPr>
            <w:noProof/>
            <w:webHidden/>
          </w:rPr>
          <w:fldChar w:fldCharType="end"/>
        </w:r>
      </w:hyperlink>
      <w:r w:rsidR="00DF17E9">
        <w:rPr>
          <w:b/>
          <w:noProof/>
          <w:spacing w:val="-2"/>
          <w:szCs w:val="19"/>
        </w:rPr>
        <w:fldChar w:fldCharType="end"/>
      </w:r>
    </w:p>
    <w:p w:rsidR="00DF17E9" w:rsidRDefault="00DF17E9" w:rsidP="00AB724F">
      <w:pPr>
        <w:pStyle w:val="BodyText"/>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336F0B">
      <w:pPr>
        <w:pStyle w:val="Subheadingunderline"/>
        <w:spacing w:before="0"/>
      </w:pPr>
      <w:bookmarkStart w:id="52" w:name="_Toc451957425"/>
      <w:bookmarkStart w:id="53" w:name="_Toc459976568"/>
    </w:p>
    <w:p w:rsidR="00DF17E9" w:rsidRPr="00505EB2" w:rsidRDefault="00DF17E9" w:rsidP="00044843">
      <w:pPr>
        <w:sectPr w:rsidR="00DF17E9" w:rsidRPr="00505EB2" w:rsidSect="00044843">
          <w:type w:val="continuous"/>
          <w:pgSz w:w="11906" w:h="16838" w:code="9"/>
          <w:pgMar w:top="1134" w:right="1134" w:bottom="1134" w:left="1134" w:header="624" w:footer="567" w:gutter="0"/>
          <w:cols w:space="708"/>
          <w:docGrid w:linePitch="360"/>
        </w:sectPr>
      </w:pPr>
    </w:p>
    <w:p w:rsidR="00DF17E9" w:rsidRPr="00195B47" w:rsidRDefault="00DF17E9" w:rsidP="00044843">
      <w:pPr>
        <w:pStyle w:val="Heading2"/>
      </w:pPr>
      <w:r w:rsidRPr="00195B47">
        <w:lastRenderedPageBreak/>
        <w:t>Investment in other sector entities</w:t>
      </w:r>
      <w:bookmarkEnd w:id="52"/>
      <w:bookmarkEnd w:id="53"/>
    </w:p>
    <w:p w:rsidR="00DF17E9" w:rsidRDefault="00DF17E9" w:rsidP="00044843">
      <w:r>
        <w:t xml:space="preserve">The </w:t>
      </w:r>
      <w:r w:rsidRPr="00B13096">
        <w:t>general government sector investment</w:t>
      </w:r>
      <w:r>
        <w:t>s in other sector entities</w:t>
      </w:r>
      <w:r w:rsidRPr="00B13096">
        <w:t xml:space="preserve"> are measured at net asset value</w:t>
      </w:r>
      <w:r>
        <w:t>.</w:t>
      </w:r>
    </w:p>
    <w:p w:rsidR="00DF17E9" w:rsidRDefault="00DF17E9" w:rsidP="00044843">
      <w:r>
        <w:t>The n</w:t>
      </w:r>
      <w:r w:rsidRPr="00EE02A8">
        <w:t>et gain/(loss) on equity investments in other</w:t>
      </w:r>
      <w:r>
        <w:t xml:space="preserve"> sector entities is measured at proportional share of the carrying amount of net assets/(liabilities) represents the net gain or loss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 sector balances.</w:t>
      </w:r>
    </w:p>
    <w:p w:rsidR="00DF17E9" w:rsidRPr="00092971" w:rsidRDefault="00DF17E9" w:rsidP="00336F0B">
      <w:pPr>
        <w:pStyle w:val="Subheading"/>
        <w:tabs>
          <w:tab w:val="right" w:pos="4536"/>
        </w:tabs>
        <w:spacing w:before="280"/>
        <w:rPr>
          <w:bCs/>
          <w:lang w:val="en-US"/>
        </w:rPr>
      </w:pPr>
      <w:r>
        <w:br w:type="column"/>
      </w:r>
      <w:r>
        <w:lastRenderedPageBreak/>
        <w:t>Investments in other sector entities</w:t>
      </w:r>
      <w:r>
        <w:tab/>
      </w:r>
      <w:r w:rsidRPr="00D4176F">
        <w:rPr>
          <w:rStyle w:val="TableUnitsChar"/>
        </w:rPr>
        <w:t>($</w:t>
      </w:r>
      <w:r>
        <w:rPr>
          <w:rStyle w:val="TableUnitsChar"/>
        </w:rPr>
        <w:t xml:space="preserve"> </w:t>
      </w:r>
      <w:r w:rsidRPr="00D4176F">
        <w:rPr>
          <w:rStyle w:val="TableUnitsChar"/>
        </w:rPr>
        <w:t>million)</w:t>
      </w:r>
    </w:p>
    <w:tbl>
      <w:tblPr>
        <w:tblStyle w:val="TableDTFGeneral"/>
        <w:tblW w:w="4576" w:type="dxa"/>
        <w:tblLayout w:type="fixed"/>
        <w:tblLook w:val="02A0" w:firstRow="1" w:lastRow="0" w:firstColumn="1" w:lastColumn="0" w:noHBand="1" w:noVBand="0"/>
      </w:tblPr>
      <w:tblGrid>
        <w:gridCol w:w="3124"/>
        <w:gridCol w:w="726"/>
        <w:gridCol w:w="726"/>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4"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726" w:type="dxa"/>
          </w:tcPr>
          <w:p w:rsidR="00DF17E9" w:rsidRPr="00092971" w:rsidRDefault="00DF17E9" w:rsidP="00044843">
            <w:pPr>
              <w:rPr>
                <w:color w:val="FFFFFF"/>
              </w:rPr>
            </w:pPr>
            <w:r w:rsidRPr="00092971">
              <w:rPr>
                <w:color w:val="FFFFFF"/>
              </w:rPr>
              <w:t>2016</w:t>
            </w:r>
          </w:p>
        </w:tc>
        <w:tc>
          <w:tcPr>
            <w:tcW w:w="726"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124" w:type="dxa"/>
          </w:tcPr>
          <w:p w:rsidR="00DF17E9" w:rsidRPr="00092971" w:rsidRDefault="00DF17E9" w:rsidP="00044843">
            <w:pPr>
              <w:ind w:left="113" w:hanging="113"/>
              <w:rPr>
                <w:color w:val="000000"/>
              </w:rPr>
            </w:pPr>
            <w:r w:rsidRPr="00092971">
              <w:rPr>
                <w:color w:val="000000"/>
              </w:rPr>
              <w:t xml:space="preserve">Balance of investment in PNFC and PFC sectors at beginning of period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726" w:type="dxa"/>
          </w:tcPr>
          <w:p w:rsidR="00DF17E9" w:rsidRPr="00092971" w:rsidRDefault="00DF17E9" w:rsidP="00044843">
            <w:pPr>
              <w:rPr>
                <w:color w:val="000000"/>
              </w:rPr>
            </w:pPr>
            <w:r w:rsidRPr="00092971">
              <w:rPr>
                <w:color w:val="000000"/>
              </w:rPr>
              <w:t>82 262</w:t>
            </w:r>
          </w:p>
        </w:tc>
        <w:tc>
          <w:tcPr>
            <w:tcW w:w="72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75 944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124" w:type="dxa"/>
            <w:tcBorders>
              <w:bottom w:val="nil"/>
            </w:tcBorders>
          </w:tcPr>
          <w:p w:rsidR="00DF17E9" w:rsidRPr="00092971" w:rsidRDefault="00DF17E9" w:rsidP="00044843">
            <w:pPr>
              <w:ind w:left="113" w:hanging="113"/>
              <w:rPr>
                <w:color w:val="000000"/>
              </w:rPr>
            </w:pPr>
            <w:r w:rsidRPr="00092971">
              <w:rPr>
                <w:color w:val="000000"/>
              </w:rPr>
              <w:t>Net contributions to other sectors by owner</w:t>
            </w:r>
          </w:p>
        </w:tc>
        <w:tc>
          <w:tcPr>
            <w:cnfStyle w:val="000010000000" w:firstRow="0" w:lastRow="0" w:firstColumn="0" w:lastColumn="0" w:oddVBand="1" w:evenVBand="0" w:oddHBand="0" w:evenHBand="0" w:firstRowFirstColumn="0" w:firstRowLastColumn="0" w:lastRowFirstColumn="0" w:lastRowLastColumn="0"/>
            <w:tcW w:w="726" w:type="dxa"/>
            <w:tcBorders>
              <w:bottom w:val="nil"/>
            </w:tcBorders>
          </w:tcPr>
          <w:p w:rsidR="00DF17E9" w:rsidRPr="00092971" w:rsidRDefault="00DF17E9" w:rsidP="00044843">
            <w:pPr>
              <w:rPr>
                <w:color w:val="000000"/>
              </w:rPr>
            </w:pPr>
            <w:r w:rsidRPr="00092971">
              <w:rPr>
                <w:color w:val="000000"/>
              </w:rPr>
              <w:t>1 916</w:t>
            </w:r>
          </w:p>
        </w:tc>
        <w:tc>
          <w:tcPr>
            <w:tcW w:w="726"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2 086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124" w:type="dxa"/>
            <w:tcBorders>
              <w:bottom w:val="single" w:sz="6" w:space="0" w:color="auto"/>
            </w:tcBorders>
          </w:tcPr>
          <w:p w:rsidR="00DF17E9" w:rsidRPr="00092971" w:rsidRDefault="00DF17E9" w:rsidP="00044843">
            <w:pPr>
              <w:ind w:left="113" w:hanging="113"/>
              <w:rPr>
                <w:color w:val="000000"/>
              </w:rPr>
            </w:pPr>
            <w:r w:rsidRPr="00092971">
              <w:rPr>
                <w:color w:val="000000"/>
              </w:rPr>
              <w:t xml:space="preserve">Revaluation gain/(loss) for period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726" w:type="dxa"/>
            <w:tcBorders>
              <w:bottom w:val="single" w:sz="6" w:space="0" w:color="auto"/>
            </w:tcBorders>
          </w:tcPr>
          <w:p w:rsidR="00DF17E9" w:rsidRPr="00092971" w:rsidRDefault="00DF17E9" w:rsidP="00044843">
            <w:pPr>
              <w:rPr>
                <w:color w:val="000000"/>
              </w:rPr>
            </w:pPr>
            <w:r w:rsidRPr="00092971">
              <w:rPr>
                <w:color w:val="000000"/>
              </w:rPr>
              <w:t>10 533</w:t>
            </w:r>
          </w:p>
        </w:tc>
        <w:tc>
          <w:tcPr>
            <w:tcW w:w="726"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4 232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124"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 xml:space="preserve">Total investments in other sector entities </w:t>
            </w:r>
            <w:r w:rsidRPr="00092971">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726"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94 710</w:t>
            </w:r>
          </w:p>
        </w:tc>
        <w:tc>
          <w:tcPr>
            <w:tcW w:w="72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82 262</w:t>
            </w:r>
          </w:p>
        </w:tc>
      </w:tr>
    </w:tbl>
    <w:p w:rsidR="00DF17E9" w:rsidRDefault="00DF17E9" w:rsidP="00044843">
      <w:pPr>
        <w:pStyle w:val="Note"/>
      </w:pPr>
      <w:r>
        <w:t>Note:</w:t>
      </w:r>
    </w:p>
    <w:p w:rsidR="00DF17E9" w:rsidRDefault="00DF17E9" w:rsidP="00044843">
      <w:pPr>
        <w:pStyle w:val="Notes"/>
      </w:pPr>
      <w:r>
        <w:t>(a)</w:t>
      </w:r>
      <w:r>
        <w:tab/>
        <w:t xml:space="preserve">The June 2015 comparative figures have been restated to reflect an adjustment to Coliban Water’s deferred tax liability balances in the PNFC attributable </w:t>
      </w:r>
      <w:r w:rsidRPr="00C8120D">
        <w:t>to a change in valuation policy in 2015-16.</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Pr="00092971" w:rsidRDefault="00DF17E9" w:rsidP="00336F0B">
      <w:pPr>
        <w:pStyle w:val="Heading2"/>
        <w:spacing w:before="0"/>
        <w:ind w:left="578" w:hanging="578"/>
        <w:rPr>
          <w:bCs/>
          <w:lang w:val="en-US"/>
        </w:rPr>
      </w:pPr>
      <w:bookmarkStart w:id="54" w:name="_Toc459976569"/>
      <w:r w:rsidRPr="00FD2984">
        <w:lastRenderedPageBreak/>
        <w:t>Inventories</w:t>
      </w:r>
      <w:r>
        <w:tab/>
      </w:r>
      <w:r w:rsidRPr="00B34A89">
        <w:rPr>
          <w:rStyle w:val="TableUnitsChar"/>
        </w:rPr>
        <w:t>($ million)</w:t>
      </w:r>
      <w:bookmarkEnd w:id="54"/>
    </w:p>
    <w:tbl>
      <w:tblPr>
        <w:tblStyle w:val="TableDTFGeneral"/>
        <w:tblW w:w="9772" w:type="dxa"/>
        <w:tblLayout w:type="fixed"/>
        <w:tblLook w:val="02A0" w:firstRow="1" w:lastRow="0" w:firstColumn="1" w:lastColumn="0" w:noHBand="1" w:noVBand="0"/>
      </w:tblPr>
      <w:tblGrid>
        <w:gridCol w:w="5975"/>
        <w:gridCol w:w="948"/>
        <w:gridCol w:w="952"/>
        <w:gridCol w:w="948"/>
        <w:gridCol w:w="949"/>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5" w:type="dxa"/>
          </w:tcPr>
          <w:p w:rsidR="005E3226" w:rsidRPr="00092971" w:rsidRDefault="005E3226"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900" w:type="dxa"/>
            <w:gridSpan w:val="2"/>
          </w:tcPr>
          <w:p w:rsidR="005E3226" w:rsidRPr="00092971" w:rsidRDefault="005E3226" w:rsidP="005E3226">
            <w:pPr>
              <w:jc w:val="center"/>
              <w:rPr>
                <w:color w:val="FFFFFF"/>
              </w:rPr>
            </w:pPr>
            <w:r w:rsidRPr="00092971">
              <w:rPr>
                <w:color w:val="FFFFFF"/>
              </w:rPr>
              <w:t xml:space="preserve">State of Victoria </w:t>
            </w:r>
          </w:p>
        </w:tc>
        <w:tc>
          <w:tcPr>
            <w:tcW w:w="1897" w:type="dxa"/>
            <w:gridSpan w:val="2"/>
          </w:tcPr>
          <w:p w:rsidR="005E3226" w:rsidRPr="0009297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sidRPr="00092971">
              <w:rPr>
                <w:color w:val="FFFFFF"/>
              </w:rPr>
              <w:br/>
              <w:t xml:space="preserve">government sector </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pPr>
              <w:rPr>
                <w:color w:val="FFFFFF"/>
              </w:rPr>
            </w:pPr>
            <w:r w:rsidRPr="00092971">
              <w:rPr>
                <w:color w:val="FFFFFF"/>
              </w:rPr>
              <w:t>2016</w:t>
            </w:r>
          </w:p>
        </w:tc>
        <w:tc>
          <w:tcPr>
            <w:tcW w:w="95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pPr>
              <w:rPr>
                <w:color w:val="FFFFFF"/>
              </w:rPr>
            </w:pPr>
            <w:r w:rsidRPr="00092971">
              <w:rPr>
                <w:color w:val="FFFFFF"/>
              </w:rPr>
              <w:t>2016</w:t>
            </w:r>
          </w:p>
        </w:tc>
        <w:tc>
          <w:tcPr>
            <w:tcW w:w="94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b/>
                <w:color w:val="000000"/>
              </w:rPr>
              <w:t>At cost</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pPr>
              <w:rPr>
                <w:color w:val="000000"/>
              </w:rPr>
            </w:pPr>
            <w:r w:rsidRPr="00092971">
              <w:rPr>
                <w:b/>
                <w:color w:val="000000"/>
              </w:rPr>
              <w:t xml:space="preserve"> </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pPr>
              <w:rPr>
                <w:color w:val="000000"/>
              </w:rPr>
            </w:pPr>
            <w:r w:rsidRPr="00092971">
              <w:rPr>
                <w:b/>
                <w:color w:val="000000"/>
              </w:rPr>
              <w:t xml:space="preserve"> </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color w:val="000000"/>
              </w:rPr>
              <w:t>Raw materials</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5</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4</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color w:val="000000"/>
              </w:rPr>
              <w:t>Work in progress</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29</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29</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2</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color w:val="000000"/>
              </w:rPr>
              <w:t>Finished goods</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50</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47</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3</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color w:val="000000"/>
              </w:rPr>
              <w:t>Consumable stores</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202</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168</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163</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color w:val="000000"/>
              </w:rPr>
              <w:t>Land and other assets held as inventory</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414</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451</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r w:rsidRPr="00092971">
              <w:rPr>
                <w:color w:val="000000"/>
              </w:rPr>
              <w:t>16</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Pr>
          <w:p w:rsidR="00DF17E9" w:rsidRPr="00092971" w:rsidRDefault="00DF17E9" w:rsidP="00044843">
            <w:pPr>
              <w:ind w:left="0" w:firstLine="0"/>
              <w:rPr>
                <w:color w:val="000000"/>
              </w:rPr>
            </w:pPr>
            <w:r w:rsidRPr="00092971">
              <w:rPr>
                <w:b/>
                <w:color w:val="000000"/>
              </w:rPr>
              <w:t>At net realisable value</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pPr>
              <w:rPr>
                <w:color w:val="000000"/>
              </w:rPr>
            </w:pPr>
            <w:r w:rsidRPr="00092971">
              <w:rPr>
                <w:b/>
                <w:color w:val="000000"/>
              </w:rPr>
              <w:t xml:space="preserve"> </w:t>
            </w:r>
          </w:p>
        </w:tc>
        <w:tc>
          <w:tcPr>
            <w:tcW w:w="95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48" w:type="dxa"/>
          </w:tcPr>
          <w:p w:rsidR="00DF17E9" w:rsidRPr="00092971" w:rsidRDefault="00DF17E9" w:rsidP="00044843">
            <w:pPr>
              <w:rPr>
                <w:color w:val="000000"/>
              </w:rPr>
            </w:pPr>
            <w:r w:rsidRPr="00092971">
              <w:rPr>
                <w:b/>
                <w:color w:val="000000"/>
              </w:rPr>
              <w:t xml:space="preserve"> </w:t>
            </w:r>
          </w:p>
        </w:tc>
        <w:tc>
          <w:tcPr>
            <w:tcW w:w="94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Borders>
              <w:bottom w:val="nil"/>
            </w:tcBorders>
          </w:tcPr>
          <w:p w:rsidR="00DF17E9" w:rsidRPr="00092971" w:rsidRDefault="00DF17E9" w:rsidP="00044843">
            <w:pPr>
              <w:ind w:left="0" w:firstLine="0"/>
              <w:rPr>
                <w:color w:val="000000"/>
              </w:rPr>
            </w:pPr>
            <w:r w:rsidRPr="00092971">
              <w:rPr>
                <w:color w:val="000000"/>
              </w:rPr>
              <w:t>Finished goods</w:t>
            </w:r>
          </w:p>
        </w:tc>
        <w:tc>
          <w:tcPr>
            <w:cnfStyle w:val="000010000000" w:firstRow="0" w:lastRow="0" w:firstColumn="0" w:lastColumn="0" w:oddVBand="1" w:evenVBand="0" w:oddHBand="0" w:evenHBand="0" w:firstRowFirstColumn="0" w:firstRowLastColumn="0" w:lastRowFirstColumn="0" w:lastRowLastColumn="0"/>
            <w:tcW w:w="948" w:type="dxa"/>
            <w:tcBorders>
              <w:bottom w:val="nil"/>
            </w:tcBorders>
          </w:tcPr>
          <w:p w:rsidR="00DF17E9" w:rsidRPr="00092971" w:rsidRDefault="00DF17E9" w:rsidP="00044843">
            <w:r w:rsidRPr="00092971">
              <w:rPr>
                <w:color w:val="000000"/>
              </w:rPr>
              <w:t>5</w:t>
            </w:r>
          </w:p>
        </w:tc>
        <w:tc>
          <w:tcPr>
            <w:tcW w:w="95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948" w:type="dxa"/>
            <w:tcBorders>
              <w:bottom w:val="nil"/>
            </w:tcBorders>
          </w:tcPr>
          <w:p w:rsidR="00DF17E9" w:rsidRPr="00092971" w:rsidRDefault="00DF17E9" w:rsidP="00044843">
            <w:pPr>
              <w:rPr>
                <w:color w:val="000000"/>
              </w:rPr>
            </w:pPr>
            <w:r w:rsidRPr="00092971">
              <w:rPr>
                <w:color w:val="000000"/>
              </w:rPr>
              <w:t>..</w:t>
            </w:r>
          </w:p>
        </w:tc>
        <w:tc>
          <w:tcPr>
            <w:tcW w:w="94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Borders>
              <w:bottom w:val="single" w:sz="6" w:space="0" w:color="auto"/>
            </w:tcBorders>
          </w:tcPr>
          <w:p w:rsidR="00DF17E9" w:rsidRPr="00092971" w:rsidRDefault="00DF17E9" w:rsidP="00044843">
            <w:pPr>
              <w:ind w:left="0" w:firstLine="0"/>
              <w:rPr>
                <w:color w:val="000000"/>
              </w:rPr>
            </w:pPr>
            <w:r w:rsidRPr="00092971">
              <w:rPr>
                <w:color w:val="000000"/>
              </w:rPr>
              <w:t>Consumable stores</w:t>
            </w:r>
          </w:p>
        </w:tc>
        <w:tc>
          <w:tcPr>
            <w:cnfStyle w:val="000010000000" w:firstRow="0" w:lastRow="0" w:firstColumn="0" w:lastColumn="0" w:oddVBand="1" w:evenVBand="0" w:oddHBand="0" w:evenHBand="0" w:firstRowFirstColumn="0" w:firstRowLastColumn="0" w:lastRowFirstColumn="0" w:lastRowLastColumn="0"/>
            <w:tcW w:w="948" w:type="dxa"/>
            <w:tcBorders>
              <w:bottom w:val="single" w:sz="6" w:space="0" w:color="auto"/>
            </w:tcBorders>
          </w:tcPr>
          <w:p w:rsidR="00DF17E9" w:rsidRPr="00092971" w:rsidRDefault="00DF17E9" w:rsidP="00044843">
            <w:r w:rsidRPr="00092971">
              <w:rPr>
                <w:color w:val="000000"/>
              </w:rPr>
              <w:t>5</w:t>
            </w:r>
          </w:p>
        </w:tc>
        <w:tc>
          <w:tcPr>
            <w:tcW w:w="95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948" w:type="dxa"/>
            <w:tcBorders>
              <w:bottom w:val="single" w:sz="6" w:space="0" w:color="auto"/>
            </w:tcBorders>
          </w:tcPr>
          <w:p w:rsidR="00DF17E9" w:rsidRPr="00092971" w:rsidRDefault="00DF17E9" w:rsidP="00044843">
            <w:pPr>
              <w:rPr>
                <w:color w:val="000000"/>
              </w:rPr>
            </w:pPr>
            <w:r w:rsidRPr="00092971">
              <w:rPr>
                <w:color w:val="000000"/>
              </w:rPr>
              <w:t>..</w:t>
            </w:r>
          </w:p>
        </w:tc>
        <w:tc>
          <w:tcPr>
            <w:tcW w:w="94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5"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inventories</w:t>
            </w:r>
          </w:p>
        </w:tc>
        <w:tc>
          <w:tcPr>
            <w:cnfStyle w:val="000010000000" w:firstRow="0" w:lastRow="0" w:firstColumn="0" w:lastColumn="0" w:oddVBand="1" w:evenVBand="0" w:oddHBand="0" w:evenHBand="0" w:firstRowFirstColumn="0" w:firstRowLastColumn="0" w:lastRowFirstColumn="0" w:lastRowLastColumn="0"/>
            <w:tcW w:w="948" w:type="dxa"/>
            <w:tcBorders>
              <w:top w:val="single" w:sz="6" w:space="0" w:color="auto"/>
              <w:bottom w:val="single" w:sz="12" w:space="0" w:color="auto"/>
            </w:tcBorders>
          </w:tcPr>
          <w:p w:rsidR="00DF17E9" w:rsidRPr="00092971" w:rsidRDefault="00DF17E9" w:rsidP="00044843">
            <w:r w:rsidRPr="00092971">
              <w:rPr>
                <w:b/>
                <w:color w:val="000000"/>
              </w:rPr>
              <w:t>709</w:t>
            </w:r>
          </w:p>
        </w:tc>
        <w:tc>
          <w:tcPr>
            <w:tcW w:w="952"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710</w:t>
            </w:r>
          </w:p>
        </w:tc>
        <w:tc>
          <w:tcPr>
            <w:cnfStyle w:val="000010000000" w:firstRow="0" w:lastRow="0" w:firstColumn="0" w:lastColumn="0" w:oddVBand="1" w:evenVBand="0" w:oddHBand="0" w:evenHBand="0" w:firstRowFirstColumn="0" w:firstRowLastColumn="0" w:lastRowFirstColumn="0" w:lastRowLastColumn="0"/>
            <w:tcW w:w="948" w:type="dxa"/>
            <w:tcBorders>
              <w:top w:val="single" w:sz="6" w:space="0" w:color="auto"/>
              <w:bottom w:val="single" w:sz="12" w:space="0" w:color="auto"/>
            </w:tcBorders>
          </w:tcPr>
          <w:p w:rsidR="00DF17E9" w:rsidRPr="00092971" w:rsidRDefault="00DF17E9" w:rsidP="00044843">
            <w:r w:rsidRPr="00092971">
              <w:rPr>
                <w:b/>
                <w:color w:val="000000"/>
              </w:rPr>
              <w:t>188</w:t>
            </w:r>
          </w:p>
        </w:tc>
        <w:tc>
          <w:tcPr>
            <w:tcW w:w="94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144</w:t>
            </w:r>
          </w:p>
        </w:tc>
      </w:tr>
    </w:tbl>
    <w:p w:rsidR="00DF17E9" w:rsidRDefault="00DF17E9" w:rsidP="00336F0B">
      <w:pPr>
        <w:pStyle w:val="BodyText"/>
        <w:spacing w:after="0"/>
      </w:pPr>
    </w:p>
    <w:p w:rsidR="00DF17E9" w:rsidRDefault="00DF17E9" w:rsidP="00AB724F">
      <w:pPr>
        <w:pStyle w:val="BodyText"/>
        <w:sectPr w:rsidR="00DF17E9" w:rsidSect="00044843">
          <w:type w:val="continuous"/>
          <w:pgSz w:w="11906" w:h="16838" w:code="9"/>
          <w:pgMar w:top="1134" w:right="1134" w:bottom="1134" w:left="1134" w:header="624" w:footer="567" w:gutter="0"/>
          <w:cols w:space="708"/>
          <w:docGrid w:linePitch="360"/>
        </w:sectPr>
      </w:pPr>
    </w:p>
    <w:p w:rsidR="00336F0B" w:rsidRDefault="00DF17E9" w:rsidP="00336F0B">
      <w:r>
        <w:lastRenderedPageBreak/>
        <w:t>Inventories include goods and other property held either for sale, or for distribution at zero or nominal cost, or for consumption in the ordinary course of business operations.</w:t>
      </w:r>
      <w:r w:rsidR="00336F0B">
        <w:t xml:space="preserve"> </w:t>
      </w:r>
    </w:p>
    <w:p w:rsidR="00336F0B" w:rsidRDefault="00DF17E9" w:rsidP="00336F0B">
      <w:r>
        <w:lastRenderedPageBreak/>
        <w:t xml:space="preserve">Inventories held for distribution are measured at cost, adjusted for any loss of service potential. All other inventories, including land held for sale, are measured at the lower of cost and net realisable value. </w:t>
      </w:r>
    </w:p>
    <w:p w:rsidR="00DF17E9" w:rsidRDefault="00DF17E9" w:rsidP="00336F0B">
      <w:r>
        <w:lastRenderedPageBreak/>
        <w:t>Where inventories are acquired for no cost or nominal consideration, they are measured at current replacement cost at the date of acquisition.</w:t>
      </w:r>
    </w:p>
    <w:p w:rsidR="00DF17E9" w:rsidRPr="006A75A2" w:rsidRDefault="00DF17E9" w:rsidP="006403E6">
      <w:r w:rsidRPr="006A75A2">
        <w:t>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w:t>
      </w:r>
    </w:p>
    <w:p w:rsidR="00DF17E9" w:rsidRDefault="00DF17E9" w:rsidP="006403E6">
      <w:r w:rsidRPr="006A75A2">
        <w:t xml:space="preserve">Bases used in assessing loss of service potential for inventories held for distribution include current </w:t>
      </w:r>
      <w:r w:rsidRPr="006A75A2">
        <w:lastRenderedPageBreak/>
        <w:t xml:space="preserve">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w:t>
      </w:r>
      <w:r w:rsidR="00494A92">
        <w:br/>
      </w:r>
      <w:r w:rsidRPr="006A75A2">
        <w:t xml:space="preserve">it </w:t>
      </w:r>
      <w:r>
        <w:t>did when it was first acquired.</w:t>
      </w:r>
    </w:p>
    <w:p w:rsidR="00DF17E9" w:rsidRDefault="00DF17E9" w:rsidP="006403E6">
      <w:r w:rsidRPr="005F0C5A">
        <w:t xml:space="preserve">Other inventories </w:t>
      </w:r>
      <w:r w:rsidR="00494A92">
        <w:t>include raw materials, work</w:t>
      </w:r>
      <w:r w:rsidR="00494A92">
        <w:noBreakHyphen/>
        <w:t>in</w:t>
      </w:r>
      <w:r w:rsidR="00494A92">
        <w:noBreakHyphen/>
      </w:r>
      <w:r>
        <w:t>progress, finished goods and consumable stores and are measured at weighted average cost.</w:t>
      </w:r>
    </w:p>
    <w:p w:rsidR="00DF17E9" w:rsidRDefault="00DF17E9" w:rsidP="00AB724F">
      <w:pPr>
        <w:pStyle w:val="BodyText"/>
        <w:sectPr w:rsidR="00DF17E9" w:rsidSect="00044843">
          <w:headerReference w:type="even" r:id="rId172"/>
          <w:headerReference w:type="default" r:id="rId173"/>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Heading2"/>
        <w:rPr>
          <w:bCs/>
          <w:lang w:val="en-US"/>
        </w:rPr>
      </w:pPr>
      <w:bookmarkStart w:id="55" w:name="_Toc459976570"/>
      <w:r w:rsidRPr="00FD2984">
        <w:lastRenderedPageBreak/>
        <w:t>Receivables</w:t>
      </w:r>
      <w:r>
        <w:tab/>
      </w:r>
      <w:r w:rsidRPr="00B34A89">
        <w:rPr>
          <w:rStyle w:val="TableUnitsChar"/>
        </w:rPr>
        <w:t>($ million)</w:t>
      </w:r>
      <w:bookmarkEnd w:id="55"/>
    </w:p>
    <w:tbl>
      <w:tblPr>
        <w:tblStyle w:val="TableDTFGeneral"/>
        <w:tblW w:w="9668" w:type="dxa"/>
        <w:tblLayout w:type="fixed"/>
        <w:tblLook w:val="02A0" w:firstRow="1" w:lastRow="0" w:firstColumn="1" w:lastColumn="0" w:noHBand="1" w:noVBand="0"/>
      </w:tblPr>
      <w:tblGrid>
        <w:gridCol w:w="5983"/>
        <w:gridCol w:w="921"/>
        <w:gridCol w:w="921"/>
        <w:gridCol w:w="921"/>
        <w:gridCol w:w="922"/>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5E3226" w:rsidRPr="00092971" w:rsidRDefault="005E3226"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42" w:type="dxa"/>
            <w:gridSpan w:val="2"/>
          </w:tcPr>
          <w:p w:rsidR="005E3226" w:rsidRPr="00092971" w:rsidRDefault="005E3226" w:rsidP="005E3226">
            <w:pPr>
              <w:jc w:val="center"/>
              <w:rPr>
                <w:color w:val="FFFFFF"/>
              </w:rPr>
            </w:pPr>
            <w:r w:rsidRPr="00092971">
              <w:rPr>
                <w:color w:val="FFFFFF"/>
              </w:rPr>
              <w:t xml:space="preserve">State of Victoria </w:t>
            </w:r>
          </w:p>
        </w:tc>
        <w:tc>
          <w:tcPr>
            <w:tcW w:w="1843" w:type="dxa"/>
            <w:gridSpan w:val="2"/>
          </w:tcPr>
          <w:p w:rsidR="005E3226" w:rsidRPr="0009297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sidRPr="00092971">
              <w:rPr>
                <w:color w:val="FFFFFF"/>
              </w:rPr>
              <w:br/>
              <w:t xml:space="preserve">government sector </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FFFFFF"/>
              </w:rPr>
            </w:pPr>
            <w:r w:rsidRPr="00092971">
              <w:rPr>
                <w:color w:val="FFFFFF"/>
              </w:rPr>
              <w:t>2016</w:t>
            </w:r>
          </w:p>
        </w:tc>
        <w:tc>
          <w:tcPr>
            <w:tcW w:w="92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FFFFFF"/>
              </w:rPr>
            </w:pPr>
            <w:r w:rsidRPr="00092971">
              <w:rPr>
                <w:color w:val="FFFFFF"/>
              </w:rPr>
              <w:t>2016</w:t>
            </w:r>
          </w:p>
        </w:tc>
        <w:tc>
          <w:tcPr>
            <w:tcW w:w="92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Contractual</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1 267</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1 178</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739</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Accrued investment income</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67</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73</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18</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pPr>
            <w:r w:rsidRPr="00092971">
              <w:rPr>
                <w:color w:val="000000"/>
              </w:rPr>
              <w:t xml:space="preserve">Other receivables </w:t>
            </w:r>
            <w:r w:rsidRPr="00092971">
              <w:rPr>
                <w:vertAlign w:val="superscript"/>
              </w:rPr>
              <w:t>(a)</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1 887</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1 280</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1 021</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 xml:space="preserve">Provision for doubtful contractual receivables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(157)</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(136)</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(90)</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Statutory</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 xml:space="preserve">Sales of goods and services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4</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5</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 xml:space="preserve">Taxes receivables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2 293</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2 338</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2 491</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2 492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Fines and regulatory fees</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1 896</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1 761</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1 896</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1 761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GST input tax credits recoverable</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963</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806</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324</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255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 xml:space="preserve">Provision for doubtful statutory receivables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(839)</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(838)</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r w:rsidRPr="00092971">
              <w:rPr>
                <w:color w:val="000000"/>
              </w:rPr>
              <w:t>(839)</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(838)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b/>
                <w:color w:val="000000"/>
              </w:rPr>
              <w:t>Other</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b/>
                <w:color w:val="000000"/>
              </w:rPr>
              <w:t xml:space="preserve"> </w:t>
            </w:r>
          </w:p>
        </w:tc>
        <w:tc>
          <w:tcPr>
            <w:tcW w:w="92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b/>
                <w:color w:val="000000"/>
              </w:rPr>
              <w:t xml:space="preserve"> </w:t>
            </w:r>
          </w:p>
        </w:tc>
        <w:tc>
          <w:tcPr>
            <w:tcW w:w="92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Actuarially determined</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413</w:t>
            </w:r>
          </w:p>
        </w:tc>
        <w:tc>
          <w:tcPr>
            <w:tcW w:w="92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403</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rPr>
                <w:color w:val="000000"/>
              </w:rPr>
            </w:pPr>
            <w:r w:rsidRPr="00092971">
              <w:rPr>
                <w:color w:val="000000"/>
              </w:rPr>
              <w:t>..</w:t>
            </w:r>
          </w:p>
        </w:tc>
        <w:tc>
          <w:tcPr>
            <w:tcW w:w="92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pPr>
            <w:r w:rsidRPr="00092971">
              <w:rPr>
                <w:b/>
                <w:color w:val="000000"/>
              </w:rPr>
              <w:t>Total receivables</w:t>
            </w:r>
            <w:r w:rsidRPr="00092971">
              <w:rPr>
                <w:color w:val="000000"/>
              </w:rPr>
              <w:t xml:space="preserve"> </w:t>
            </w:r>
            <w:r w:rsidRPr="00092971">
              <w:rPr>
                <w:vertAlign w:val="superscript"/>
              </w:rPr>
              <w:t>(a)</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7 793</w:t>
            </w:r>
          </w:p>
        </w:tc>
        <w:tc>
          <w:tcPr>
            <w:tcW w:w="92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6 870</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5 566</w:t>
            </w:r>
          </w:p>
        </w:tc>
        <w:tc>
          <w:tcPr>
            <w:tcW w:w="922"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5 555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12" w:space="0" w:color="auto"/>
            </w:tcBorders>
          </w:tcPr>
          <w:p w:rsidR="00DF17E9" w:rsidRPr="00092971" w:rsidRDefault="00DF17E9" w:rsidP="00044843">
            <w:pPr>
              <w:ind w:left="0" w:firstLine="0"/>
              <w:rPr>
                <w:color w:val="000000"/>
              </w:rPr>
            </w:pPr>
            <w:r w:rsidRPr="00092971">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921" w:type="dxa"/>
            <w:tcBorders>
              <w:top w:val="single" w:sz="12" w:space="0" w:color="auto"/>
            </w:tcBorders>
          </w:tcPr>
          <w:p w:rsidR="00DF17E9" w:rsidRPr="00092971" w:rsidRDefault="00DF17E9" w:rsidP="00044843">
            <w:pPr>
              <w:rPr>
                <w:color w:val="000000"/>
              </w:rPr>
            </w:pPr>
            <w:r w:rsidRPr="00092971">
              <w:rPr>
                <w:b/>
                <w:color w:val="000000"/>
              </w:rPr>
              <w:t xml:space="preserve"> </w:t>
            </w:r>
          </w:p>
        </w:tc>
        <w:tc>
          <w:tcPr>
            <w:tcW w:w="921" w:type="dxa"/>
            <w:tcBorders>
              <w:top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Borders>
              <w:top w:val="single" w:sz="12" w:space="0" w:color="auto"/>
            </w:tcBorders>
          </w:tcPr>
          <w:p w:rsidR="00DF17E9" w:rsidRPr="00092971" w:rsidRDefault="00DF17E9" w:rsidP="00044843">
            <w:pPr>
              <w:rPr>
                <w:color w:val="000000"/>
              </w:rPr>
            </w:pPr>
            <w:r w:rsidRPr="00092971">
              <w:rPr>
                <w:b/>
                <w:color w:val="000000"/>
              </w:rPr>
              <w:t xml:space="preserve"> </w:t>
            </w:r>
          </w:p>
        </w:tc>
        <w:tc>
          <w:tcPr>
            <w:tcW w:w="922" w:type="dxa"/>
            <w:tcBorders>
              <w:top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pPr>
            <w:r w:rsidRPr="00092971">
              <w:rPr>
                <w:color w:val="000000"/>
              </w:rPr>
              <w:t xml:space="preserve">Current receivables </w:t>
            </w:r>
            <w:r w:rsidRPr="00092971">
              <w:rPr>
                <w:vertAlign w:val="superscript"/>
              </w:rPr>
              <w:t>(a)</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6 555</w:t>
            </w:r>
          </w:p>
        </w:tc>
        <w:tc>
          <w:tcPr>
            <w:tcW w:w="92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5 596</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4 828</w:t>
            </w:r>
          </w:p>
        </w:tc>
        <w:tc>
          <w:tcPr>
            <w:tcW w:w="92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4 447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12" w:space="0" w:color="auto"/>
            </w:tcBorders>
          </w:tcPr>
          <w:p w:rsidR="00DF17E9" w:rsidRPr="00092971" w:rsidRDefault="00DF17E9" w:rsidP="00044843">
            <w:pPr>
              <w:ind w:left="0" w:firstLine="0"/>
              <w:rPr>
                <w:color w:val="000000"/>
              </w:rPr>
            </w:pPr>
            <w:r w:rsidRPr="00092971">
              <w:rPr>
                <w:color w:val="000000"/>
              </w:rPr>
              <w:t>Non-current receivables</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12" w:space="0" w:color="auto"/>
            </w:tcBorders>
          </w:tcPr>
          <w:p w:rsidR="00DF17E9" w:rsidRPr="00092971" w:rsidRDefault="00DF17E9" w:rsidP="00044843">
            <w:pPr>
              <w:rPr>
                <w:color w:val="000000"/>
              </w:rPr>
            </w:pPr>
            <w:r w:rsidRPr="00092971">
              <w:rPr>
                <w:color w:val="000000"/>
              </w:rPr>
              <w:t>1 237</w:t>
            </w:r>
          </w:p>
        </w:tc>
        <w:tc>
          <w:tcPr>
            <w:tcW w:w="921"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1 274</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12" w:space="0" w:color="auto"/>
            </w:tcBorders>
          </w:tcPr>
          <w:p w:rsidR="00DF17E9" w:rsidRPr="00092971" w:rsidRDefault="00DF17E9" w:rsidP="00044843">
            <w:r w:rsidRPr="00092971">
              <w:rPr>
                <w:color w:val="000000"/>
              </w:rPr>
              <w:t>738</w:t>
            </w:r>
          </w:p>
        </w:tc>
        <w:tc>
          <w:tcPr>
            <w:tcW w:w="922"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1 109</w:t>
            </w:r>
          </w:p>
        </w:tc>
      </w:tr>
    </w:tbl>
    <w:p w:rsidR="00DF17E9" w:rsidRDefault="00DF17E9" w:rsidP="00044843">
      <w:pPr>
        <w:pStyle w:val="Note"/>
      </w:pPr>
      <w:r>
        <w:t>Note:</w:t>
      </w:r>
    </w:p>
    <w:p w:rsidR="00DF17E9" w:rsidRDefault="00DF17E9" w:rsidP="00044843">
      <w:pPr>
        <w:pStyle w:val="Note"/>
      </w:pPr>
      <w:r>
        <w:t>(a)</w:t>
      </w:r>
      <w:r>
        <w:tab/>
        <w:t xml:space="preserve">June 2015 comparative figures have been restated to reflect an adjustment to Coliban Water’s deferred tax liability balances in the PNFC attributable </w:t>
      </w:r>
      <w:r w:rsidRPr="00C8120D">
        <w:t>to a change in valuation policy in 2015-16.</w:t>
      </w:r>
    </w:p>
    <w:p w:rsidR="00DF17E9" w:rsidRDefault="00DF17E9" w:rsidP="00AB724F">
      <w:pPr>
        <w:pStyle w:val="BodyText"/>
      </w:pPr>
    </w:p>
    <w:p w:rsidR="00DF17E9" w:rsidRDefault="00DF17E9" w:rsidP="00AB724F">
      <w:pPr>
        <w:pStyle w:val="BodyText"/>
        <w:sectPr w:rsidR="00DF17E9" w:rsidSect="00044843">
          <w:headerReference w:type="even" r:id="rId174"/>
          <w:headerReference w:type="default" r:id="rId175"/>
          <w:type w:val="continuous"/>
          <w:pgSz w:w="11906" w:h="16838" w:code="9"/>
          <w:pgMar w:top="1134" w:right="1134" w:bottom="1134" w:left="1134" w:header="624" w:footer="567" w:gutter="0"/>
          <w:cols w:space="708"/>
          <w:docGrid w:linePitch="360"/>
        </w:sectPr>
      </w:pPr>
    </w:p>
    <w:p w:rsidR="00DF17E9" w:rsidRDefault="00DF17E9" w:rsidP="003936D1">
      <w:r>
        <w:lastRenderedPageBreak/>
        <w:t>Receivables consist of:</w:t>
      </w:r>
    </w:p>
    <w:p w:rsidR="00DF17E9" w:rsidRPr="003936D1" w:rsidRDefault="00DF17E9" w:rsidP="00044843">
      <w:pPr>
        <w:pStyle w:val="ListBullet"/>
        <w:numPr>
          <w:ilvl w:val="0"/>
          <w:numId w:val="16"/>
        </w:numPr>
      </w:pPr>
      <w:r>
        <w:t>contractual receivables, are</w:t>
      </w:r>
      <w:r w:rsidRPr="003936D1">
        <w:t xml:space="preserve"> classified as financial instruments and categorised as loans and receivables; </w:t>
      </w:r>
    </w:p>
    <w:p w:rsidR="00DF17E9" w:rsidRPr="003936D1" w:rsidRDefault="00DF17E9" w:rsidP="00044843">
      <w:pPr>
        <w:pStyle w:val="ListBullet"/>
        <w:numPr>
          <w:ilvl w:val="0"/>
          <w:numId w:val="16"/>
        </w:numPr>
      </w:pPr>
      <w:r w:rsidRPr="003936D1">
        <w:t>statutory receivables that do not arise from contracts; and</w:t>
      </w:r>
    </w:p>
    <w:p w:rsidR="00DF17E9" w:rsidRPr="003936D1" w:rsidRDefault="00DF17E9" w:rsidP="00044843">
      <w:pPr>
        <w:pStyle w:val="ListBullet"/>
        <w:numPr>
          <w:ilvl w:val="0"/>
          <w:numId w:val="16"/>
        </w:numPr>
      </w:pPr>
      <w:r w:rsidRPr="003936D1">
        <w:t>other actuarially determined receivables.</w:t>
      </w:r>
    </w:p>
    <w:p w:rsidR="00DF17E9" w:rsidRDefault="00DF17E9" w:rsidP="003936D1">
      <w:r w:rsidRPr="00B167C7">
        <w:rPr>
          <w:b/>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w:t>
      </w:r>
      <w:r w:rsidRPr="00316541">
        <w:t>Contractual receivables are classified as financial instruments (Note 7.1).</w:t>
      </w:r>
    </w:p>
    <w:p w:rsidR="00DF17E9" w:rsidRDefault="00DF17E9" w:rsidP="00B167C7">
      <w:pPr>
        <w:pStyle w:val="BodyText"/>
      </w:pPr>
      <w:r w:rsidRPr="00B167C7">
        <w:rPr>
          <w:b/>
        </w:rPr>
        <w:lastRenderedPageBreak/>
        <w:t>Statutory receivables</w:t>
      </w:r>
      <w:r>
        <w:t xml:space="preserve"> are recognised and measured similarly to contractual receivables (except for impairment), but are not classified as financial instruments because they do not arise from contracts.</w:t>
      </w:r>
    </w:p>
    <w:p w:rsidR="00DF17E9" w:rsidRDefault="00DF17E9" w:rsidP="00B167C7">
      <w:pPr>
        <w:pStyle w:val="BodyText"/>
      </w:pPr>
      <w:r>
        <w:t>Other statutory receivables include GST input tax credits recoverable.</w:t>
      </w:r>
    </w:p>
    <w:p w:rsidR="00DF17E9" w:rsidRDefault="00DF17E9">
      <w:pPr>
        <w:rPr>
          <w:b/>
        </w:rPr>
      </w:pPr>
      <w:r>
        <w:rPr>
          <w:b/>
        </w:rPr>
        <w:br w:type="page"/>
      </w:r>
    </w:p>
    <w:p w:rsidR="00DF17E9" w:rsidRDefault="00DF17E9" w:rsidP="00B167C7">
      <w:pPr>
        <w:pStyle w:val="BodyText"/>
      </w:pPr>
      <w:r w:rsidRPr="00B167C7">
        <w:rPr>
          <w:b/>
        </w:rPr>
        <w:lastRenderedPageBreak/>
        <w:t>Doubtful debts:</w:t>
      </w:r>
      <w:r>
        <w:t xml:space="preserve"> Receivables are assessed for bad and doubtful debts on a regular basis. A provision for doubtful receivables is recognised when there is objective evidence that the debts may not be collected and bad debts are written off when identified. </w:t>
      </w:r>
    </w:p>
    <w:p w:rsidR="00DF17E9" w:rsidRDefault="00DF17E9" w:rsidP="00AB724F">
      <w:pPr>
        <w:pStyle w:val="BodyText"/>
      </w:pPr>
      <w:r>
        <w:br w:type="column"/>
      </w:r>
      <w:r>
        <w:lastRenderedPageBreak/>
        <w:t xml:space="preserve">Those bad debts considered as written off by mutual consent are classified as a transaction expense. Bad debts not written off by mutual consent and the allowance for doubtful receivables are classified as other economic flows in the net result. </w:t>
      </w:r>
    </w:p>
    <w:p w:rsidR="00DF17E9" w:rsidRDefault="00DF17E9" w:rsidP="00AB724F">
      <w:pPr>
        <w:pStyle w:val="BodyText"/>
        <w:sectPr w:rsidR="00DF17E9" w:rsidSect="00044843">
          <w:headerReference w:type="even" r:id="rId176"/>
          <w:headerReference w:type="default" r:id="rId177"/>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b w:val="0"/>
          <w:bCs/>
          <w:lang w:val="en-US"/>
        </w:rPr>
      </w:pPr>
      <w:r w:rsidRPr="000F140B">
        <w:lastRenderedPageBreak/>
        <w:t>Ageing analysis of contractual receivables</w:t>
      </w:r>
      <w:r>
        <w:tab/>
      </w:r>
      <w:r w:rsidRPr="000F140B">
        <w:rPr>
          <w:rStyle w:val="TableUnitsChar"/>
        </w:rPr>
        <w:t>($ million)</w:t>
      </w:r>
    </w:p>
    <w:tbl>
      <w:tblPr>
        <w:tblStyle w:val="TableDTFGeneral"/>
        <w:tblW w:w="9637" w:type="dxa"/>
        <w:tblLayout w:type="fixed"/>
        <w:tblLook w:val="02A0" w:firstRow="1" w:lastRow="0" w:firstColumn="1" w:lastColumn="0" w:noHBand="1" w:noVBand="0"/>
      </w:tblPr>
      <w:tblGrid>
        <w:gridCol w:w="3148"/>
        <w:gridCol w:w="1047"/>
        <w:gridCol w:w="907"/>
        <w:gridCol w:w="907"/>
        <w:gridCol w:w="907"/>
        <w:gridCol w:w="907"/>
        <w:gridCol w:w="907"/>
        <w:gridCol w:w="907"/>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vMerge w:val="restart"/>
          </w:tcPr>
          <w:p w:rsidR="005E3226" w:rsidRDefault="005E3226" w:rsidP="005E3226">
            <w:pPr>
              <w:ind w:left="0" w:firstLine="0"/>
              <w:rPr>
                <w:color w:val="FFFFFF"/>
              </w:rPr>
            </w:pPr>
            <w:r w:rsidRPr="00092971">
              <w:rPr>
                <w:color w:val="FFFFFF"/>
              </w:rPr>
              <w:t>State of Victoria</w:t>
            </w:r>
          </w:p>
          <w:p w:rsidR="005E3226" w:rsidRPr="00092971" w:rsidRDefault="005E3226" w:rsidP="005E3226">
            <w:pPr>
              <w:ind w:left="0" w:firstLine="0"/>
              <w:rPr>
                <w:i w:val="0"/>
                <w:color w:val="FFFFFF"/>
              </w:rPr>
            </w:pPr>
          </w:p>
          <w:p w:rsidR="005E3226" w:rsidRPr="00092971" w:rsidRDefault="005E3226" w:rsidP="005E3226">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1047" w:type="dxa"/>
            <w:vMerge w:val="restart"/>
          </w:tcPr>
          <w:p w:rsidR="005E3226" w:rsidRPr="00092971" w:rsidRDefault="005E3226" w:rsidP="00044843">
            <w:pPr>
              <w:rPr>
                <w:i w:val="0"/>
                <w:color w:val="FFFFFF"/>
              </w:rPr>
            </w:pPr>
            <w:r w:rsidRPr="00092971">
              <w:rPr>
                <w:color w:val="FFFFFF"/>
              </w:rPr>
              <w:t>Not past due</w:t>
            </w:r>
          </w:p>
          <w:p w:rsidR="005E3226" w:rsidRPr="00092971" w:rsidRDefault="005E3226" w:rsidP="00044843">
            <w:pPr>
              <w:rPr>
                <w:i w:val="0"/>
                <w:color w:val="FFFFFF"/>
              </w:rPr>
            </w:pPr>
            <w:r w:rsidRPr="00092971">
              <w:rPr>
                <w:color w:val="FFFFFF"/>
              </w:rPr>
              <w:t xml:space="preserve">and not </w:t>
            </w:r>
          </w:p>
          <w:p w:rsidR="005E3226" w:rsidRPr="00092971" w:rsidRDefault="005E3226" w:rsidP="00044843">
            <w:pPr>
              <w:rPr>
                <w:color w:val="FFFFFF"/>
              </w:rPr>
            </w:pPr>
            <w:r w:rsidRPr="00092971">
              <w:rPr>
                <w:color w:val="FFFFFF"/>
              </w:rPr>
              <w:t>impaired</w:t>
            </w:r>
          </w:p>
        </w:tc>
        <w:tc>
          <w:tcPr>
            <w:tcW w:w="3628" w:type="dxa"/>
            <w:gridSpan w:val="4"/>
            <w:tcBorders>
              <w:bottom w:val="single" w:sz="6" w:space="0" w:color="FFFFFF" w:themeColor="background1"/>
            </w:tcBorders>
          </w:tcPr>
          <w:p w:rsidR="005E3226" w:rsidRPr="0009297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Past due and not impaired</w:t>
            </w:r>
          </w:p>
        </w:tc>
        <w:tc>
          <w:tcPr>
            <w:cnfStyle w:val="000010000000" w:firstRow="0" w:lastRow="0" w:firstColumn="0" w:lastColumn="0" w:oddVBand="1" w:evenVBand="0" w:oddHBand="0" w:evenHBand="0" w:firstRowFirstColumn="0" w:firstRowLastColumn="0" w:lastRowFirstColumn="0" w:lastRowLastColumn="0"/>
            <w:tcW w:w="907" w:type="dxa"/>
            <w:vMerge w:val="restart"/>
          </w:tcPr>
          <w:p w:rsidR="005E3226" w:rsidRPr="00092971" w:rsidRDefault="005E3226" w:rsidP="005E3226">
            <w:pPr>
              <w:rPr>
                <w:color w:val="FFFFFF"/>
              </w:rPr>
            </w:pPr>
            <w:r w:rsidRPr="00092971">
              <w:rPr>
                <w:color w:val="FFFFFF"/>
              </w:rPr>
              <w:t>Impaired</w:t>
            </w:r>
          </w:p>
        </w:tc>
        <w:tc>
          <w:tcPr>
            <w:tcW w:w="907" w:type="dxa"/>
            <w:vMerge w:val="restart"/>
          </w:tcPr>
          <w:p w:rsidR="005E3226" w:rsidRPr="00092971" w:rsidRDefault="005E3226" w:rsidP="005E3226">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Total</w:t>
            </w:r>
          </w:p>
        </w:tc>
      </w:tr>
      <w:tr w:rsidR="005E3226" w:rsidRPr="00092971" w:rsidTr="005E3226">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3148" w:type="dxa"/>
            <w:vMerge/>
            <w:tcBorders>
              <w:bottom w:val="single" w:sz="12" w:space="0" w:color="auto"/>
            </w:tcBorders>
          </w:tcPr>
          <w:p w:rsidR="005E3226" w:rsidRPr="00092971" w:rsidRDefault="005E3226" w:rsidP="00044843">
            <w:pPr>
              <w:ind w:left="0"/>
              <w:rPr>
                <w:color w:val="FFFFFF"/>
              </w:rPr>
            </w:pPr>
          </w:p>
        </w:tc>
        <w:tc>
          <w:tcPr>
            <w:cnfStyle w:val="000010000000" w:firstRow="0" w:lastRow="0" w:firstColumn="0" w:lastColumn="0" w:oddVBand="1" w:evenVBand="0" w:oddHBand="0" w:evenHBand="0" w:firstRowFirstColumn="0" w:firstRowLastColumn="0" w:lastRowFirstColumn="0" w:lastRowLastColumn="0"/>
            <w:tcW w:w="1047" w:type="dxa"/>
            <w:vMerge/>
            <w:tcBorders>
              <w:bottom w:val="single" w:sz="12" w:space="0" w:color="auto"/>
            </w:tcBorders>
          </w:tcPr>
          <w:p w:rsidR="005E3226" w:rsidRPr="00092971" w:rsidRDefault="005E3226" w:rsidP="00044843">
            <w:pPr>
              <w:rPr>
                <w:color w:val="FFFFFF"/>
              </w:rPr>
            </w:pPr>
          </w:p>
        </w:tc>
        <w:tc>
          <w:tcPr>
            <w:tcW w:w="907" w:type="dxa"/>
            <w:tcBorders>
              <w:top w:val="single" w:sz="6" w:space="0" w:color="FFFFFF" w:themeColor="background1"/>
              <w:bottom w:val="single" w:sz="12" w:space="0" w:color="auto"/>
            </w:tcBorders>
          </w:tcPr>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Less than</w:t>
            </w:r>
          </w:p>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1 month</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FFFFFF" w:themeColor="background1"/>
              <w:bottom w:val="single" w:sz="12" w:space="0" w:color="auto"/>
            </w:tcBorders>
          </w:tcPr>
          <w:p w:rsidR="005E3226" w:rsidRPr="00092971" w:rsidRDefault="005E3226" w:rsidP="00044843">
            <w:pPr>
              <w:rPr>
                <w:i w:val="0"/>
                <w:color w:val="FFFFFF"/>
              </w:rPr>
            </w:pPr>
            <w:r w:rsidRPr="00092971">
              <w:rPr>
                <w:color w:val="FFFFFF"/>
              </w:rPr>
              <w:t>1-3</w:t>
            </w:r>
          </w:p>
          <w:p w:rsidR="005E3226" w:rsidRPr="00092971" w:rsidRDefault="005E3226" w:rsidP="00044843">
            <w:pPr>
              <w:rPr>
                <w:color w:val="FFFFFF"/>
              </w:rPr>
            </w:pPr>
            <w:r w:rsidRPr="00092971">
              <w:rPr>
                <w:color w:val="FFFFFF"/>
              </w:rPr>
              <w:t>months</w:t>
            </w:r>
          </w:p>
        </w:tc>
        <w:tc>
          <w:tcPr>
            <w:tcW w:w="907" w:type="dxa"/>
            <w:tcBorders>
              <w:top w:val="single" w:sz="6" w:space="0" w:color="FFFFFF" w:themeColor="background1"/>
              <w:bottom w:val="single" w:sz="12" w:space="0" w:color="auto"/>
            </w:tcBorders>
          </w:tcPr>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3 months-</w:t>
            </w:r>
          </w:p>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1 year</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FFFFFF" w:themeColor="background1"/>
              <w:bottom w:val="single" w:sz="12" w:space="0" w:color="auto"/>
            </w:tcBorders>
          </w:tcPr>
          <w:p w:rsidR="005E3226" w:rsidRPr="00092971" w:rsidRDefault="005E3226" w:rsidP="00044843">
            <w:pPr>
              <w:rPr>
                <w:i w:val="0"/>
                <w:color w:val="FFFFFF"/>
              </w:rPr>
            </w:pPr>
            <w:r w:rsidRPr="00092971">
              <w:rPr>
                <w:color w:val="FFFFFF"/>
              </w:rPr>
              <w:t>More than</w:t>
            </w:r>
          </w:p>
          <w:p w:rsidR="005E3226" w:rsidRPr="00092971" w:rsidRDefault="005E3226" w:rsidP="00044843">
            <w:pPr>
              <w:rPr>
                <w:color w:val="FFFFFF"/>
              </w:rPr>
            </w:pPr>
            <w:r w:rsidRPr="00092971">
              <w:rPr>
                <w:color w:val="FFFFFF"/>
              </w:rPr>
              <w:t>1 year</w:t>
            </w:r>
          </w:p>
        </w:tc>
        <w:tc>
          <w:tcPr>
            <w:tcW w:w="907" w:type="dxa"/>
            <w:vMerge/>
            <w:tcBorders>
              <w:bottom w:val="single" w:sz="12" w:space="0" w:color="auto"/>
            </w:tcBorders>
          </w:tcPr>
          <w:p w:rsidR="005E3226" w:rsidRPr="00092971" w:rsidRDefault="005E3226" w:rsidP="005E3226">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907" w:type="dxa"/>
            <w:vMerge/>
            <w:tcBorders>
              <w:bottom w:val="single" w:sz="12" w:space="0" w:color="auto"/>
            </w:tcBorders>
          </w:tcPr>
          <w:p w:rsidR="005E3226" w:rsidRPr="00092971" w:rsidRDefault="005E3226" w:rsidP="005E3226">
            <w:pPr>
              <w:rPr>
                <w:color w:val="FFFFFF"/>
              </w:rPr>
            </w:pP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Pr>
          <w:p w:rsidR="005E3226" w:rsidRPr="00092971" w:rsidRDefault="005E3226" w:rsidP="00044843">
            <w:pPr>
              <w:ind w:left="0" w:firstLine="0"/>
              <w:rPr>
                <w:color w:val="000000"/>
              </w:rPr>
            </w:pPr>
            <w:r w:rsidRPr="00092971">
              <w:rPr>
                <w:color w:val="000000"/>
              </w:rPr>
              <w:t>Sale of goods and services</w:t>
            </w:r>
          </w:p>
        </w:tc>
        <w:tc>
          <w:tcPr>
            <w:cnfStyle w:val="000010000000" w:firstRow="0" w:lastRow="0" w:firstColumn="0" w:lastColumn="0" w:oddVBand="1" w:evenVBand="0" w:oddHBand="0" w:evenHBand="0" w:firstRowFirstColumn="0" w:firstRowLastColumn="0" w:lastRowFirstColumn="0" w:lastRowLastColumn="0"/>
            <w:tcW w:w="1047" w:type="dxa"/>
          </w:tcPr>
          <w:p w:rsidR="005E3226" w:rsidRPr="00092971" w:rsidRDefault="005E3226" w:rsidP="00044843">
            <w:r w:rsidRPr="00092971">
              <w:rPr>
                <w:color w:val="000000"/>
              </w:rPr>
              <w:t>756</w:t>
            </w:r>
          </w:p>
        </w:tc>
        <w:tc>
          <w:tcPr>
            <w:tcW w:w="907" w:type="dxa"/>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157</w:t>
            </w:r>
          </w:p>
        </w:tc>
        <w:tc>
          <w:tcPr>
            <w:cnfStyle w:val="000010000000" w:firstRow="0" w:lastRow="0" w:firstColumn="0" w:lastColumn="0" w:oddVBand="1" w:evenVBand="0" w:oddHBand="0" w:evenHBand="0" w:firstRowFirstColumn="0" w:firstRowLastColumn="0" w:lastRowFirstColumn="0" w:lastRowLastColumn="0"/>
            <w:tcW w:w="907" w:type="dxa"/>
          </w:tcPr>
          <w:p w:rsidR="005E3226" w:rsidRPr="00092971" w:rsidRDefault="005E3226" w:rsidP="00044843">
            <w:r w:rsidRPr="00092971">
              <w:rPr>
                <w:color w:val="000000"/>
              </w:rPr>
              <w:t>133</w:t>
            </w:r>
          </w:p>
        </w:tc>
        <w:tc>
          <w:tcPr>
            <w:tcW w:w="907" w:type="dxa"/>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119</w:t>
            </w:r>
          </w:p>
        </w:tc>
        <w:tc>
          <w:tcPr>
            <w:cnfStyle w:val="000010000000" w:firstRow="0" w:lastRow="0" w:firstColumn="0" w:lastColumn="0" w:oddVBand="1" w:evenVBand="0" w:oddHBand="0" w:evenHBand="0" w:firstRowFirstColumn="0" w:firstRowLastColumn="0" w:lastRowFirstColumn="0" w:lastRowLastColumn="0"/>
            <w:tcW w:w="907" w:type="dxa"/>
          </w:tcPr>
          <w:p w:rsidR="005E3226" w:rsidRPr="00092971" w:rsidRDefault="005E3226" w:rsidP="00044843">
            <w:r w:rsidRPr="00092971">
              <w:rPr>
                <w:color w:val="000000"/>
              </w:rPr>
              <w:t>95</w:t>
            </w:r>
          </w:p>
        </w:tc>
        <w:tc>
          <w:tcPr>
            <w:tcW w:w="907" w:type="dxa"/>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w:t>
            </w:r>
          </w:p>
        </w:tc>
        <w:tc>
          <w:tcPr>
            <w:cnfStyle w:val="000010000000" w:firstRow="0" w:lastRow="0" w:firstColumn="0" w:lastColumn="0" w:oddVBand="1" w:evenVBand="0" w:oddHBand="0" w:evenHBand="0" w:firstRowFirstColumn="0" w:firstRowLastColumn="0" w:lastRowFirstColumn="0" w:lastRowLastColumn="0"/>
            <w:tcW w:w="907" w:type="dxa"/>
          </w:tcPr>
          <w:p w:rsidR="005E3226" w:rsidRPr="00092971" w:rsidRDefault="005E3226" w:rsidP="00044843">
            <w:pPr>
              <w:rPr>
                <w:color w:val="000000"/>
              </w:rPr>
            </w:pPr>
            <w:r w:rsidRPr="00092971">
              <w:rPr>
                <w:color w:val="000000"/>
              </w:rPr>
              <w:t>1 267</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5E3226" w:rsidRPr="00092971" w:rsidRDefault="005E3226" w:rsidP="00044843">
            <w:pPr>
              <w:ind w:left="0" w:firstLine="0"/>
              <w:rPr>
                <w:color w:val="000000"/>
              </w:rPr>
            </w:pPr>
            <w:r w:rsidRPr="00092971">
              <w:rPr>
                <w:color w:val="000000"/>
              </w:rPr>
              <w:t>Accrued investment income</w:t>
            </w:r>
          </w:p>
        </w:tc>
        <w:tc>
          <w:tcPr>
            <w:cnfStyle w:val="000010000000" w:firstRow="0" w:lastRow="0" w:firstColumn="0" w:lastColumn="0" w:oddVBand="1" w:evenVBand="0" w:oddHBand="0" w:evenHBand="0" w:firstRowFirstColumn="0" w:firstRowLastColumn="0" w:lastRowFirstColumn="0" w:lastRowLastColumn="0"/>
            <w:tcW w:w="1047" w:type="dxa"/>
            <w:tcBorders>
              <w:bottom w:val="nil"/>
            </w:tcBorders>
          </w:tcPr>
          <w:p w:rsidR="005E3226" w:rsidRPr="00092971" w:rsidRDefault="005E3226" w:rsidP="00044843">
            <w:r w:rsidRPr="00092971">
              <w:rPr>
                <w:color w:val="000000"/>
              </w:rPr>
              <w:t>67</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pPr>
              <w:rPr>
                <w:color w:val="000000"/>
              </w:rPr>
            </w:pPr>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r w:rsidRPr="00092971">
              <w:rPr>
                <w:color w:val="000000"/>
              </w:rPr>
              <w:t>67</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rsidR="005E3226" w:rsidRPr="00092971" w:rsidRDefault="005E3226" w:rsidP="00044843">
            <w:pPr>
              <w:ind w:left="0" w:firstLine="0"/>
              <w:rPr>
                <w:color w:val="000000"/>
              </w:rPr>
            </w:pPr>
            <w:r w:rsidRPr="00092971">
              <w:rPr>
                <w:color w:val="000000"/>
              </w:rPr>
              <w:t>Other receivables</w:t>
            </w:r>
          </w:p>
        </w:tc>
        <w:tc>
          <w:tcPr>
            <w:cnfStyle w:val="000010000000" w:firstRow="0" w:lastRow="0" w:firstColumn="0" w:lastColumn="0" w:oddVBand="1" w:evenVBand="0" w:oddHBand="0" w:evenHBand="0" w:firstRowFirstColumn="0" w:firstRowLastColumn="0" w:lastRowFirstColumn="0" w:lastRowLastColumn="0"/>
            <w:tcW w:w="1047" w:type="dxa"/>
            <w:tcBorders>
              <w:bottom w:val="single" w:sz="6" w:space="0" w:color="auto"/>
            </w:tcBorders>
          </w:tcPr>
          <w:p w:rsidR="005E3226" w:rsidRPr="00092971" w:rsidRDefault="005E3226" w:rsidP="00044843">
            <w:pPr>
              <w:rPr>
                <w:color w:val="000000"/>
              </w:rPr>
            </w:pPr>
            <w:r w:rsidRPr="00092971">
              <w:rPr>
                <w:color w:val="000000"/>
              </w:rPr>
              <w:t>1 633</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r w:rsidRPr="00092971">
              <w:rPr>
                <w:color w:val="000000"/>
              </w:rPr>
              <w:t>43</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r w:rsidRPr="00092971">
              <w:rPr>
                <w:color w:val="000000"/>
              </w:rPr>
              <w:t>45</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pPr>
              <w:rPr>
                <w:color w:val="000000"/>
              </w:rPr>
            </w:pPr>
            <w:r w:rsidRPr="00092971">
              <w:rPr>
                <w:color w:val="000000"/>
              </w:rPr>
              <w:t>1 887</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rsidR="005E3226" w:rsidRPr="00092971" w:rsidRDefault="005E3226" w:rsidP="00044843">
            <w:pPr>
              <w:ind w:left="0" w:firstLine="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7"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2 455</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207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r w:rsidRPr="00092971">
              <w:rPr>
                <w:b/>
                <w:color w:val="000000"/>
              </w:rPr>
              <w:t>176</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234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r w:rsidRPr="00092971">
              <w:rPr>
                <w:b/>
                <w:color w:val="000000"/>
              </w:rPr>
              <w:t>141</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3 220</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12" w:space="0" w:color="auto"/>
              <w:bottom w:val="single" w:sz="6" w:space="0" w:color="auto"/>
            </w:tcBorders>
            <w:shd w:val="clear" w:color="auto" w:fill="000000" w:themeFill="text1"/>
          </w:tcPr>
          <w:p w:rsidR="005E3226" w:rsidRPr="00092971" w:rsidRDefault="005E3226" w:rsidP="00044843">
            <w:pPr>
              <w:ind w:left="0" w:firstLine="0"/>
              <w:rPr>
                <w:color w:val="FFFFFF"/>
              </w:rPr>
            </w:pPr>
            <w:r w:rsidRPr="00092971">
              <w:rPr>
                <w:i/>
                <w:color w:val="FFFFFF"/>
              </w:rPr>
              <w:t>2015</w:t>
            </w:r>
          </w:p>
        </w:tc>
        <w:tc>
          <w:tcPr>
            <w:cnfStyle w:val="000010000000" w:firstRow="0" w:lastRow="0" w:firstColumn="0" w:lastColumn="0" w:oddVBand="1" w:evenVBand="0" w:oddHBand="0" w:evenHBand="0" w:firstRowFirstColumn="0" w:firstRowLastColumn="0" w:lastRowFirstColumn="0" w:lastRowLastColumn="0"/>
            <w:tcW w:w="1047"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c>
          <w:tcPr>
            <w:tcW w:w="907" w:type="dxa"/>
            <w:tcBorders>
              <w:top w:val="single" w:sz="12" w:space="0" w:color="auto"/>
              <w:bottom w:val="single" w:sz="6" w:space="0" w:color="auto"/>
            </w:tcBorders>
            <w:shd w:val="clear" w:color="auto" w:fill="000000" w:themeFill="text1"/>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c>
          <w:tcPr>
            <w:tcW w:w="907" w:type="dxa"/>
            <w:tcBorders>
              <w:top w:val="single" w:sz="12" w:space="0" w:color="auto"/>
              <w:bottom w:val="single" w:sz="6" w:space="0" w:color="auto"/>
            </w:tcBorders>
            <w:shd w:val="clear" w:color="auto" w:fill="000000" w:themeFill="text1"/>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c>
          <w:tcPr>
            <w:tcW w:w="907" w:type="dxa"/>
            <w:tcBorders>
              <w:top w:val="single" w:sz="12" w:space="0" w:color="auto"/>
              <w:bottom w:val="single" w:sz="6" w:space="0" w:color="auto"/>
            </w:tcBorders>
            <w:shd w:val="clear" w:color="auto" w:fill="000000" w:themeFill="text1"/>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tcBorders>
          </w:tcPr>
          <w:p w:rsidR="005E3226" w:rsidRPr="00092971" w:rsidRDefault="005E3226" w:rsidP="00044843">
            <w:pPr>
              <w:ind w:left="0" w:firstLine="0"/>
              <w:rPr>
                <w:color w:val="000000"/>
              </w:rPr>
            </w:pPr>
            <w:r w:rsidRPr="00092971">
              <w:rPr>
                <w:color w:val="000000"/>
              </w:rPr>
              <w:t>Sale of goods and services</w:t>
            </w:r>
          </w:p>
        </w:tc>
        <w:tc>
          <w:tcPr>
            <w:cnfStyle w:val="000010000000" w:firstRow="0" w:lastRow="0" w:firstColumn="0" w:lastColumn="0" w:oddVBand="1" w:evenVBand="0" w:oddHBand="0" w:evenHBand="0" w:firstRowFirstColumn="0" w:firstRowLastColumn="0" w:lastRowFirstColumn="0" w:lastRowLastColumn="0"/>
            <w:tcW w:w="1047" w:type="dxa"/>
            <w:tcBorders>
              <w:top w:val="single" w:sz="6" w:space="0" w:color="auto"/>
            </w:tcBorders>
          </w:tcPr>
          <w:p w:rsidR="005E3226" w:rsidRPr="00092971" w:rsidRDefault="005E3226" w:rsidP="00044843">
            <w:r w:rsidRPr="00092971">
              <w:rPr>
                <w:color w:val="000000"/>
              </w:rPr>
              <w:t>662</w:t>
            </w:r>
          </w:p>
        </w:tc>
        <w:tc>
          <w:tcPr>
            <w:tcW w:w="907" w:type="dxa"/>
            <w:tcBorders>
              <w:top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5E3226" w:rsidRPr="00092971" w:rsidRDefault="005E3226" w:rsidP="00044843">
            <w:r w:rsidRPr="00092971">
              <w:rPr>
                <w:color w:val="000000"/>
              </w:rPr>
              <w:t>81</w:t>
            </w:r>
          </w:p>
        </w:tc>
        <w:tc>
          <w:tcPr>
            <w:tcW w:w="907" w:type="dxa"/>
            <w:tcBorders>
              <w:top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121</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5E3226" w:rsidRPr="00092971" w:rsidRDefault="005E3226" w:rsidP="00044843">
            <w:r w:rsidRPr="00092971">
              <w:rPr>
                <w:color w:val="000000"/>
              </w:rPr>
              <w:t>76</w:t>
            </w:r>
          </w:p>
        </w:tc>
        <w:tc>
          <w:tcPr>
            <w:tcW w:w="907" w:type="dxa"/>
            <w:tcBorders>
              <w:top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5E3226" w:rsidRPr="00092971" w:rsidRDefault="005E3226" w:rsidP="00044843">
            <w:pPr>
              <w:rPr>
                <w:color w:val="000000"/>
              </w:rPr>
            </w:pPr>
            <w:r w:rsidRPr="00092971">
              <w:rPr>
                <w:color w:val="000000"/>
              </w:rPr>
              <w:t>1 178</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5E3226" w:rsidRPr="00092971" w:rsidRDefault="005E3226" w:rsidP="00044843">
            <w:pPr>
              <w:ind w:left="0" w:firstLine="0"/>
              <w:rPr>
                <w:color w:val="000000"/>
              </w:rPr>
            </w:pPr>
            <w:r w:rsidRPr="00092971">
              <w:rPr>
                <w:color w:val="000000"/>
              </w:rPr>
              <w:t>Accrued investment income</w:t>
            </w:r>
          </w:p>
        </w:tc>
        <w:tc>
          <w:tcPr>
            <w:cnfStyle w:val="000010000000" w:firstRow="0" w:lastRow="0" w:firstColumn="0" w:lastColumn="0" w:oddVBand="1" w:evenVBand="0" w:oddHBand="0" w:evenHBand="0" w:firstRowFirstColumn="0" w:firstRowLastColumn="0" w:lastRowFirstColumn="0" w:lastRowLastColumn="0"/>
            <w:tcW w:w="1047" w:type="dxa"/>
            <w:tcBorders>
              <w:bottom w:val="nil"/>
            </w:tcBorders>
          </w:tcPr>
          <w:p w:rsidR="005E3226" w:rsidRPr="00092971" w:rsidRDefault="005E3226" w:rsidP="00044843">
            <w:r w:rsidRPr="00092971">
              <w:rPr>
                <w:color w:val="000000"/>
              </w:rPr>
              <w:t>62</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pPr>
              <w:rPr>
                <w:color w:val="000000"/>
              </w:rPr>
            </w:pPr>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pPr>
              <w:rPr>
                <w:color w:val="000000"/>
              </w:rPr>
            </w:pPr>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r w:rsidRPr="00092971">
              <w:rPr>
                <w:color w:val="000000"/>
              </w:rPr>
              <w:t>73</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rsidR="005E3226" w:rsidRPr="00092971" w:rsidRDefault="005E3226" w:rsidP="00044843">
            <w:pPr>
              <w:ind w:left="0" w:firstLine="0"/>
            </w:pPr>
            <w:r w:rsidRPr="00092971">
              <w:rPr>
                <w:color w:val="000000"/>
              </w:rPr>
              <w:t>Other receivables</w:t>
            </w:r>
            <w:r w:rsidRPr="00092971">
              <w:rPr>
                <w:color w:val="000000"/>
                <w:vertAlign w:val="superscript"/>
              </w:rPr>
              <w:t>(</w:t>
            </w:r>
            <w:r w:rsidRPr="00092971">
              <w:rPr>
                <w:vertAlign w:val="superscript"/>
              </w:rPr>
              <w:t>a)</w:t>
            </w:r>
          </w:p>
        </w:tc>
        <w:tc>
          <w:tcPr>
            <w:cnfStyle w:val="000010000000" w:firstRow="0" w:lastRow="0" w:firstColumn="0" w:lastColumn="0" w:oddVBand="1" w:evenVBand="0" w:oddHBand="0" w:evenHBand="0" w:firstRowFirstColumn="0" w:firstRowLastColumn="0" w:lastRowFirstColumn="0" w:lastRowLastColumn="0"/>
            <w:tcW w:w="1047" w:type="dxa"/>
            <w:tcBorders>
              <w:bottom w:val="single" w:sz="6" w:space="0" w:color="auto"/>
            </w:tcBorders>
          </w:tcPr>
          <w:p w:rsidR="005E3226" w:rsidRPr="00092971" w:rsidRDefault="005E3226" w:rsidP="00044843">
            <w:r w:rsidRPr="00092971">
              <w:rPr>
                <w:color w:val="000000"/>
              </w:rPr>
              <w:t>1</w:t>
            </w:r>
            <w:r w:rsidRPr="00092971">
              <w:t xml:space="preserve"> 042</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r w:rsidRPr="00092971">
              <w:rPr>
                <w:color w:val="000000"/>
              </w:rPr>
              <w:t>22</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73</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r w:rsidRPr="00092971">
              <w:rPr>
                <w:color w:val="000000"/>
              </w:rPr>
              <w:t>85</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pPr>
              <w:rPr>
                <w:color w:val="000000"/>
              </w:rPr>
            </w:pPr>
            <w:r w:rsidRPr="00092971">
              <w:rPr>
                <w:color w:val="000000"/>
              </w:rPr>
              <w:t>1 280</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rsidR="005E3226" w:rsidRPr="00092971" w:rsidRDefault="005E3226" w:rsidP="00044843">
            <w:pPr>
              <w:ind w:left="0" w:firstLine="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7"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1 766</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303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r w:rsidRPr="00092971">
              <w:rPr>
                <w:b/>
                <w:color w:val="000000"/>
              </w:rPr>
              <w:t>102</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193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r w:rsidRPr="00092971">
              <w:rPr>
                <w:b/>
                <w:color w:val="000000"/>
              </w:rPr>
              <w:t>161</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2 532</w:t>
            </w:r>
          </w:p>
        </w:tc>
      </w:tr>
    </w:tbl>
    <w:p w:rsidR="00DF17E9" w:rsidRDefault="00DF17E9" w:rsidP="00044843">
      <w:pPr>
        <w:pStyle w:val="Note"/>
      </w:pPr>
      <w:r>
        <w:t>Note:</w:t>
      </w:r>
    </w:p>
    <w:p w:rsidR="00DF17E9" w:rsidRDefault="00DF17E9" w:rsidP="00044843">
      <w:pPr>
        <w:pStyle w:val="Note"/>
      </w:pPr>
      <w:r>
        <w:t>(a)</w:t>
      </w:r>
      <w:r>
        <w:tab/>
        <w:t>June 2015 comparative figures have been restated following the correction in accounting for Coliban Water’s deferred tax liability balances in the PNFC sector.</w:t>
      </w:r>
    </w:p>
    <w:p w:rsidR="00DF17E9" w:rsidRPr="00092971" w:rsidRDefault="00DF17E9" w:rsidP="00044843">
      <w:pPr>
        <w:pStyle w:val="Subheading"/>
        <w:rPr>
          <w:bCs/>
          <w:sz w:val="19"/>
          <w:lang w:val="en-US"/>
        </w:rPr>
      </w:pPr>
    </w:p>
    <w:tbl>
      <w:tblPr>
        <w:tblStyle w:val="TableDTFGeneral"/>
        <w:tblW w:w="9643" w:type="dxa"/>
        <w:tblLayout w:type="fixed"/>
        <w:tblLook w:val="02A0" w:firstRow="1" w:lastRow="0" w:firstColumn="1" w:lastColumn="0" w:noHBand="1" w:noVBand="0"/>
      </w:tblPr>
      <w:tblGrid>
        <w:gridCol w:w="3148"/>
        <w:gridCol w:w="1048"/>
        <w:gridCol w:w="907"/>
        <w:gridCol w:w="907"/>
        <w:gridCol w:w="907"/>
        <w:gridCol w:w="912"/>
        <w:gridCol w:w="907"/>
        <w:gridCol w:w="907"/>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vMerge w:val="restart"/>
          </w:tcPr>
          <w:p w:rsidR="005E3226" w:rsidRDefault="005E3226" w:rsidP="00044843">
            <w:pPr>
              <w:ind w:left="0" w:firstLine="0"/>
              <w:rPr>
                <w:color w:val="FFFFFF"/>
              </w:rPr>
            </w:pPr>
            <w:r w:rsidRPr="00092971">
              <w:rPr>
                <w:color w:val="FFFFFF"/>
              </w:rPr>
              <w:t>General government sector</w:t>
            </w:r>
          </w:p>
          <w:p w:rsidR="005E3226" w:rsidRPr="00092971" w:rsidRDefault="005E3226" w:rsidP="00044843">
            <w:pPr>
              <w:ind w:left="0" w:firstLine="0"/>
              <w:rPr>
                <w:i w:val="0"/>
                <w:color w:val="FFFFFF"/>
              </w:rPr>
            </w:pPr>
          </w:p>
          <w:p w:rsidR="005E3226" w:rsidRPr="00092971" w:rsidRDefault="005E3226" w:rsidP="005E3226">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1048" w:type="dxa"/>
            <w:vMerge w:val="restart"/>
          </w:tcPr>
          <w:p w:rsidR="005E3226" w:rsidRPr="00092971" w:rsidRDefault="005E3226" w:rsidP="00044843">
            <w:pPr>
              <w:rPr>
                <w:i w:val="0"/>
                <w:color w:val="FFFFFF"/>
              </w:rPr>
            </w:pPr>
            <w:r w:rsidRPr="00092971">
              <w:rPr>
                <w:color w:val="FFFFFF"/>
              </w:rPr>
              <w:t>Not past due</w:t>
            </w:r>
          </w:p>
          <w:p w:rsidR="005E3226" w:rsidRPr="00092971" w:rsidRDefault="005E3226" w:rsidP="00044843">
            <w:pPr>
              <w:rPr>
                <w:i w:val="0"/>
                <w:color w:val="FFFFFF"/>
              </w:rPr>
            </w:pPr>
            <w:r w:rsidRPr="00092971">
              <w:rPr>
                <w:color w:val="FFFFFF"/>
              </w:rPr>
              <w:t xml:space="preserve">and not </w:t>
            </w:r>
          </w:p>
          <w:p w:rsidR="005E3226" w:rsidRPr="00092971" w:rsidRDefault="005E3226" w:rsidP="00044843">
            <w:pPr>
              <w:rPr>
                <w:color w:val="FFFFFF"/>
              </w:rPr>
            </w:pPr>
            <w:r w:rsidRPr="00092971">
              <w:rPr>
                <w:color w:val="FFFFFF"/>
              </w:rPr>
              <w:t>impaired</w:t>
            </w:r>
          </w:p>
        </w:tc>
        <w:tc>
          <w:tcPr>
            <w:tcW w:w="3633" w:type="dxa"/>
            <w:gridSpan w:val="4"/>
            <w:tcBorders>
              <w:bottom w:val="single" w:sz="6" w:space="0" w:color="FFFFFF" w:themeColor="background1"/>
            </w:tcBorders>
          </w:tcPr>
          <w:p w:rsidR="005E3226" w:rsidRPr="0009297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Past due and not impaired</w:t>
            </w:r>
          </w:p>
        </w:tc>
        <w:tc>
          <w:tcPr>
            <w:cnfStyle w:val="000010000000" w:firstRow="0" w:lastRow="0" w:firstColumn="0" w:lastColumn="0" w:oddVBand="1" w:evenVBand="0" w:oddHBand="0" w:evenHBand="0" w:firstRowFirstColumn="0" w:firstRowLastColumn="0" w:lastRowFirstColumn="0" w:lastRowLastColumn="0"/>
            <w:tcW w:w="907" w:type="dxa"/>
            <w:vMerge w:val="restart"/>
          </w:tcPr>
          <w:p w:rsidR="005E3226" w:rsidRPr="00092971" w:rsidRDefault="005E3226" w:rsidP="005E3226">
            <w:pPr>
              <w:rPr>
                <w:color w:val="FFFFFF"/>
              </w:rPr>
            </w:pPr>
            <w:r w:rsidRPr="00092971">
              <w:rPr>
                <w:color w:val="FFFFFF"/>
              </w:rPr>
              <w:t>Impaired</w:t>
            </w:r>
          </w:p>
        </w:tc>
        <w:tc>
          <w:tcPr>
            <w:tcW w:w="907" w:type="dxa"/>
            <w:vMerge w:val="restart"/>
          </w:tcPr>
          <w:p w:rsidR="005E3226" w:rsidRPr="00092971" w:rsidRDefault="005E3226" w:rsidP="005E3226">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Total</w:t>
            </w:r>
          </w:p>
        </w:tc>
      </w:tr>
      <w:tr w:rsidR="005E3226" w:rsidRPr="00092971" w:rsidTr="005E3226">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3148" w:type="dxa"/>
            <w:vMerge/>
            <w:tcBorders>
              <w:bottom w:val="single" w:sz="12" w:space="0" w:color="auto"/>
            </w:tcBorders>
          </w:tcPr>
          <w:p w:rsidR="005E3226" w:rsidRPr="00092971" w:rsidRDefault="005E3226" w:rsidP="00044843">
            <w:pPr>
              <w:ind w:left="0"/>
              <w:rPr>
                <w:color w:val="FFFFFF"/>
              </w:rPr>
            </w:pPr>
          </w:p>
        </w:tc>
        <w:tc>
          <w:tcPr>
            <w:cnfStyle w:val="000010000000" w:firstRow="0" w:lastRow="0" w:firstColumn="0" w:lastColumn="0" w:oddVBand="1" w:evenVBand="0" w:oddHBand="0" w:evenHBand="0" w:firstRowFirstColumn="0" w:firstRowLastColumn="0" w:lastRowFirstColumn="0" w:lastRowLastColumn="0"/>
            <w:tcW w:w="1048" w:type="dxa"/>
            <w:vMerge/>
            <w:tcBorders>
              <w:bottom w:val="single" w:sz="12" w:space="0" w:color="auto"/>
            </w:tcBorders>
          </w:tcPr>
          <w:p w:rsidR="005E3226" w:rsidRPr="00092971" w:rsidRDefault="005E3226" w:rsidP="00044843">
            <w:pPr>
              <w:rPr>
                <w:color w:val="FFFFFF"/>
              </w:rPr>
            </w:pPr>
          </w:p>
        </w:tc>
        <w:tc>
          <w:tcPr>
            <w:tcW w:w="907" w:type="dxa"/>
            <w:tcBorders>
              <w:top w:val="single" w:sz="6" w:space="0" w:color="FFFFFF" w:themeColor="background1"/>
              <w:bottom w:val="single" w:sz="12" w:space="0" w:color="auto"/>
            </w:tcBorders>
          </w:tcPr>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Less than</w:t>
            </w:r>
          </w:p>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1 month</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FFFFFF" w:themeColor="background1"/>
              <w:bottom w:val="single" w:sz="12" w:space="0" w:color="auto"/>
            </w:tcBorders>
          </w:tcPr>
          <w:p w:rsidR="005E3226" w:rsidRPr="00092971" w:rsidRDefault="005E3226" w:rsidP="00044843">
            <w:pPr>
              <w:rPr>
                <w:i w:val="0"/>
                <w:color w:val="FFFFFF"/>
              </w:rPr>
            </w:pPr>
            <w:r w:rsidRPr="00092971">
              <w:rPr>
                <w:color w:val="FFFFFF"/>
              </w:rPr>
              <w:t xml:space="preserve">1-3 </w:t>
            </w:r>
          </w:p>
          <w:p w:rsidR="005E3226" w:rsidRPr="00092971" w:rsidRDefault="005E3226" w:rsidP="00044843">
            <w:pPr>
              <w:rPr>
                <w:color w:val="FFFFFF"/>
              </w:rPr>
            </w:pPr>
            <w:r w:rsidRPr="00092971">
              <w:rPr>
                <w:color w:val="FFFFFF"/>
              </w:rPr>
              <w:t>months</w:t>
            </w:r>
          </w:p>
        </w:tc>
        <w:tc>
          <w:tcPr>
            <w:tcW w:w="907" w:type="dxa"/>
            <w:tcBorders>
              <w:top w:val="single" w:sz="6" w:space="0" w:color="FFFFFF" w:themeColor="background1"/>
              <w:bottom w:val="single" w:sz="12" w:space="0" w:color="auto"/>
            </w:tcBorders>
          </w:tcPr>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3 months-</w:t>
            </w:r>
          </w:p>
          <w:p w:rsidR="005E3226" w:rsidRPr="00092971" w:rsidRDefault="005E3226"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1 year</w:t>
            </w:r>
          </w:p>
        </w:tc>
        <w:tc>
          <w:tcPr>
            <w:cnfStyle w:val="000010000000" w:firstRow="0" w:lastRow="0" w:firstColumn="0" w:lastColumn="0" w:oddVBand="1" w:evenVBand="0" w:oddHBand="0" w:evenHBand="0" w:firstRowFirstColumn="0" w:firstRowLastColumn="0" w:lastRowFirstColumn="0" w:lastRowLastColumn="0"/>
            <w:tcW w:w="912" w:type="dxa"/>
            <w:tcBorders>
              <w:top w:val="single" w:sz="6" w:space="0" w:color="FFFFFF" w:themeColor="background1"/>
              <w:bottom w:val="single" w:sz="12" w:space="0" w:color="auto"/>
            </w:tcBorders>
          </w:tcPr>
          <w:p w:rsidR="005E3226" w:rsidRPr="00092971" w:rsidRDefault="005E3226" w:rsidP="00044843">
            <w:pPr>
              <w:rPr>
                <w:i w:val="0"/>
                <w:color w:val="FFFFFF"/>
              </w:rPr>
            </w:pPr>
            <w:r w:rsidRPr="00092971">
              <w:rPr>
                <w:color w:val="FFFFFF"/>
              </w:rPr>
              <w:t>More than</w:t>
            </w:r>
          </w:p>
          <w:p w:rsidR="005E3226" w:rsidRPr="00092971" w:rsidRDefault="005E3226" w:rsidP="00044843">
            <w:pPr>
              <w:rPr>
                <w:color w:val="FFFFFF"/>
              </w:rPr>
            </w:pPr>
            <w:r w:rsidRPr="00092971">
              <w:rPr>
                <w:color w:val="FFFFFF"/>
              </w:rPr>
              <w:t>1 year</w:t>
            </w:r>
          </w:p>
        </w:tc>
        <w:tc>
          <w:tcPr>
            <w:tcW w:w="907" w:type="dxa"/>
            <w:vMerge/>
            <w:tcBorders>
              <w:bottom w:val="single" w:sz="12" w:space="0" w:color="auto"/>
            </w:tcBorders>
          </w:tcPr>
          <w:p w:rsidR="005E3226" w:rsidRPr="00092971" w:rsidRDefault="005E3226" w:rsidP="005E3226">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907" w:type="dxa"/>
            <w:vMerge/>
            <w:tcBorders>
              <w:bottom w:val="single" w:sz="12" w:space="0" w:color="auto"/>
            </w:tcBorders>
          </w:tcPr>
          <w:p w:rsidR="005E3226" w:rsidRPr="00092971" w:rsidRDefault="005E3226" w:rsidP="005E3226">
            <w:pPr>
              <w:rPr>
                <w:color w:val="FFFFFF"/>
              </w:rPr>
            </w:pP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Pr>
          <w:p w:rsidR="005E3226" w:rsidRPr="00092971" w:rsidRDefault="005E3226" w:rsidP="00044843">
            <w:pPr>
              <w:ind w:left="0" w:firstLine="0"/>
              <w:rPr>
                <w:color w:val="000000"/>
              </w:rPr>
            </w:pPr>
            <w:r w:rsidRPr="00092971">
              <w:rPr>
                <w:color w:val="000000"/>
              </w:rPr>
              <w:t>Sale of goods and services</w:t>
            </w:r>
          </w:p>
        </w:tc>
        <w:tc>
          <w:tcPr>
            <w:cnfStyle w:val="000010000000" w:firstRow="0" w:lastRow="0" w:firstColumn="0" w:lastColumn="0" w:oddVBand="1" w:evenVBand="0" w:oddHBand="0" w:evenHBand="0" w:firstRowFirstColumn="0" w:firstRowLastColumn="0" w:lastRowFirstColumn="0" w:lastRowLastColumn="0"/>
            <w:tcW w:w="1048" w:type="dxa"/>
          </w:tcPr>
          <w:p w:rsidR="005E3226" w:rsidRPr="00092971" w:rsidRDefault="005E3226" w:rsidP="00044843">
            <w:r w:rsidRPr="00092971">
              <w:rPr>
                <w:color w:val="000000"/>
              </w:rPr>
              <w:t>393</w:t>
            </w:r>
          </w:p>
        </w:tc>
        <w:tc>
          <w:tcPr>
            <w:tcW w:w="907" w:type="dxa"/>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75</w:t>
            </w:r>
          </w:p>
        </w:tc>
        <w:tc>
          <w:tcPr>
            <w:cnfStyle w:val="000010000000" w:firstRow="0" w:lastRow="0" w:firstColumn="0" w:lastColumn="0" w:oddVBand="1" w:evenVBand="0" w:oddHBand="0" w:evenHBand="0" w:firstRowFirstColumn="0" w:firstRowLastColumn="0" w:lastRowFirstColumn="0" w:lastRowLastColumn="0"/>
            <w:tcW w:w="907" w:type="dxa"/>
          </w:tcPr>
          <w:p w:rsidR="005E3226" w:rsidRPr="00092971" w:rsidRDefault="005E3226" w:rsidP="00044843">
            <w:r w:rsidRPr="00092971">
              <w:rPr>
                <w:color w:val="000000"/>
              </w:rPr>
              <w:t>106</w:t>
            </w:r>
          </w:p>
        </w:tc>
        <w:tc>
          <w:tcPr>
            <w:tcW w:w="907" w:type="dxa"/>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76</w:t>
            </w:r>
          </w:p>
        </w:tc>
        <w:tc>
          <w:tcPr>
            <w:cnfStyle w:val="000010000000" w:firstRow="0" w:lastRow="0" w:firstColumn="0" w:lastColumn="0" w:oddVBand="1" w:evenVBand="0" w:oddHBand="0" w:evenHBand="0" w:firstRowFirstColumn="0" w:firstRowLastColumn="0" w:lastRowFirstColumn="0" w:lastRowLastColumn="0"/>
            <w:tcW w:w="912" w:type="dxa"/>
          </w:tcPr>
          <w:p w:rsidR="005E3226" w:rsidRPr="00092971" w:rsidRDefault="005E3226" w:rsidP="00044843">
            <w:r w:rsidRPr="00092971">
              <w:rPr>
                <w:color w:val="000000"/>
              </w:rPr>
              <w:t>84</w:t>
            </w:r>
          </w:p>
        </w:tc>
        <w:tc>
          <w:tcPr>
            <w:tcW w:w="907" w:type="dxa"/>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907" w:type="dxa"/>
          </w:tcPr>
          <w:p w:rsidR="005E3226" w:rsidRPr="00092971" w:rsidRDefault="005E3226" w:rsidP="00044843">
            <w:r w:rsidRPr="00092971">
              <w:rPr>
                <w:color w:val="000000"/>
              </w:rPr>
              <w:t>739</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5E3226" w:rsidRPr="00092971" w:rsidRDefault="005E3226" w:rsidP="00044843">
            <w:pPr>
              <w:ind w:left="0" w:firstLine="0"/>
              <w:rPr>
                <w:color w:val="000000"/>
              </w:rPr>
            </w:pPr>
            <w:r w:rsidRPr="00092971">
              <w:rPr>
                <w:color w:val="000000"/>
              </w:rPr>
              <w:t>Accrued investment income</w:t>
            </w:r>
          </w:p>
        </w:tc>
        <w:tc>
          <w:tcPr>
            <w:cnfStyle w:val="000010000000" w:firstRow="0" w:lastRow="0" w:firstColumn="0" w:lastColumn="0" w:oddVBand="1" w:evenVBand="0" w:oddHBand="0" w:evenHBand="0" w:firstRowFirstColumn="0" w:firstRowLastColumn="0" w:lastRowFirstColumn="0" w:lastRowLastColumn="0"/>
            <w:tcW w:w="1048" w:type="dxa"/>
            <w:tcBorders>
              <w:bottom w:val="nil"/>
            </w:tcBorders>
          </w:tcPr>
          <w:p w:rsidR="005E3226" w:rsidRPr="00092971" w:rsidRDefault="005E3226" w:rsidP="00044843">
            <w:r w:rsidRPr="00092971">
              <w:rPr>
                <w:color w:val="000000"/>
              </w:rPr>
              <w:t>18</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2" w:type="dxa"/>
            <w:tcBorders>
              <w:bottom w:val="nil"/>
            </w:tcBorders>
          </w:tcPr>
          <w:p w:rsidR="005E3226" w:rsidRPr="00092971" w:rsidRDefault="005E3226" w:rsidP="00044843">
            <w:pPr>
              <w:rPr>
                <w:color w:val="000000"/>
              </w:rPr>
            </w:pPr>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r w:rsidRPr="00092971">
              <w:rPr>
                <w:color w:val="000000"/>
              </w:rPr>
              <w:t>18</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rsidR="005E3226" w:rsidRPr="00092971" w:rsidRDefault="005E3226" w:rsidP="00044843">
            <w:pPr>
              <w:ind w:left="0" w:firstLine="0"/>
              <w:rPr>
                <w:color w:val="000000"/>
              </w:rPr>
            </w:pPr>
            <w:r w:rsidRPr="00092971">
              <w:rPr>
                <w:color w:val="000000"/>
              </w:rPr>
              <w:t>Other receivables</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6" w:space="0" w:color="auto"/>
            </w:tcBorders>
          </w:tcPr>
          <w:p w:rsidR="005E3226" w:rsidRPr="00092971" w:rsidRDefault="005E3226" w:rsidP="00044843">
            <w:r w:rsidRPr="00092971">
              <w:rPr>
                <w:color w:val="000000"/>
              </w:rPr>
              <w:t>873</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27</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r w:rsidRPr="00092971">
              <w:rPr>
                <w:color w:val="000000"/>
              </w:rPr>
              <w:t>20</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99</w:t>
            </w:r>
          </w:p>
        </w:tc>
        <w:tc>
          <w:tcPr>
            <w:cnfStyle w:val="000010000000" w:firstRow="0" w:lastRow="0" w:firstColumn="0" w:lastColumn="0" w:oddVBand="1" w:evenVBand="0" w:oddHBand="0" w:evenHBand="0" w:firstRowFirstColumn="0" w:firstRowLastColumn="0" w:lastRowFirstColumn="0" w:lastRowLastColumn="0"/>
            <w:tcW w:w="912" w:type="dxa"/>
            <w:tcBorders>
              <w:bottom w:val="single" w:sz="6" w:space="0" w:color="auto"/>
            </w:tcBorders>
          </w:tcPr>
          <w:p w:rsidR="005E3226" w:rsidRPr="00092971" w:rsidRDefault="005E3226" w:rsidP="00044843">
            <w:r w:rsidRPr="00092971">
              <w:rPr>
                <w:color w:val="000000"/>
              </w:rPr>
              <w:t>2</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pPr>
              <w:rPr>
                <w:color w:val="000000"/>
              </w:rPr>
            </w:pPr>
            <w:r w:rsidRPr="00092971">
              <w:rPr>
                <w:color w:val="000000"/>
              </w:rPr>
              <w:t>1 021</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rsidR="005E3226" w:rsidRPr="00092971" w:rsidRDefault="005E3226" w:rsidP="00044843">
            <w:pPr>
              <w:ind w:left="0" w:firstLine="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1 284</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102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r w:rsidRPr="00092971">
              <w:rPr>
                <w:b/>
                <w:color w:val="000000"/>
              </w:rPr>
              <w:t>126</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175</w:t>
            </w:r>
          </w:p>
        </w:tc>
        <w:tc>
          <w:tcPr>
            <w:cnfStyle w:val="000010000000" w:firstRow="0" w:lastRow="0" w:firstColumn="0" w:lastColumn="0" w:oddVBand="1" w:evenVBand="0" w:oddHBand="0" w:evenHBand="0" w:firstRowFirstColumn="0" w:firstRowLastColumn="0" w:lastRowFirstColumn="0" w:lastRowLastColumn="0"/>
            <w:tcW w:w="912" w:type="dxa"/>
            <w:tcBorders>
              <w:top w:val="single" w:sz="6" w:space="0" w:color="auto"/>
              <w:bottom w:val="single" w:sz="12" w:space="0" w:color="auto"/>
            </w:tcBorders>
          </w:tcPr>
          <w:p w:rsidR="005E3226" w:rsidRPr="00092971" w:rsidRDefault="005E3226" w:rsidP="00044843">
            <w:r w:rsidRPr="00092971">
              <w:rPr>
                <w:b/>
                <w:color w:val="000000"/>
              </w:rPr>
              <w:t>86</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1 778</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12" w:space="0" w:color="auto"/>
              <w:bottom w:val="single" w:sz="6" w:space="0" w:color="auto"/>
            </w:tcBorders>
            <w:shd w:val="clear" w:color="auto" w:fill="000000" w:themeFill="text1"/>
          </w:tcPr>
          <w:p w:rsidR="005E3226" w:rsidRPr="00092971" w:rsidRDefault="005E3226" w:rsidP="00044843">
            <w:pPr>
              <w:ind w:left="0" w:firstLine="0"/>
              <w:rPr>
                <w:color w:val="FFFFFF"/>
              </w:rPr>
            </w:pPr>
            <w:r w:rsidRPr="00092971">
              <w:rPr>
                <w:i/>
                <w:color w:val="FFFFFF"/>
              </w:rPr>
              <w:t>2015</w:t>
            </w:r>
          </w:p>
        </w:tc>
        <w:tc>
          <w:tcPr>
            <w:cnfStyle w:val="000010000000" w:firstRow="0" w:lastRow="0" w:firstColumn="0" w:lastColumn="0" w:oddVBand="1" w:evenVBand="0" w:oddHBand="0" w:evenHBand="0" w:firstRowFirstColumn="0" w:firstRowLastColumn="0" w:lastRowFirstColumn="0" w:lastRowLastColumn="0"/>
            <w:tcW w:w="1048"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c>
          <w:tcPr>
            <w:tcW w:w="907" w:type="dxa"/>
            <w:tcBorders>
              <w:top w:val="single" w:sz="12" w:space="0" w:color="auto"/>
              <w:bottom w:val="single" w:sz="6" w:space="0" w:color="auto"/>
            </w:tcBorders>
            <w:shd w:val="clear" w:color="auto" w:fill="000000" w:themeFill="text1"/>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c>
          <w:tcPr>
            <w:tcW w:w="907" w:type="dxa"/>
            <w:tcBorders>
              <w:top w:val="single" w:sz="12" w:space="0" w:color="auto"/>
              <w:bottom w:val="single" w:sz="6" w:space="0" w:color="auto"/>
            </w:tcBorders>
            <w:shd w:val="clear" w:color="auto" w:fill="000000" w:themeFill="text1"/>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2"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c>
          <w:tcPr>
            <w:tcW w:w="907" w:type="dxa"/>
            <w:tcBorders>
              <w:top w:val="single" w:sz="12" w:space="0" w:color="auto"/>
              <w:bottom w:val="single" w:sz="6" w:space="0" w:color="auto"/>
            </w:tcBorders>
            <w:shd w:val="clear" w:color="auto" w:fill="000000" w:themeFill="text1"/>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bottom w:val="single" w:sz="6" w:space="0" w:color="auto"/>
            </w:tcBorders>
            <w:shd w:val="clear" w:color="auto" w:fill="000000" w:themeFill="text1"/>
          </w:tcPr>
          <w:p w:rsidR="005E3226" w:rsidRPr="00092971" w:rsidRDefault="005E3226" w:rsidP="00044843">
            <w:pPr>
              <w:rPr>
                <w:color w:val="000000"/>
              </w:rPr>
            </w:pPr>
            <w:r w:rsidRPr="00092971">
              <w:rPr>
                <w:color w:val="000000"/>
              </w:rPr>
              <w:t xml:space="preserve"> </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tcBorders>
          </w:tcPr>
          <w:p w:rsidR="005E3226" w:rsidRPr="00092971" w:rsidRDefault="005E3226" w:rsidP="00044843">
            <w:pPr>
              <w:ind w:left="0" w:firstLine="0"/>
              <w:rPr>
                <w:color w:val="000000"/>
              </w:rPr>
            </w:pPr>
            <w:r w:rsidRPr="00092971">
              <w:rPr>
                <w:color w:val="000000"/>
              </w:rPr>
              <w:t>Sale of goods and services</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tcBorders>
          </w:tcPr>
          <w:p w:rsidR="005E3226" w:rsidRPr="00092971" w:rsidRDefault="005E3226" w:rsidP="00044843">
            <w:r w:rsidRPr="00092971">
              <w:rPr>
                <w:color w:val="000000"/>
              </w:rPr>
              <w:t>373</w:t>
            </w:r>
          </w:p>
        </w:tc>
        <w:tc>
          <w:tcPr>
            <w:tcW w:w="907" w:type="dxa"/>
            <w:tcBorders>
              <w:top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5E3226" w:rsidRPr="00092971" w:rsidRDefault="005E3226" w:rsidP="00044843">
            <w:r w:rsidRPr="00092971">
              <w:rPr>
                <w:color w:val="000000"/>
              </w:rPr>
              <w:t>48</w:t>
            </w:r>
          </w:p>
        </w:tc>
        <w:tc>
          <w:tcPr>
            <w:tcW w:w="907" w:type="dxa"/>
            <w:tcBorders>
              <w:top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92</w:t>
            </w:r>
          </w:p>
        </w:tc>
        <w:tc>
          <w:tcPr>
            <w:cnfStyle w:val="000010000000" w:firstRow="0" w:lastRow="0" w:firstColumn="0" w:lastColumn="0" w:oddVBand="1" w:evenVBand="0" w:oddHBand="0" w:evenHBand="0" w:firstRowFirstColumn="0" w:firstRowLastColumn="0" w:lastRowFirstColumn="0" w:lastRowLastColumn="0"/>
            <w:tcW w:w="912" w:type="dxa"/>
            <w:tcBorders>
              <w:top w:val="single" w:sz="6" w:space="0" w:color="auto"/>
            </w:tcBorders>
          </w:tcPr>
          <w:p w:rsidR="005E3226" w:rsidRPr="00092971" w:rsidRDefault="005E3226" w:rsidP="00044843">
            <w:r w:rsidRPr="00092971">
              <w:rPr>
                <w:color w:val="000000"/>
              </w:rPr>
              <w:t>69</w:t>
            </w:r>
          </w:p>
        </w:tc>
        <w:tc>
          <w:tcPr>
            <w:tcW w:w="907" w:type="dxa"/>
            <w:tcBorders>
              <w:top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5E3226" w:rsidRPr="00092971" w:rsidRDefault="005E3226" w:rsidP="00044843">
            <w:r w:rsidRPr="00092971">
              <w:rPr>
                <w:color w:val="000000"/>
              </w:rPr>
              <w:t>675</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nil"/>
            </w:tcBorders>
          </w:tcPr>
          <w:p w:rsidR="005E3226" w:rsidRPr="00092971" w:rsidRDefault="005E3226" w:rsidP="00044843">
            <w:pPr>
              <w:ind w:left="0" w:firstLine="0"/>
              <w:rPr>
                <w:color w:val="000000"/>
              </w:rPr>
            </w:pPr>
            <w:r w:rsidRPr="00092971">
              <w:rPr>
                <w:color w:val="000000"/>
              </w:rPr>
              <w:t>Accrued investment income</w:t>
            </w:r>
          </w:p>
        </w:tc>
        <w:tc>
          <w:tcPr>
            <w:cnfStyle w:val="000010000000" w:firstRow="0" w:lastRow="0" w:firstColumn="0" w:lastColumn="0" w:oddVBand="1" w:evenVBand="0" w:oddHBand="0" w:evenHBand="0" w:firstRowFirstColumn="0" w:firstRowLastColumn="0" w:lastRowFirstColumn="0" w:lastRowLastColumn="0"/>
            <w:tcW w:w="1048" w:type="dxa"/>
            <w:tcBorders>
              <w:bottom w:val="nil"/>
            </w:tcBorders>
          </w:tcPr>
          <w:p w:rsidR="005E3226" w:rsidRPr="00092971" w:rsidRDefault="005E3226" w:rsidP="00044843">
            <w:r w:rsidRPr="00092971">
              <w:rPr>
                <w:color w:val="000000"/>
              </w:rPr>
              <w:t>13</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pPr>
              <w:rPr>
                <w:color w:val="000000"/>
              </w:rPr>
            </w:pPr>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2" w:type="dxa"/>
            <w:tcBorders>
              <w:bottom w:val="nil"/>
            </w:tcBorders>
          </w:tcPr>
          <w:p w:rsidR="005E3226" w:rsidRPr="00092971" w:rsidRDefault="005E3226" w:rsidP="00044843">
            <w:pPr>
              <w:rPr>
                <w:color w:val="000000"/>
              </w:rPr>
            </w:pPr>
            <w:r w:rsidRPr="00092971">
              <w:rPr>
                <w:color w:val="000000"/>
              </w:rPr>
              <w:t>..</w:t>
            </w:r>
          </w:p>
        </w:tc>
        <w:tc>
          <w:tcPr>
            <w:tcW w:w="907" w:type="dxa"/>
            <w:tcBorders>
              <w:bottom w:val="nil"/>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5E3226" w:rsidRPr="00092971" w:rsidRDefault="005E3226" w:rsidP="00044843">
            <w:r w:rsidRPr="00092971">
              <w:rPr>
                <w:color w:val="000000"/>
              </w:rPr>
              <w:t>17</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rsidR="005E3226" w:rsidRPr="00092971" w:rsidRDefault="005E3226" w:rsidP="00044843">
            <w:pPr>
              <w:ind w:left="0" w:firstLine="0"/>
              <w:rPr>
                <w:color w:val="000000"/>
              </w:rPr>
            </w:pPr>
            <w:r w:rsidRPr="00092971">
              <w:rPr>
                <w:color w:val="000000"/>
              </w:rPr>
              <w:t>Other receivables</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6" w:space="0" w:color="auto"/>
            </w:tcBorders>
          </w:tcPr>
          <w:p w:rsidR="005E3226" w:rsidRPr="00092971" w:rsidRDefault="005E3226" w:rsidP="00044843">
            <w:pPr>
              <w:rPr>
                <w:color w:val="000000"/>
              </w:rPr>
            </w:pPr>
            <w:r w:rsidRPr="00092971">
              <w:rPr>
                <w:color w:val="000000"/>
              </w:rPr>
              <w:t>1 086</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r w:rsidRPr="00092971">
              <w:rPr>
                <w:color w:val="000000"/>
              </w:rPr>
              <w:t>29</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88</w:t>
            </w:r>
          </w:p>
        </w:tc>
        <w:tc>
          <w:tcPr>
            <w:cnfStyle w:val="000010000000" w:firstRow="0" w:lastRow="0" w:firstColumn="0" w:lastColumn="0" w:oddVBand="1" w:evenVBand="0" w:oddHBand="0" w:evenHBand="0" w:firstRowFirstColumn="0" w:firstRowLastColumn="0" w:lastRowFirstColumn="0" w:lastRowLastColumn="0"/>
            <w:tcW w:w="912" w:type="dxa"/>
            <w:tcBorders>
              <w:bottom w:val="single" w:sz="6" w:space="0" w:color="auto"/>
            </w:tcBorders>
          </w:tcPr>
          <w:p w:rsidR="005E3226" w:rsidRPr="00092971" w:rsidRDefault="005E3226" w:rsidP="00044843">
            <w:r w:rsidRPr="00092971">
              <w:rPr>
                <w:color w:val="000000"/>
              </w:rPr>
              <w:t>28</w:t>
            </w:r>
          </w:p>
        </w:tc>
        <w:tc>
          <w:tcPr>
            <w:tcW w:w="907" w:type="dxa"/>
            <w:tcBorders>
              <w:bottom w:val="single" w:sz="6"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5E3226" w:rsidRPr="00092971" w:rsidRDefault="005E3226" w:rsidP="00044843">
            <w:pPr>
              <w:rPr>
                <w:color w:val="000000"/>
              </w:rPr>
            </w:pPr>
            <w:r w:rsidRPr="00092971">
              <w:rPr>
                <w:color w:val="000000"/>
              </w:rPr>
              <w:t>1 262</w:t>
            </w:r>
          </w:p>
        </w:tc>
      </w:tr>
      <w:tr w:rsidR="005E3226" w:rsidRPr="00092971" w:rsidTr="005E3226">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rsidR="005E3226" w:rsidRPr="00092971" w:rsidRDefault="005E3226" w:rsidP="00044843">
            <w:pPr>
              <w:ind w:left="0" w:firstLine="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1 472</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123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r w:rsidRPr="00092971">
              <w:rPr>
                <w:b/>
                <w:color w:val="000000"/>
              </w:rPr>
              <w:t>77</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180</w:t>
            </w:r>
          </w:p>
        </w:tc>
        <w:tc>
          <w:tcPr>
            <w:cnfStyle w:val="000010000000" w:firstRow="0" w:lastRow="0" w:firstColumn="0" w:lastColumn="0" w:oddVBand="1" w:evenVBand="0" w:oddHBand="0" w:evenHBand="0" w:firstRowFirstColumn="0" w:firstRowLastColumn="0" w:lastRowFirstColumn="0" w:lastRowLastColumn="0"/>
            <w:tcW w:w="912" w:type="dxa"/>
            <w:tcBorders>
              <w:top w:val="single" w:sz="6" w:space="0" w:color="auto"/>
              <w:bottom w:val="single" w:sz="12" w:space="0" w:color="auto"/>
            </w:tcBorders>
          </w:tcPr>
          <w:p w:rsidR="005E3226" w:rsidRPr="00092971" w:rsidRDefault="005E3226" w:rsidP="00044843">
            <w:r w:rsidRPr="00092971">
              <w:rPr>
                <w:b/>
                <w:color w:val="000000"/>
              </w:rPr>
              <w:t>98</w:t>
            </w:r>
          </w:p>
        </w:tc>
        <w:tc>
          <w:tcPr>
            <w:tcW w:w="907" w:type="dxa"/>
            <w:tcBorders>
              <w:top w:val="single" w:sz="6" w:space="0" w:color="auto"/>
              <w:bottom w:val="single" w:sz="12" w:space="0" w:color="auto"/>
            </w:tcBorders>
          </w:tcPr>
          <w:p w:rsidR="005E3226" w:rsidRPr="00092971" w:rsidRDefault="005E3226"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5E3226" w:rsidRPr="00092971" w:rsidRDefault="005E3226" w:rsidP="00044843">
            <w:pPr>
              <w:rPr>
                <w:color w:val="000000"/>
              </w:rPr>
            </w:pPr>
            <w:r w:rsidRPr="00092971">
              <w:rPr>
                <w:b/>
                <w:color w:val="000000"/>
              </w:rPr>
              <w:t>1 953</w:t>
            </w:r>
          </w:p>
        </w:tc>
      </w:tr>
    </w:tbl>
    <w:p w:rsidR="00DF17E9" w:rsidRPr="00235322" w:rsidRDefault="00DF17E9" w:rsidP="00044843"/>
    <w:p w:rsidR="00DF17E9" w:rsidRPr="00092971" w:rsidRDefault="00DF17E9" w:rsidP="00044843">
      <w:pPr>
        <w:pStyle w:val="Subheading"/>
        <w:rPr>
          <w:rStyle w:val="TableUnitsChar"/>
          <w:bCs/>
          <w:lang w:val="en-US"/>
        </w:rPr>
      </w:pPr>
      <w:r w:rsidRPr="004C42D0">
        <w:t>Movement in provision for doubtful contractual receivables</w:t>
      </w:r>
      <w:r>
        <w:tab/>
      </w:r>
      <w:r w:rsidRPr="00BD3BEA">
        <w:rPr>
          <w:rStyle w:val="TableUnitsChar"/>
        </w:rPr>
        <w:t>($ million)</w:t>
      </w: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5E3226" w:rsidRPr="00092971" w:rsidRDefault="005E3226"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5E3226" w:rsidRPr="00092971" w:rsidRDefault="005E3226" w:rsidP="005E3226">
            <w:pPr>
              <w:jc w:val="center"/>
              <w:rPr>
                <w:color w:val="FFFFFF"/>
              </w:rPr>
            </w:pPr>
            <w:r w:rsidRPr="00092971">
              <w:rPr>
                <w:color w:val="FFFFFF"/>
              </w:rPr>
              <w:t xml:space="preserve"> State of Victoria</w:t>
            </w:r>
          </w:p>
        </w:tc>
        <w:tc>
          <w:tcPr>
            <w:tcW w:w="1814" w:type="dxa"/>
            <w:gridSpan w:val="2"/>
          </w:tcPr>
          <w:p w:rsidR="005E3226" w:rsidRPr="0009297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General </w:t>
            </w:r>
          </w:p>
          <w:p w:rsidR="005E3226" w:rsidRPr="00092971" w:rsidRDefault="005E3226"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Opening balance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(136)</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(69)</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Reversal of unused provision recognised in the net results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5</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6</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092971" w:rsidRDefault="00DF17E9" w:rsidP="00044843">
            <w:pPr>
              <w:ind w:left="0" w:firstLine="0"/>
              <w:rPr>
                <w:color w:val="000000"/>
              </w:rPr>
            </w:pPr>
            <w:r w:rsidRPr="00092971">
              <w:rPr>
                <w:color w:val="000000"/>
              </w:rPr>
              <w:t>Increase in provision recognised in the net results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r w:rsidRPr="00092971">
              <w:rPr>
                <w:color w:val="000000"/>
              </w:rPr>
              <w:t>(66)</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r w:rsidRPr="00092971">
              <w:rPr>
                <w:color w:val="000000"/>
              </w:rPr>
              <w:t>(57)</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092971" w:rsidRDefault="00DF17E9" w:rsidP="00044843">
            <w:pPr>
              <w:ind w:left="0" w:firstLine="0"/>
              <w:rPr>
                <w:color w:val="000000"/>
              </w:rPr>
            </w:pPr>
            <w:r w:rsidRPr="00092971">
              <w:rPr>
                <w:color w:val="000000"/>
              </w:rPr>
              <w:t>Reversal of provision of receivables written off during the year as uncollectible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r w:rsidRPr="00092971">
              <w:rPr>
                <w:color w:val="000000"/>
              </w:rPr>
              <w:t>40</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r w:rsidRPr="00092971">
              <w:rPr>
                <w:color w:val="000000"/>
              </w:rPr>
              <w:t>30</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r w:rsidRPr="00092971">
              <w:rPr>
                <w:b/>
                <w:color w:val="000000"/>
              </w:rPr>
              <w:t>(157)</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(136)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r w:rsidRPr="00092971">
              <w:rPr>
                <w:b/>
                <w:color w:val="000000"/>
              </w:rPr>
              <w:t>(90)</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(69)</w:t>
            </w:r>
          </w:p>
        </w:tc>
      </w:tr>
    </w:tbl>
    <w:p w:rsidR="00DF17E9" w:rsidRDefault="00DF17E9" w:rsidP="00044843">
      <w:pPr>
        <w:rPr>
          <w:rStyle w:val="TableUnitsChar"/>
        </w:rPr>
      </w:pPr>
    </w:p>
    <w:p w:rsidR="00DF17E9" w:rsidRPr="007501F9" w:rsidRDefault="00DF17E9" w:rsidP="0042008E">
      <w:pPr>
        <w:rPr>
          <w:rFonts w:asciiTheme="majorHAnsi" w:hAnsiTheme="majorHAnsi"/>
          <w:spacing w:val="4"/>
          <w:sz w:val="17"/>
        </w:rPr>
      </w:pPr>
      <w:r>
        <w:rPr>
          <w:rFonts w:asciiTheme="majorHAnsi" w:hAnsiTheme="majorHAnsi"/>
          <w:spacing w:val="4"/>
          <w:sz w:val="17"/>
        </w:rPr>
        <w:br w:type="page"/>
      </w:r>
    </w:p>
    <w:p w:rsidR="00DF17E9" w:rsidRPr="00092971" w:rsidRDefault="00DF17E9" w:rsidP="00044843">
      <w:pPr>
        <w:pStyle w:val="Heading2"/>
        <w:rPr>
          <w:bCs/>
          <w:lang w:val="en-US"/>
        </w:rPr>
      </w:pPr>
      <w:bookmarkStart w:id="56" w:name="_Toc459976571"/>
      <w:r w:rsidRPr="00FD2984">
        <w:lastRenderedPageBreak/>
        <w:t>Payables</w:t>
      </w:r>
      <w:r>
        <w:tab/>
      </w:r>
      <w:r w:rsidRPr="006A1F6F">
        <w:rPr>
          <w:rStyle w:val="TableUnitsChar"/>
        </w:rPr>
        <w:t>($ million)</w:t>
      </w:r>
      <w:bookmarkEnd w:id="56"/>
    </w:p>
    <w:tbl>
      <w:tblPr>
        <w:tblStyle w:val="TableDTFGeneral"/>
        <w:tblW w:w="9660" w:type="dxa"/>
        <w:tblLayout w:type="fixed"/>
        <w:tblLook w:val="02A0" w:firstRow="1" w:lastRow="0" w:firstColumn="1" w:lastColumn="0" w:noHBand="1" w:noVBand="0"/>
      </w:tblPr>
      <w:tblGrid>
        <w:gridCol w:w="5983"/>
        <w:gridCol w:w="919"/>
        <w:gridCol w:w="919"/>
        <w:gridCol w:w="919"/>
        <w:gridCol w:w="920"/>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5E3226" w:rsidRPr="00092971" w:rsidRDefault="005E3226"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38" w:type="dxa"/>
            <w:gridSpan w:val="2"/>
          </w:tcPr>
          <w:p w:rsidR="005E3226" w:rsidRPr="00092971" w:rsidRDefault="005E3226" w:rsidP="005E3226">
            <w:pPr>
              <w:jc w:val="center"/>
              <w:rPr>
                <w:color w:val="FFFFFF"/>
              </w:rPr>
            </w:pPr>
            <w:r w:rsidRPr="00092971">
              <w:rPr>
                <w:color w:val="FFFFFF"/>
              </w:rPr>
              <w:t>State of Victoria</w:t>
            </w:r>
          </w:p>
        </w:tc>
        <w:tc>
          <w:tcPr>
            <w:tcW w:w="1839" w:type="dxa"/>
            <w:gridSpan w:val="2"/>
          </w:tcPr>
          <w:p w:rsidR="005E3226" w:rsidRPr="00092971" w:rsidRDefault="005E3226" w:rsidP="005E3226">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sidRPr="00092971">
              <w:rPr>
                <w:color w:val="FFFFFF"/>
              </w:rPr>
              <w:b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FFFFFF"/>
              </w:rPr>
            </w:pPr>
            <w:r w:rsidRPr="00092971">
              <w:rPr>
                <w:color w:val="FFFFFF"/>
              </w:rPr>
              <w:t>2016</w:t>
            </w:r>
          </w:p>
        </w:tc>
        <w:tc>
          <w:tcPr>
            <w:tcW w:w="91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FFFFFF"/>
              </w:rPr>
            </w:pPr>
            <w:r w:rsidRPr="00092971">
              <w:rPr>
                <w:color w:val="FFFFFF"/>
              </w:rPr>
              <w:t>2016</w:t>
            </w:r>
          </w:p>
        </w:tc>
        <w:tc>
          <w:tcPr>
            <w:tcW w:w="920"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Contractual</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b/>
                <w:color w:val="000000"/>
              </w:rPr>
              <w:t xml:space="preserve"> </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b/>
                <w:color w:val="000000"/>
              </w:rPr>
              <w:t xml:space="preserve"> </w:t>
            </w:r>
          </w:p>
        </w:tc>
        <w:tc>
          <w:tcPr>
            <w:tcW w:w="92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Accounts payable</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color w:val="000000"/>
              </w:rPr>
              <w:t>2 166</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2 013</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color w:val="000000"/>
              </w:rPr>
              <w:t>1 290</w:t>
            </w:r>
          </w:p>
        </w:tc>
        <w:tc>
          <w:tcPr>
            <w:tcW w:w="92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1 158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Accrued expenses</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color w:val="000000"/>
              </w:rPr>
              <w:t>2 298</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2 258</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color w:val="000000"/>
              </w:rPr>
              <w:t>2 187</w:t>
            </w:r>
          </w:p>
        </w:tc>
        <w:tc>
          <w:tcPr>
            <w:tcW w:w="92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Unearned income</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color w:val="000000"/>
              </w:rPr>
              <w:t>3 368</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3 222</w:t>
            </w:r>
          </w:p>
        </w:tc>
        <w:tc>
          <w:tcPr>
            <w:cnfStyle w:val="000010000000" w:firstRow="0" w:lastRow="0" w:firstColumn="0" w:lastColumn="0" w:oddVBand="1" w:evenVBand="0" w:oddHBand="0" w:evenHBand="0" w:firstRowFirstColumn="0" w:firstRowLastColumn="0" w:lastRowFirstColumn="0" w:lastRowLastColumn="0"/>
            <w:tcW w:w="919" w:type="dxa"/>
          </w:tcPr>
          <w:p w:rsidR="00DF17E9" w:rsidRPr="00092971" w:rsidRDefault="00DF17E9" w:rsidP="00044843">
            <w:pPr>
              <w:rPr>
                <w:color w:val="000000"/>
              </w:rPr>
            </w:pPr>
            <w:r w:rsidRPr="00092971">
              <w:rPr>
                <w:color w:val="000000"/>
              </w:rPr>
              <w:t>2 258</w:t>
            </w:r>
          </w:p>
        </w:tc>
        <w:tc>
          <w:tcPr>
            <w:tcW w:w="92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2 332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b/>
                <w:color w:val="000000"/>
              </w:rPr>
              <w:t>Statutory</w:t>
            </w:r>
          </w:p>
        </w:tc>
        <w:tc>
          <w:tcPr>
            <w:cnfStyle w:val="000010000000" w:firstRow="0" w:lastRow="0" w:firstColumn="0" w:lastColumn="0" w:oddVBand="1" w:evenVBand="0" w:oddHBand="0" w:evenHBand="0" w:firstRowFirstColumn="0" w:firstRowLastColumn="0" w:lastRowFirstColumn="0" w:lastRowLastColumn="0"/>
            <w:tcW w:w="919" w:type="dxa"/>
            <w:tcBorders>
              <w:bottom w:val="nil"/>
            </w:tcBorders>
          </w:tcPr>
          <w:p w:rsidR="00DF17E9" w:rsidRPr="00092971" w:rsidRDefault="00DF17E9" w:rsidP="00044843">
            <w:pPr>
              <w:rPr>
                <w:color w:val="000000"/>
              </w:rPr>
            </w:pPr>
            <w:r w:rsidRPr="00092971">
              <w:rPr>
                <w:b/>
                <w:color w:val="000000"/>
              </w:rPr>
              <w:t xml:space="preserve"> </w:t>
            </w:r>
          </w:p>
        </w:tc>
        <w:tc>
          <w:tcPr>
            <w:tcW w:w="91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9" w:type="dxa"/>
            <w:tcBorders>
              <w:bottom w:val="nil"/>
            </w:tcBorders>
          </w:tcPr>
          <w:p w:rsidR="00DF17E9" w:rsidRPr="00092971" w:rsidRDefault="00DF17E9" w:rsidP="00044843">
            <w:pPr>
              <w:rPr>
                <w:color w:val="000000"/>
              </w:rPr>
            </w:pPr>
            <w:r w:rsidRPr="00092971">
              <w:rPr>
                <w:b/>
                <w:color w:val="000000"/>
              </w:rPr>
              <w:t xml:space="preserve"> </w:t>
            </w:r>
          </w:p>
        </w:tc>
        <w:tc>
          <w:tcPr>
            <w:tcW w:w="92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Accrued taxes payable</w:t>
            </w:r>
          </w:p>
        </w:tc>
        <w:tc>
          <w:tcPr>
            <w:cnfStyle w:val="000010000000" w:firstRow="0" w:lastRow="0" w:firstColumn="0" w:lastColumn="0" w:oddVBand="1" w:evenVBand="0" w:oddHBand="0" w:evenHBand="0" w:firstRowFirstColumn="0" w:firstRowLastColumn="0" w:lastRowFirstColumn="0" w:lastRowLastColumn="0"/>
            <w:tcW w:w="919" w:type="dxa"/>
            <w:tcBorders>
              <w:bottom w:val="single" w:sz="6" w:space="0" w:color="auto"/>
            </w:tcBorders>
          </w:tcPr>
          <w:p w:rsidR="00DF17E9" w:rsidRPr="00092971" w:rsidRDefault="00DF17E9" w:rsidP="00044843">
            <w:r w:rsidRPr="00092971">
              <w:rPr>
                <w:color w:val="000000"/>
              </w:rPr>
              <w:t>105</w:t>
            </w:r>
          </w:p>
        </w:tc>
        <w:tc>
          <w:tcPr>
            <w:tcW w:w="91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98</w:t>
            </w:r>
          </w:p>
        </w:tc>
        <w:tc>
          <w:tcPr>
            <w:cnfStyle w:val="000010000000" w:firstRow="0" w:lastRow="0" w:firstColumn="0" w:lastColumn="0" w:oddVBand="1" w:evenVBand="0" w:oddHBand="0" w:evenHBand="0" w:firstRowFirstColumn="0" w:firstRowLastColumn="0" w:lastRowFirstColumn="0" w:lastRowLastColumn="0"/>
            <w:tcW w:w="919" w:type="dxa"/>
            <w:tcBorders>
              <w:bottom w:val="single" w:sz="6" w:space="0" w:color="auto"/>
            </w:tcBorders>
          </w:tcPr>
          <w:p w:rsidR="00DF17E9" w:rsidRPr="00092971" w:rsidRDefault="00DF17E9" w:rsidP="00044843">
            <w:r w:rsidRPr="00092971">
              <w:rPr>
                <w:color w:val="000000"/>
              </w:rPr>
              <w:t>38</w:t>
            </w:r>
          </w:p>
        </w:tc>
        <w:tc>
          <w:tcPr>
            <w:tcW w:w="92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payables</w:t>
            </w:r>
          </w:p>
        </w:tc>
        <w:tc>
          <w:tcPr>
            <w:cnfStyle w:val="000010000000" w:firstRow="0" w:lastRow="0" w:firstColumn="0" w:lastColumn="0" w:oddVBand="1" w:evenVBand="0" w:oddHBand="0" w:evenHBand="0" w:firstRowFirstColumn="0" w:firstRowLastColumn="0" w:lastRowFirstColumn="0" w:lastRowLastColumn="0"/>
            <w:tcW w:w="91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7 937</w:t>
            </w:r>
          </w:p>
        </w:tc>
        <w:tc>
          <w:tcPr>
            <w:tcW w:w="91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7 591</w:t>
            </w:r>
          </w:p>
        </w:tc>
        <w:tc>
          <w:tcPr>
            <w:cnfStyle w:val="000010000000" w:firstRow="0" w:lastRow="0" w:firstColumn="0" w:lastColumn="0" w:oddVBand="1" w:evenVBand="0" w:oddHBand="0" w:evenHBand="0" w:firstRowFirstColumn="0" w:firstRowLastColumn="0" w:lastRowFirstColumn="0" w:lastRowLastColumn="0"/>
            <w:tcW w:w="91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5 773</w:t>
            </w:r>
          </w:p>
        </w:tc>
        <w:tc>
          <w:tcPr>
            <w:tcW w:w="920"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5 704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12" w:space="0" w:color="auto"/>
            </w:tcBorders>
          </w:tcPr>
          <w:p w:rsidR="00DF17E9" w:rsidRPr="00092971" w:rsidRDefault="00DF17E9" w:rsidP="00044843">
            <w:pPr>
              <w:ind w:left="0" w:firstLine="0"/>
              <w:rPr>
                <w:color w:val="000000"/>
              </w:rPr>
            </w:pPr>
            <w:r w:rsidRPr="00092971">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919" w:type="dxa"/>
            <w:tcBorders>
              <w:top w:val="single" w:sz="12" w:space="0" w:color="auto"/>
            </w:tcBorders>
          </w:tcPr>
          <w:p w:rsidR="00DF17E9" w:rsidRPr="00092971" w:rsidRDefault="00DF17E9" w:rsidP="00044843">
            <w:pPr>
              <w:rPr>
                <w:color w:val="000000"/>
              </w:rPr>
            </w:pPr>
            <w:r w:rsidRPr="00092971">
              <w:rPr>
                <w:b/>
                <w:color w:val="000000"/>
              </w:rPr>
              <w:t xml:space="preserve"> </w:t>
            </w:r>
          </w:p>
        </w:tc>
        <w:tc>
          <w:tcPr>
            <w:tcW w:w="919" w:type="dxa"/>
            <w:tcBorders>
              <w:top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9" w:type="dxa"/>
            <w:tcBorders>
              <w:top w:val="single" w:sz="12" w:space="0" w:color="auto"/>
            </w:tcBorders>
          </w:tcPr>
          <w:p w:rsidR="00DF17E9" w:rsidRPr="00092971" w:rsidRDefault="00DF17E9" w:rsidP="00044843">
            <w:pPr>
              <w:rPr>
                <w:color w:val="000000"/>
              </w:rPr>
            </w:pPr>
            <w:r w:rsidRPr="00092971">
              <w:rPr>
                <w:b/>
                <w:color w:val="000000"/>
              </w:rPr>
              <w:t xml:space="preserve"> </w:t>
            </w:r>
          </w:p>
        </w:tc>
        <w:tc>
          <w:tcPr>
            <w:tcW w:w="920" w:type="dxa"/>
            <w:tcBorders>
              <w:top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Current payables</w:t>
            </w:r>
          </w:p>
        </w:tc>
        <w:tc>
          <w:tcPr>
            <w:cnfStyle w:val="000010000000" w:firstRow="0" w:lastRow="0" w:firstColumn="0" w:lastColumn="0" w:oddVBand="1" w:evenVBand="0" w:oddHBand="0" w:evenHBand="0" w:firstRowFirstColumn="0" w:firstRowLastColumn="0" w:lastRowFirstColumn="0" w:lastRowLastColumn="0"/>
            <w:tcW w:w="919" w:type="dxa"/>
            <w:tcBorders>
              <w:bottom w:val="nil"/>
            </w:tcBorders>
          </w:tcPr>
          <w:p w:rsidR="00DF17E9" w:rsidRPr="00092971" w:rsidRDefault="00DF17E9" w:rsidP="00044843">
            <w:pPr>
              <w:rPr>
                <w:color w:val="000000"/>
              </w:rPr>
            </w:pPr>
            <w:r w:rsidRPr="00092971">
              <w:rPr>
                <w:color w:val="000000"/>
              </w:rPr>
              <w:t>6 084</w:t>
            </w:r>
          </w:p>
        </w:tc>
        <w:tc>
          <w:tcPr>
            <w:tcW w:w="91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5 587</w:t>
            </w:r>
          </w:p>
        </w:tc>
        <w:tc>
          <w:tcPr>
            <w:cnfStyle w:val="000010000000" w:firstRow="0" w:lastRow="0" w:firstColumn="0" w:lastColumn="0" w:oddVBand="1" w:evenVBand="0" w:oddHBand="0" w:evenHBand="0" w:firstRowFirstColumn="0" w:firstRowLastColumn="0" w:lastRowFirstColumn="0" w:lastRowLastColumn="0"/>
            <w:tcW w:w="919" w:type="dxa"/>
            <w:tcBorders>
              <w:bottom w:val="nil"/>
            </w:tcBorders>
          </w:tcPr>
          <w:p w:rsidR="00DF17E9" w:rsidRPr="00092971" w:rsidRDefault="00DF17E9" w:rsidP="00044843">
            <w:pPr>
              <w:rPr>
                <w:color w:val="000000"/>
              </w:rPr>
            </w:pPr>
            <w:r w:rsidRPr="00092971">
              <w:rPr>
                <w:color w:val="000000"/>
              </w:rPr>
              <w:t>4 053</w:t>
            </w:r>
          </w:p>
        </w:tc>
        <w:tc>
          <w:tcPr>
            <w:tcW w:w="92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3 776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12" w:space="0" w:color="auto"/>
            </w:tcBorders>
          </w:tcPr>
          <w:p w:rsidR="00DF17E9" w:rsidRPr="00092971" w:rsidRDefault="00DF17E9" w:rsidP="00044843">
            <w:pPr>
              <w:ind w:left="0" w:firstLine="0"/>
              <w:rPr>
                <w:color w:val="000000"/>
              </w:rPr>
            </w:pPr>
            <w:r w:rsidRPr="00092971">
              <w:rPr>
                <w:color w:val="000000"/>
              </w:rPr>
              <w:t>Non-current payables</w:t>
            </w:r>
          </w:p>
        </w:tc>
        <w:tc>
          <w:tcPr>
            <w:cnfStyle w:val="000010000000" w:firstRow="0" w:lastRow="0" w:firstColumn="0" w:lastColumn="0" w:oddVBand="1" w:evenVBand="0" w:oddHBand="0" w:evenHBand="0" w:firstRowFirstColumn="0" w:firstRowLastColumn="0" w:lastRowFirstColumn="0" w:lastRowLastColumn="0"/>
            <w:tcW w:w="919" w:type="dxa"/>
            <w:tcBorders>
              <w:bottom w:val="single" w:sz="12" w:space="0" w:color="auto"/>
            </w:tcBorders>
          </w:tcPr>
          <w:p w:rsidR="00DF17E9" w:rsidRPr="00092971" w:rsidRDefault="00DF17E9" w:rsidP="00044843">
            <w:pPr>
              <w:rPr>
                <w:color w:val="000000"/>
              </w:rPr>
            </w:pPr>
            <w:r w:rsidRPr="00092971">
              <w:rPr>
                <w:color w:val="000000"/>
              </w:rPr>
              <w:t>1 854</w:t>
            </w:r>
          </w:p>
        </w:tc>
        <w:tc>
          <w:tcPr>
            <w:tcW w:w="919"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2 004</w:t>
            </w:r>
          </w:p>
        </w:tc>
        <w:tc>
          <w:tcPr>
            <w:cnfStyle w:val="000010000000" w:firstRow="0" w:lastRow="0" w:firstColumn="0" w:lastColumn="0" w:oddVBand="1" w:evenVBand="0" w:oddHBand="0" w:evenHBand="0" w:firstRowFirstColumn="0" w:firstRowLastColumn="0" w:lastRowFirstColumn="0" w:lastRowLastColumn="0"/>
            <w:tcW w:w="919" w:type="dxa"/>
            <w:tcBorders>
              <w:bottom w:val="single" w:sz="12" w:space="0" w:color="auto"/>
            </w:tcBorders>
          </w:tcPr>
          <w:p w:rsidR="00DF17E9" w:rsidRPr="00092971" w:rsidRDefault="00DF17E9" w:rsidP="00044843">
            <w:pPr>
              <w:rPr>
                <w:color w:val="000000"/>
              </w:rPr>
            </w:pPr>
            <w:r w:rsidRPr="00092971">
              <w:rPr>
                <w:color w:val="000000"/>
              </w:rPr>
              <w:t>1 720</w:t>
            </w:r>
          </w:p>
        </w:tc>
        <w:tc>
          <w:tcPr>
            <w:tcW w:w="920"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1 928</w:t>
            </w:r>
          </w:p>
        </w:tc>
      </w:tr>
    </w:tbl>
    <w:p w:rsidR="00DF17E9" w:rsidRDefault="00DF17E9" w:rsidP="006A1F6F"/>
    <w:p w:rsidR="00DF17E9" w:rsidRDefault="00DF17E9" w:rsidP="006A1F6F">
      <w:pPr>
        <w:sectPr w:rsidR="00DF17E9" w:rsidSect="00044843">
          <w:headerReference w:type="even" r:id="rId178"/>
          <w:headerReference w:type="default" r:id="rId179"/>
          <w:type w:val="continuous"/>
          <w:pgSz w:w="11906" w:h="16838" w:code="9"/>
          <w:pgMar w:top="1134" w:right="1134" w:bottom="1134" w:left="1134" w:header="624" w:footer="567" w:gutter="0"/>
          <w:cols w:space="708"/>
          <w:docGrid w:linePitch="360"/>
        </w:sectPr>
      </w:pPr>
    </w:p>
    <w:p w:rsidR="00DF17E9" w:rsidRDefault="00DF17E9" w:rsidP="00044843">
      <w:r>
        <w:lastRenderedPageBreak/>
        <w:t>Payables consist of:</w:t>
      </w:r>
    </w:p>
    <w:p w:rsidR="00DF17E9" w:rsidRPr="00F97569" w:rsidRDefault="00DF17E9" w:rsidP="00044843">
      <w:pPr>
        <w:pStyle w:val="ListBullet"/>
        <w:numPr>
          <w:ilvl w:val="0"/>
          <w:numId w:val="9"/>
        </w:numPr>
        <w:ind w:left="397" w:hanging="397"/>
      </w:pPr>
      <w:r>
        <w:t>contractual payables, such as accounts payable, a</w:t>
      </w:r>
      <w:r w:rsidRPr="00F97569">
        <w:t>nd unearned revenue liability (including deferred revenue from concession notes); and</w:t>
      </w:r>
    </w:p>
    <w:p w:rsidR="00DF17E9" w:rsidRDefault="00DF17E9" w:rsidP="00044843">
      <w:pPr>
        <w:pStyle w:val="ListBullet"/>
        <w:numPr>
          <w:ilvl w:val="0"/>
          <w:numId w:val="9"/>
        </w:numPr>
        <w:ind w:left="397" w:hanging="397"/>
      </w:pPr>
      <w:r w:rsidRPr="00F97569">
        <w:t>statutory payables (accrued taxes payable), such as</w:t>
      </w:r>
      <w:r>
        <w:t xml:space="preserve"> GST and fringe benefits tax payables.</w:t>
      </w:r>
    </w:p>
    <w:p w:rsidR="00DF17E9" w:rsidRDefault="00DF17E9" w:rsidP="00401819">
      <w:r w:rsidRPr="00517989">
        <w:rPr>
          <w:b/>
        </w:rPr>
        <w:t>Contractual payables</w:t>
      </w:r>
      <w:r w:rsidRPr="00517989">
        <w:t xml:space="preserve"> are classified as financial instruments (Note 7.1) and measured at amortised cost. Accounts payable represent liabilities for goods and services provided to the State</w:t>
      </w:r>
      <w:r>
        <w:t xml:space="preserve"> prior to the end of the financial year that are unpaid, and arise when the State becomes obliged to make future payments in respect of the purchase of those goods and services.</w:t>
      </w:r>
    </w:p>
    <w:p w:rsidR="00DF17E9" w:rsidRDefault="00DF17E9" w:rsidP="00401819">
      <w:r w:rsidRPr="00B167C7">
        <w:rPr>
          <w:b/>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rsidR="00DF17E9" w:rsidRPr="00BC7006" w:rsidRDefault="00DF17E9" w:rsidP="00044843">
      <w:pPr>
        <w:pStyle w:val="Heading2"/>
      </w:pPr>
      <w:bookmarkStart w:id="57" w:name="_Toc459976572"/>
      <w:r w:rsidRPr="00BC7006">
        <w:t>Superannuation</w:t>
      </w:r>
      <w:bookmarkEnd w:id="57"/>
      <w:r w:rsidRPr="00BC7006">
        <w:t xml:space="preserve"> </w:t>
      </w:r>
    </w:p>
    <w:p w:rsidR="00DF17E9" w:rsidRDefault="00DF17E9" w:rsidP="003936D1">
      <w:r w:rsidRPr="00316541">
        <w:t>The disclosure in this note is for the consolidated State of Victoria only, as more than 99 per cent of the $29 billion superannuation liability is recorded in the general government sector.</w:t>
      </w:r>
    </w:p>
    <w:p w:rsidR="00DF17E9" w:rsidRDefault="00DF17E9" w:rsidP="00044843">
      <w:pPr>
        <w:pStyle w:val="Subheading"/>
        <w:pBdr>
          <w:bottom w:val="single" w:sz="4" w:space="1" w:color="0063A6" w:themeColor="accent1"/>
        </w:pBdr>
      </w:pPr>
      <w:r>
        <w:t>Net superannuation liability</w:t>
      </w:r>
    </w:p>
    <w:p w:rsidR="00DF17E9" w:rsidRDefault="00DF17E9" w:rsidP="00044843">
      <w:r>
        <w:t xml:space="preserve">The State’s public sector defined benefit superannuation plans are responsible for the liability for employee superannuation entitlements. These plans are not consolidated in the Annual Financial Report as they are not controlled by the State. </w:t>
      </w:r>
      <w:r w:rsidRPr="00B2466A">
        <w:t>However, the majority of the superannuation liability is the responsibility of the State and is recognised accordingly.</w:t>
      </w:r>
      <w:r>
        <w:t xml:space="preserve"> </w:t>
      </w:r>
    </w:p>
    <w:p w:rsidR="00DF17E9" w:rsidRDefault="00DF17E9" w:rsidP="00044843">
      <w:r>
        <w:lastRenderedPageBreak/>
        <w:t xml:space="preserve">At each reporting date, a liability or asset in respect of defined benefit superannuation obligations is recognised. This is measured as the difference between the present value of the defined benefit obligations at the reporting date and the net market value of the superannuation plan’s assets. </w:t>
      </w:r>
    </w:p>
    <w:p w:rsidR="00DF17E9" w:rsidRDefault="00DF17E9" w:rsidP="003936D1">
      <w:r>
        <w:t>The superannuation liabilities of agencies for which the State is not responsible, such as universities, are not reflected in the balance sheet.</w:t>
      </w:r>
    </w:p>
    <w:p w:rsidR="00DF17E9" w:rsidRPr="00140A80" w:rsidRDefault="00DF17E9" w:rsidP="003936D1">
      <w:pPr>
        <w:pStyle w:val="HighlightBoxText"/>
      </w:pPr>
      <w:r w:rsidRPr="00140A80">
        <w:rPr>
          <w:b/>
        </w:rPr>
        <w:t>Defined benefit plans:</w:t>
      </w:r>
      <w:r w:rsidRPr="00140A80">
        <w:t xml:space="preserve"> These provide benefits based on years of service and final average salary. At</w:t>
      </w:r>
      <w:r>
        <w:t> </w:t>
      </w:r>
      <w:r w:rsidRPr="00140A80">
        <w:t xml:space="preserve">each reporting date, a liability or asset in respect of defined benefit superannuation obligations is recognised. </w:t>
      </w:r>
    </w:p>
    <w:p w:rsidR="00DF17E9" w:rsidRDefault="00DF17E9" w:rsidP="003936D1">
      <w:pPr>
        <w:pStyle w:val="HighlightBoxText"/>
      </w:pPr>
      <w:r w:rsidRPr="00140A80">
        <w:t>The present value of defined benefit obligations is based upon future payments</w:t>
      </w:r>
      <w:r>
        <w:t>,</w:t>
      </w:r>
      <w:r w:rsidRPr="00140A80">
        <w:t xml:space="preserve"> which are expected to arise due to membership of the superannuation plan</w:t>
      </w:r>
      <w:r>
        <w:t xml:space="preserve"> to date</w:t>
      </w:r>
      <w:r w:rsidRPr="00140A80">
        <w:t>, taking into account th</w:t>
      </w:r>
      <w:r>
        <w:t>e taxes payable by the plan</w:t>
      </w:r>
      <w:r w:rsidRPr="00140A80">
        <w:t xml:space="preserve">. </w:t>
      </w:r>
    </w:p>
    <w:p w:rsidR="00DF17E9" w:rsidRPr="00140A80" w:rsidRDefault="00DF17E9" w:rsidP="003936D1">
      <w:pPr>
        <w:pStyle w:val="HighlightBoxText"/>
      </w:pPr>
      <w:r w:rsidRPr="00140A80">
        <w:t>Consideration is given to expec</w:t>
      </w:r>
      <w:r>
        <w:t xml:space="preserve">ted future salary levels and </w:t>
      </w:r>
      <w:r w:rsidRPr="00140A80">
        <w:t>employee departures. Expected future payments are discount</w:t>
      </w:r>
      <w:r>
        <w:t>ed to present values using yields</w:t>
      </w:r>
      <w:r w:rsidRPr="00140A80">
        <w:t xml:space="preserve"> applying to long-term Commonwealth Government Bonds. Furthermore, the inflation assumption is based upon the relationship between nominal and index linked bond yields of similar duration. This approach ensures that the inflation assumption reflects market expectations an</w:t>
      </w:r>
      <w:r>
        <w:t>d is compatible with the market-</w:t>
      </w:r>
      <w:r w:rsidRPr="00140A80">
        <w:t>based discount rate that is used to value the outstanding liability.</w:t>
      </w:r>
    </w:p>
    <w:p w:rsidR="00DF17E9" w:rsidRDefault="00DF17E9" w:rsidP="003936D1">
      <w:pPr>
        <w:pStyle w:val="HighlightBoxText"/>
      </w:pPr>
      <w:r w:rsidRPr="00140A80">
        <w:rPr>
          <w:b/>
        </w:rPr>
        <w:t>Defined contribution plans:</w:t>
      </w:r>
      <w:r w:rsidRPr="00140A80">
        <w:t xml:space="preserve"> The State has no obligation to fund any shortfall in these funds and is</w:t>
      </w:r>
      <w:r>
        <w:t xml:space="preserve"> </w:t>
      </w:r>
      <w:r w:rsidRPr="004F05D1">
        <w:t>only responsible for meeting agreed and/or legis</w:t>
      </w:r>
      <w:r>
        <w:t>lated contribution requirements</w:t>
      </w:r>
      <w:r w:rsidRPr="00140A80">
        <w:t>.</w:t>
      </w:r>
    </w:p>
    <w:p w:rsidR="00DF17E9" w:rsidRDefault="00DF17E9" w:rsidP="00140A80"/>
    <w:p w:rsidR="00DF17E9" w:rsidRDefault="00DF17E9" w:rsidP="00140A80">
      <w:pPr>
        <w:sectPr w:rsidR="00DF17E9" w:rsidSect="00044843">
          <w:headerReference w:type="even" r:id="rId180"/>
          <w:headerReference w:type="default" r:id="rId181"/>
          <w:footerReference w:type="even" r:id="rId182"/>
          <w:footerReference w:type="default" r:id="rId183"/>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rStyle w:val="TableUnitsChar"/>
          <w:bCs/>
          <w:lang w:val="en-US"/>
        </w:rPr>
      </w:pPr>
      <w:r>
        <w:lastRenderedPageBreak/>
        <w:t>N</w:t>
      </w:r>
      <w:r w:rsidRPr="00790E40">
        <w:t>et superannuation liability</w:t>
      </w:r>
      <w:r>
        <w:tab/>
      </w:r>
      <w:r w:rsidRPr="00790E40">
        <w:rPr>
          <w:rStyle w:val="TableUnitsChar"/>
        </w:rPr>
        <w:t>($ million)</w:t>
      </w:r>
    </w:p>
    <w:tbl>
      <w:tblPr>
        <w:tblStyle w:val="TableDTFGeneral"/>
        <w:tblW w:w="9679" w:type="dxa"/>
        <w:tblLayout w:type="fixed"/>
        <w:tblLook w:val="02A0" w:firstRow="1" w:lastRow="0" w:firstColumn="1" w:lastColumn="0" w:noHBand="1" w:noVBand="0"/>
      </w:tblPr>
      <w:tblGrid>
        <w:gridCol w:w="7769"/>
        <w:gridCol w:w="907"/>
        <w:gridCol w:w="1003"/>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69" w:type="dxa"/>
          </w:tcPr>
          <w:p w:rsidR="005E3226" w:rsidRPr="00092971" w:rsidRDefault="005E3226"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910" w:type="dxa"/>
            <w:gridSpan w:val="2"/>
          </w:tcPr>
          <w:p w:rsidR="005E3226" w:rsidRPr="00092971" w:rsidRDefault="005E3226" w:rsidP="00044843">
            <w:pPr>
              <w:jc w:val="center"/>
              <w:rPr>
                <w:color w:val="FFFFFF"/>
              </w:rPr>
            </w:pPr>
            <w:r w:rsidRPr="00092971">
              <w:rPr>
                <w:color w:val="FFFFFF"/>
              </w:rPr>
              <w:t>State of Victoria</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1003"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b/>
                <w:color w:val="000000"/>
              </w:rPr>
              <w:t>Emergency Services and State Super</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 xml:space="preserve"> </w:t>
            </w:r>
          </w:p>
        </w:tc>
        <w:tc>
          <w:tcPr>
            <w:tcW w:w="1003"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Defined benefit obligation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44 421</w:t>
            </w:r>
          </w:p>
        </w:tc>
        <w:tc>
          <w:tcPr>
            <w:tcW w:w="100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41 331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nil"/>
            </w:tcBorders>
          </w:tcPr>
          <w:p w:rsidR="00DF17E9" w:rsidRPr="00092971" w:rsidRDefault="00DF17E9" w:rsidP="00044843">
            <w:pPr>
              <w:ind w:left="0" w:firstLine="0"/>
              <w:rPr>
                <w:color w:val="000000"/>
              </w:rPr>
            </w:pPr>
            <w:r w:rsidRPr="00092971">
              <w:rPr>
                <w:color w:val="000000"/>
              </w:rPr>
              <w:t xml:space="preserve">Tax liability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2 923</w:t>
            </w:r>
          </w:p>
        </w:tc>
        <w:tc>
          <w:tcPr>
            <w:tcW w:w="100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2 660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single" w:sz="6" w:space="0" w:color="auto"/>
            </w:tcBorders>
          </w:tcPr>
          <w:p w:rsidR="00DF17E9" w:rsidRPr="00092971" w:rsidRDefault="00DF17E9" w:rsidP="00044843">
            <w:pPr>
              <w:ind w:left="0" w:firstLine="0"/>
              <w:rPr>
                <w:color w:val="000000"/>
              </w:rPr>
            </w:pPr>
            <w:r w:rsidRPr="00092971">
              <w:rPr>
                <w:color w:val="000000"/>
              </w:rPr>
              <w:t>Plan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(19 046)</w:t>
            </w:r>
          </w:p>
        </w:tc>
        <w:tc>
          <w:tcPr>
            <w:tcW w:w="100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(19 023)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Net liability/(asset)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28 298</w:t>
            </w:r>
          </w:p>
        </w:tc>
        <w:tc>
          <w:tcPr>
            <w:tcW w:w="1003"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24 968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tcBorders>
          </w:tcPr>
          <w:p w:rsidR="00DF17E9" w:rsidRPr="00092971" w:rsidRDefault="00DF17E9" w:rsidP="00044843">
            <w:pPr>
              <w:ind w:left="0" w:firstLine="0"/>
              <w:rPr>
                <w:color w:val="000000"/>
              </w:rPr>
            </w:pPr>
            <w:r w:rsidRPr="00092971">
              <w:rPr>
                <w:b/>
                <w:color w:val="000000"/>
              </w:rPr>
              <w:t xml:space="preserve">Other funds </w:t>
            </w:r>
            <w:r w:rsidRPr="00092971">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092971" w:rsidRDefault="00DF17E9" w:rsidP="00044843">
            <w:pPr>
              <w:rPr>
                <w:color w:val="000000"/>
              </w:rPr>
            </w:pPr>
          </w:p>
        </w:tc>
        <w:tc>
          <w:tcPr>
            <w:tcW w:w="1003"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Defined benefit obligation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2 538</w:t>
            </w:r>
          </w:p>
        </w:tc>
        <w:tc>
          <w:tcPr>
            <w:tcW w:w="100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2 544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nil"/>
            </w:tcBorders>
          </w:tcPr>
          <w:p w:rsidR="00DF17E9" w:rsidRPr="00092971" w:rsidRDefault="00DF17E9" w:rsidP="00044843">
            <w:pPr>
              <w:ind w:left="0" w:firstLine="0"/>
              <w:rPr>
                <w:color w:val="000000"/>
              </w:rPr>
            </w:pPr>
            <w:r w:rsidRPr="00092971">
              <w:rPr>
                <w:color w:val="000000"/>
              </w:rPr>
              <w:t>Tax liability</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w:t>
            </w:r>
          </w:p>
        </w:tc>
        <w:tc>
          <w:tcPr>
            <w:tcW w:w="100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single" w:sz="6" w:space="0" w:color="auto"/>
            </w:tcBorders>
          </w:tcPr>
          <w:p w:rsidR="00DF17E9" w:rsidRPr="00092971" w:rsidRDefault="00DF17E9" w:rsidP="00044843">
            <w:pPr>
              <w:ind w:left="0" w:firstLine="0"/>
              <w:rPr>
                <w:color w:val="000000"/>
              </w:rPr>
            </w:pPr>
            <w:r w:rsidRPr="00092971">
              <w:rPr>
                <w:color w:val="000000"/>
              </w:rPr>
              <w:t>Plan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(1 482)</w:t>
            </w:r>
          </w:p>
        </w:tc>
        <w:tc>
          <w:tcPr>
            <w:tcW w:w="100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(1 523)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Net liability/(asset)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1 056</w:t>
            </w:r>
          </w:p>
        </w:tc>
        <w:tc>
          <w:tcPr>
            <w:tcW w:w="1003"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1 021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tcBorders>
          </w:tcPr>
          <w:p w:rsidR="00DF17E9" w:rsidRPr="00092971" w:rsidRDefault="00DF17E9" w:rsidP="00044843">
            <w:pPr>
              <w:ind w:left="0" w:firstLine="0"/>
              <w:rPr>
                <w:color w:val="000000"/>
              </w:rPr>
            </w:pPr>
            <w:r w:rsidRPr="00092971">
              <w:rPr>
                <w:b/>
                <w:color w:val="000000"/>
              </w:rPr>
              <w:t>Total superannuation</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092971" w:rsidRDefault="00DF17E9" w:rsidP="00044843">
            <w:pPr>
              <w:rPr>
                <w:color w:val="000000"/>
              </w:rPr>
            </w:pPr>
          </w:p>
        </w:tc>
        <w:tc>
          <w:tcPr>
            <w:tcW w:w="1003"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Defined benefit obligation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46 959</w:t>
            </w:r>
          </w:p>
        </w:tc>
        <w:tc>
          <w:tcPr>
            <w:tcW w:w="100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43 875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nil"/>
            </w:tcBorders>
          </w:tcPr>
          <w:p w:rsidR="00DF17E9" w:rsidRPr="00092971" w:rsidRDefault="00DF17E9" w:rsidP="00044843">
            <w:pPr>
              <w:ind w:left="0" w:firstLine="0"/>
              <w:rPr>
                <w:color w:val="000000"/>
              </w:rPr>
            </w:pPr>
            <w:r w:rsidRPr="00092971">
              <w:rPr>
                <w:color w:val="000000"/>
              </w:rPr>
              <w:t>Tax liability</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2 923</w:t>
            </w:r>
          </w:p>
        </w:tc>
        <w:tc>
          <w:tcPr>
            <w:tcW w:w="100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2 660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single" w:sz="6" w:space="0" w:color="auto"/>
            </w:tcBorders>
          </w:tcPr>
          <w:p w:rsidR="00DF17E9" w:rsidRPr="00092971" w:rsidRDefault="00DF17E9" w:rsidP="00044843">
            <w:pPr>
              <w:ind w:left="0" w:firstLine="0"/>
              <w:rPr>
                <w:color w:val="000000"/>
              </w:rPr>
            </w:pPr>
            <w:r w:rsidRPr="00092971">
              <w:rPr>
                <w:color w:val="000000"/>
              </w:rPr>
              <w:t>Plan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(20 528)</w:t>
            </w:r>
          </w:p>
        </w:tc>
        <w:tc>
          <w:tcPr>
            <w:tcW w:w="100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(20 546)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Superannuation liability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29 354</w:t>
            </w:r>
          </w:p>
        </w:tc>
        <w:tc>
          <w:tcPr>
            <w:tcW w:w="1003"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25 988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tcBorders>
          </w:tcPr>
          <w:p w:rsidR="00DF17E9" w:rsidRPr="00092971" w:rsidRDefault="00DF17E9" w:rsidP="00044843">
            <w:pPr>
              <w:ind w:left="0" w:firstLine="0"/>
              <w:rPr>
                <w:color w:val="000000"/>
              </w:rPr>
            </w:pPr>
            <w:r w:rsidRPr="00092971">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092971" w:rsidRDefault="00DF17E9" w:rsidP="00044843">
            <w:pPr>
              <w:rPr>
                <w:color w:val="000000"/>
              </w:rPr>
            </w:pPr>
          </w:p>
        </w:tc>
        <w:tc>
          <w:tcPr>
            <w:tcW w:w="1003"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nil"/>
            </w:tcBorders>
          </w:tcPr>
          <w:p w:rsidR="00DF17E9" w:rsidRPr="00092971" w:rsidRDefault="00DF17E9" w:rsidP="00044843">
            <w:pPr>
              <w:ind w:left="0" w:firstLine="0"/>
              <w:rPr>
                <w:color w:val="000000"/>
              </w:rPr>
            </w:pPr>
            <w:r w:rsidRPr="00092971">
              <w:rPr>
                <w:color w:val="000000"/>
              </w:rPr>
              <w:t>Current liability</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1 059</w:t>
            </w:r>
          </w:p>
        </w:tc>
        <w:tc>
          <w:tcPr>
            <w:tcW w:w="100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1 210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single" w:sz="6" w:space="0" w:color="auto"/>
            </w:tcBorders>
          </w:tcPr>
          <w:p w:rsidR="00DF17E9" w:rsidRPr="00092971" w:rsidRDefault="00DF17E9" w:rsidP="00044843">
            <w:pPr>
              <w:ind w:left="0" w:firstLine="0"/>
              <w:rPr>
                <w:color w:val="000000"/>
              </w:rPr>
            </w:pPr>
            <w:r w:rsidRPr="00092971">
              <w:rPr>
                <w:color w:val="000000"/>
              </w:rPr>
              <w:t>Non-current liability</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28 295</w:t>
            </w:r>
          </w:p>
        </w:tc>
        <w:tc>
          <w:tcPr>
            <w:tcW w:w="100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24 778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superannuation liability</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29 354</w:t>
            </w:r>
          </w:p>
        </w:tc>
        <w:tc>
          <w:tcPr>
            <w:tcW w:w="100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25 988</w:t>
            </w:r>
          </w:p>
        </w:tc>
      </w:tr>
    </w:tbl>
    <w:p w:rsidR="00DF17E9" w:rsidRDefault="00DF17E9" w:rsidP="00044843">
      <w:pPr>
        <w:pStyle w:val="Note"/>
      </w:pPr>
      <w:r>
        <w:t>Notes:</w:t>
      </w:r>
    </w:p>
    <w:p w:rsidR="00DF17E9" w:rsidRDefault="00DF17E9" w:rsidP="00044843">
      <w:pPr>
        <w:pStyle w:val="Note"/>
      </w:pPr>
      <w:r>
        <w:t>(a)</w:t>
      </w:r>
      <w:r>
        <w:tab/>
        <w:t>Tax liability represents the present value of tax payments on contributions that are expected to be required to fund accrued benefits.</w:t>
      </w:r>
    </w:p>
    <w:p w:rsidR="00DF17E9" w:rsidRDefault="00DF17E9" w:rsidP="00044843">
      <w:pPr>
        <w:pStyle w:val="Note"/>
      </w:pPr>
      <w:r>
        <w:t>(b)</w:t>
      </w:r>
      <w:r>
        <w:tab/>
        <w:t>Other funds include constitutionally protected schemes and the State’s share of liabilities of the defined benefit scheme of the Health Super Fund.</w:t>
      </w:r>
    </w:p>
    <w:p w:rsidR="00DF17E9" w:rsidRDefault="00DF17E9" w:rsidP="00044843"/>
    <w:p w:rsidR="00DF17E9" w:rsidRPr="00092971" w:rsidRDefault="00DF17E9" w:rsidP="00044843">
      <w:pPr>
        <w:pStyle w:val="Subheading"/>
        <w:rPr>
          <w:b w:val="0"/>
          <w:bCs/>
          <w:lang w:val="en-US"/>
        </w:rPr>
      </w:pPr>
      <w:r w:rsidRPr="00B2466A">
        <w:t>Reconciliation of the defined benefit obligation</w:t>
      </w:r>
      <w:r>
        <w:tab/>
      </w:r>
      <w:r w:rsidRPr="00790E40">
        <w:rPr>
          <w:rStyle w:val="TableUnitsChar"/>
        </w:rPr>
        <w:t>($ million)</w:t>
      </w:r>
    </w:p>
    <w:tbl>
      <w:tblPr>
        <w:tblStyle w:val="TableDTFGeneral"/>
        <w:tblW w:w="9677" w:type="dxa"/>
        <w:tblLayout w:type="fixed"/>
        <w:tblLook w:val="02A0" w:firstRow="1" w:lastRow="0" w:firstColumn="1" w:lastColumn="0" w:noHBand="1" w:noVBand="0"/>
      </w:tblPr>
      <w:tblGrid>
        <w:gridCol w:w="7769"/>
        <w:gridCol w:w="907"/>
        <w:gridCol w:w="1001"/>
      </w:tblGrid>
      <w:tr w:rsidR="005E3226" w:rsidRPr="00092971" w:rsidTr="005E3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69" w:type="dxa"/>
          </w:tcPr>
          <w:p w:rsidR="005E3226" w:rsidRPr="00092971" w:rsidRDefault="005E3226"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908" w:type="dxa"/>
            <w:gridSpan w:val="2"/>
          </w:tcPr>
          <w:p w:rsidR="005E3226" w:rsidRPr="00092971" w:rsidRDefault="005E3226" w:rsidP="00044843">
            <w:pPr>
              <w:jc w:val="center"/>
              <w:rPr>
                <w:color w:val="FFFFFF"/>
              </w:rPr>
            </w:pPr>
            <w:r w:rsidRPr="00092971">
              <w:rPr>
                <w:color w:val="FFFFFF"/>
              </w:rPr>
              <w:t>State of Victoria</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100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b/>
                <w:color w:val="000000"/>
              </w:rPr>
              <w:t>Opening balance of defined benefit obligation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b/>
              </w:rPr>
            </w:pPr>
            <w:r w:rsidRPr="00092971">
              <w:rPr>
                <w:b/>
                <w:color w:val="000000"/>
              </w:rPr>
              <w:t>46</w:t>
            </w:r>
            <w:r w:rsidRPr="00092971">
              <w:rPr>
                <w:b/>
              </w:rPr>
              <w:t xml:space="preserve"> 535</w:t>
            </w: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45 457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Current service cost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778</w:t>
            </w: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735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Interest cost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1</w:t>
            </w:r>
            <w:r w:rsidRPr="00092971">
              <w:t xml:space="preserve"> 567</w:t>
            </w: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1 781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Contributions by plan participants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219</w:t>
            </w: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211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Remeasurements: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 xml:space="preserve">   Actuarial (gain)/loss arising from change in financial assumptions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2</w:t>
            </w:r>
            <w:r w:rsidRPr="00092971">
              <w:t xml:space="preserve"> 811</w:t>
            </w: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1 861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Pr>
          <w:p w:rsidR="00DF17E9" w:rsidRPr="00092971" w:rsidRDefault="00DF17E9" w:rsidP="00044843">
            <w:pPr>
              <w:ind w:left="0" w:firstLine="0"/>
              <w:rPr>
                <w:color w:val="000000"/>
              </w:rPr>
            </w:pPr>
            <w:r w:rsidRPr="00092971">
              <w:rPr>
                <w:color w:val="000000"/>
              </w:rPr>
              <w:t xml:space="preserve">   Actuarial (gain)/loss arising from change in demographic assumptions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w:t>
            </w:r>
            <w:r w:rsidRPr="00092971">
              <w:t>.</w:t>
            </w:r>
          </w:p>
        </w:tc>
        <w:tc>
          <w:tcPr>
            <w:tcW w:w="10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(708)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nil"/>
            </w:tcBorders>
          </w:tcPr>
          <w:p w:rsidR="00DF17E9" w:rsidRPr="00092971" w:rsidRDefault="00DF17E9" w:rsidP="00044843">
            <w:pPr>
              <w:ind w:left="0" w:firstLine="0"/>
              <w:rPr>
                <w:color w:val="000000"/>
              </w:rPr>
            </w:pPr>
            <w:r w:rsidRPr="00092971">
              <w:rPr>
                <w:color w:val="000000"/>
              </w:rPr>
              <w:t xml:space="preserve">   Actuarial (gain)/loss due to other experience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r w:rsidRPr="00092971">
              <w:rPr>
                <w:color w:val="000000"/>
              </w:rPr>
              <w:t>56</w:t>
            </w:r>
          </w:p>
        </w:tc>
        <w:tc>
          <w:tcPr>
            <w:tcW w:w="100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(582)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bottom w:val="single" w:sz="6" w:space="0" w:color="auto"/>
            </w:tcBorders>
          </w:tcPr>
          <w:p w:rsidR="00DF17E9" w:rsidRPr="00092971" w:rsidRDefault="00DF17E9" w:rsidP="00044843">
            <w:pPr>
              <w:ind w:left="0" w:firstLine="0"/>
              <w:rPr>
                <w:color w:val="000000"/>
              </w:rPr>
            </w:pPr>
            <w:r w:rsidRPr="00092971">
              <w:rPr>
                <w:color w:val="000000"/>
              </w:rPr>
              <w:t>Benefits paid</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r w:rsidRPr="00092971">
              <w:rPr>
                <w:color w:val="000000"/>
              </w:rPr>
              <w:t>(</w:t>
            </w:r>
            <w:r w:rsidRPr="00092971">
              <w:t>2 083)</w:t>
            </w:r>
          </w:p>
        </w:tc>
        <w:tc>
          <w:tcPr>
            <w:tcW w:w="100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(2 221)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769"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 of defined benefit obligation</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pPr>
              <w:rPr>
                <w:b/>
              </w:rPr>
            </w:pPr>
            <w:r w:rsidRPr="00092971">
              <w:rPr>
                <w:b/>
                <w:color w:val="000000"/>
              </w:rPr>
              <w:t>49</w:t>
            </w:r>
            <w:r w:rsidRPr="00092971">
              <w:rPr>
                <w:b/>
              </w:rPr>
              <w:t xml:space="preserve"> 882</w:t>
            </w:r>
          </w:p>
        </w:tc>
        <w:tc>
          <w:tcPr>
            <w:tcW w:w="100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46 535</w:t>
            </w:r>
          </w:p>
        </w:tc>
      </w:tr>
    </w:tbl>
    <w:p w:rsidR="00DF17E9" w:rsidRDefault="00DF17E9" w:rsidP="00535247">
      <w:pPr>
        <w:pStyle w:val="BodyText"/>
      </w:pPr>
    </w:p>
    <w:p w:rsidR="00DF17E9" w:rsidRPr="00896F6C" w:rsidRDefault="00DF17E9" w:rsidP="00535247">
      <w:pPr>
        <w:pStyle w:val="BodyText"/>
      </w:pPr>
    </w:p>
    <w:p w:rsidR="00DF17E9" w:rsidRDefault="00DF17E9" w:rsidP="00535247">
      <w:pPr>
        <w:pStyle w:val="BodyText"/>
      </w:pPr>
    </w:p>
    <w:p w:rsidR="00DF17E9" w:rsidRDefault="00DF17E9" w:rsidP="00BC6724">
      <w:pPr>
        <w:pStyle w:val="BodyText"/>
        <w:sectPr w:rsidR="00DF17E9" w:rsidSect="00044843">
          <w:type w:val="continuous"/>
          <w:pgSz w:w="11906" w:h="16838" w:code="9"/>
          <w:pgMar w:top="1134" w:right="1134" w:bottom="1134" w:left="1134" w:header="624" w:footer="567" w:gutter="0"/>
          <w:cols w:space="708"/>
          <w:docGrid w:linePitch="360"/>
        </w:sectPr>
      </w:pPr>
    </w:p>
    <w:p w:rsidR="00DF17E9" w:rsidRDefault="00DF17E9">
      <w:pPr>
        <w:rPr>
          <w:rFonts w:asciiTheme="majorHAnsi" w:hAnsiTheme="majorHAnsi"/>
          <w:b/>
          <w:spacing w:val="-2"/>
        </w:rPr>
      </w:pPr>
      <w:r>
        <w:lastRenderedPageBreak/>
        <w:br w:type="page"/>
      </w:r>
    </w:p>
    <w:p w:rsidR="00DF17E9" w:rsidRPr="00092971" w:rsidRDefault="00DF17E9" w:rsidP="00044843">
      <w:pPr>
        <w:pStyle w:val="Subheading"/>
        <w:tabs>
          <w:tab w:val="right" w:pos="4536"/>
        </w:tabs>
        <w:rPr>
          <w:rStyle w:val="TableUnitsChar"/>
          <w:bCs/>
          <w:lang w:val="en-US"/>
        </w:rPr>
      </w:pPr>
      <w:r w:rsidRPr="00266E61">
        <w:lastRenderedPageBreak/>
        <w:t>Reconciliation of the fair value of plan assets</w:t>
      </w:r>
      <w:r>
        <w:br/>
      </w:r>
      <w:r>
        <w:tab/>
      </w:r>
      <w:r w:rsidRPr="003E58E4">
        <w:rPr>
          <w:rStyle w:val="TableUnitsChar"/>
        </w:rPr>
        <w:t>($</w:t>
      </w:r>
      <w:r>
        <w:rPr>
          <w:rStyle w:val="TableUnitsChar"/>
        </w:rPr>
        <w:t xml:space="preserve"> </w:t>
      </w:r>
      <w:r w:rsidRPr="003E58E4">
        <w:rPr>
          <w:rStyle w:val="TableUnitsChar"/>
        </w:rPr>
        <w:t>million)</w:t>
      </w:r>
    </w:p>
    <w:tbl>
      <w:tblPr>
        <w:tblStyle w:val="TableDTFGeneral"/>
        <w:tblW w:w="4671" w:type="dxa"/>
        <w:tblLayout w:type="fixed"/>
        <w:tblLook w:val="02A0" w:firstRow="1" w:lastRow="0" w:firstColumn="1" w:lastColumn="0" w:noHBand="1" w:noVBand="0"/>
      </w:tblPr>
      <w:tblGrid>
        <w:gridCol w:w="2891"/>
        <w:gridCol w:w="845"/>
        <w:gridCol w:w="927"/>
        <w:gridCol w:w="8"/>
      </w:tblGrid>
      <w:tr w:rsidR="0082402B" w:rsidRPr="00092971" w:rsidTr="008240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1" w:type="dxa"/>
          </w:tcPr>
          <w:p w:rsidR="0082402B" w:rsidRPr="00092971" w:rsidRDefault="0082402B"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780" w:type="dxa"/>
            <w:gridSpan w:val="3"/>
          </w:tcPr>
          <w:p w:rsidR="0082402B" w:rsidRPr="00092971" w:rsidRDefault="0082402B" w:rsidP="0082402B">
            <w:pPr>
              <w:jc w:val="center"/>
              <w:rPr>
                <w:color w:val="FFFFFF"/>
              </w:rPr>
            </w:pPr>
            <w:r w:rsidRPr="00092971">
              <w:rPr>
                <w:color w:val="FFFFFF"/>
              </w:rPr>
              <w:t xml:space="preserve"> State of Victoria</w:t>
            </w:r>
          </w:p>
        </w:tc>
      </w:tr>
      <w:tr w:rsidR="00DF17E9" w:rsidRPr="00092971" w:rsidTr="00044843">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pPr>
              <w:rPr>
                <w:color w:val="FFFFFF"/>
              </w:rPr>
            </w:pPr>
            <w:r w:rsidRPr="00092971">
              <w:rPr>
                <w:color w:val="FFFFFF"/>
              </w:rPr>
              <w:t>2016</w:t>
            </w:r>
          </w:p>
        </w:tc>
        <w:tc>
          <w:tcPr>
            <w:tcW w:w="92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044843">
            <w:pPr>
              <w:ind w:left="113" w:hanging="113"/>
              <w:rPr>
                <w:color w:val="000000"/>
              </w:rPr>
            </w:pPr>
            <w:r w:rsidRPr="00092971">
              <w:rPr>
                <w:b/>
                <w:color w:val="000000"/>
              </w:rPr>
              <w:t>Opening balance of plan assets</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pPr>
              <w:rPr>
                <w:color w:val="000000"/>
              </w:rPr>
            </w:pPr>
            <w:r w:rsidRPr="00092971">
              <w:rPr>
                <w:b/>
                <w:color w:val="000000"/>
              </w:rPr>
              <w:t>20 546</w:t>
            </w:r>
          </w:p>
        </w:tc>
        <w:tc>
          <w:tcPr>
            <w:tcW w:w="92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19 156</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044843">
            <w:pPr>
              <w:ind w:left="113" w:hanging="113"/>
              <w:rPr>
                <w:color w:val="000000"/>
              </w:rPr>
            </w:pPr>
            <w:r w:rsidRPr="00092971">
              <w:rPr>
                <w:color w:val="000000"/>
              </w:rPr>
              <w:t>Interest income</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r w:rsidRPr="00092971">
              <w:rPr>
                <w:color w:val="000000"/>
              </w:rPr>
              <w:t>686</w:t>
            </w:r>
          </w:p>
        </w:tc>
        <w:tc>
          <w:tcPr>
            <w:tcW w:w="92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740</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044843">
            <w:pPr>
              <w:ind w:left="113" w:hanging="113"/>
              <w:rPr>
                <w:color w:val="000000"/>
              </w:rPr>
            </w:pPr>
            <w:r w:rsidRPr="00092971">
              <w:rPr>
                <w:color w:val="000000"/>
              </w:rPr>
              <w:t>Remeasurements:</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pPr>
              <w:rPr>
                <w:color w:val="000000"/>
              </w:rPr>
            </w:pPr>
          </w:p>
        </w:tc>
        <w:tc>
          <w:tcPr>
            <w:tcW w:w="927"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82402B">
            <w:pPr>
              <w:ind w:left="227" w:hanging="227"/>
              <w:rPr>
                <w:color w:val="000000"/>
              </w:rPr>
            </w:pPr>
            <w:r w:rsidRPr="00092971">
              <w:rPr>
                <w:color w:val="000000"/>
              </w:rPr>
              <w:t xml:space="preserve">   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r w:rsidRPr="00092971">
              <w:rPr>
                <w:color w:val="000000"/>
              </w:rPr>
              <w:t>787</w:t>
            </w:r>
          </w:p>
        </w:tc>
        <w:tc>
          <w:tcPr>
            <w:tcW w:w="92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630</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82402B">
            <w:pPr>
              <w:ind w:left="227" w:hanging="227"/>
              <w:rPr>
                <w:color w:val="000000"/>
              </w:rPr>
            </w:pPr>
            <w:r w:rsidRPr="00092971">
              <w:rPr>
                <w:color w:val="000000"/>
              </w:rPr>
              <w:t xml:space="preserve">   Actuarial gain/(loss) relative to expected return</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pPr>
              <w:rPr>
                <w:color w:val="000000"/>
              </w:rPr>
            </w:pPr>
            <w:r w:rsidRPr="00092971">
              <w:rPr>
                <w:color w:val="000000"/>
              </w:rPr>
              <w:t>(1 166)</w:t>
            </w:r>
          </w:p>
        </w:tc>
        <w:tc>
          <w:tcPr>
            <w:tcW w:w="92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497</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Pr>
          <w:p w:rsidR="00DF17E9" w:rsidRPr="00092971" w:rsidRDefault="00DF17E9" w:rsidP="00044843">
            <w:pPr>
              <w:ind w:left="113" w:hanging="113"/>
              <w:rPr>
                <w:color w:val="000000"/>
              </w:rPr>
            </w:pPr>
            <w:r w:rsidRPr="00092971">
              <w:rPr>
                <w:color w:val="000000"/>
              </w:rPr>
              <w:t>Employer contributions</w:t>
            </w:r>
          </w:p>
        </w:tc>
        <w:tc>
          <w:tcPr>
            <w:cnfStyle w:val="000010000000" w:firstRow="0" w:lastRow="0" w:firstColumn="0" w:lastColumn="0" w:oddVBand="1" w:evenVBand="0" w:oddHBand="0" w:evenHBand="0" w:firstRowFirstColumn="0" w:firstRowLastColumn="0" w:lastRowFirstColumn="0" w:lastRowLastColumn="0"/>
            <w:tcW w:w="845" w:type="dxa"/>
          </w:tcPr>
          <w:p w:rsidR="00DF17E9" w:rsidRPr="00092971" w:rsidRDefault="00DF17E9" w:rsidP="00044843">
            <w:pPr>
              <w:rPr>
                <w:color w:val="000000"/>
              </w:rPr>
            </w:pPr>
            <w:r w:rsidRPr="00092971">
              <w:rPr>
                <w:color w:val="000000"/>
              </w:rPr>
              <w:t>1 538</w:t>
            </w:r>
          </w:p>
        </w:tc>
        <w:tc>
          <w:tcPr>
            <w:tcW w:w="92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1 532</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rsidR="00DF17E9" w:rsidRPr="00092971" w:rsidRDefault="00DF17E9" w:rsidP="00044843">
            <w:pPr>
              <w:ind w:left="113" w:hanging="113"/>
              <w:rPr>
                <w:color w:val="000000"/>
              </w:rPr>
            </w:pPr>
            <w:r w:rsidRPr="00092971">
              <w:rPr>
                <w:color w:val="000000"/>
              </w:rPr>
              <w:t>Contributions by plan participants</w:t>
            </w:r>
          </w:p>
        </w:tc>
        <w:tc>
          <w:tcPr>
            <w:cnfStyle w:val="000010000000" w:firstRow="0" w:lastRow="0" w:firstColumn="0" w:lastColumn="0" w:oddVBand="1" w:evenVBand="0" w:oddHBand="0" w:evenHBand="0" w:firstRowFirstColumn="0" w:firstRowLastColumn="0" w:lastRowFirstColumn="0" w:lastRowLastColumn="0"/>
            <w:tcW w:w="845" w:type="dxa"/>
            <w:tcBorders>
              <w:bottom w:val="nil"/>
            </w:tcBorders>
          </w:tcPr>
          <w:p w:rsidR="00DF17E9" w:rsidRPr="00092971" w:rsidRDefault="00DF17E9" w:rsidP="00044843">
            <w:r w:rsidRPr="00092971">
              <w:rPr>
                <w:color w:val="000000"/>
              </w:rPr>
              <w:t>219</w:t>
            </w:r>
          </w:p>
        </w:tc>
        <w:tc>
          <w:tcPr>
            <w:tcW w:w="92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211</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Borders>
              <w:bottom w:val="single" w:sz="6" w:space="0" w:color="auto"/>
            </w:tcBorders>
          </w:tcPr>
          <w:p w:rsidR="00DF17E9" w:rsidRPr="00092971" w:rsidRDefault="00DF17E9" w:rsidP="00044843">
            <w:pPr>
              <w:ind w:left="113" w:hanging="113"/>
              <w:rPr>
                <w:color w:val="000000"/>
              </w:rPr>
            </w:pPr>
            <w:r w:rsidRPr="00092971">
              <w:rPr>
                <w:color w:val="000000"/>
              </w:rPr>
              <w:t>Benefits paid (including tax paid)</w:t>
            </w:r>
          </w:p>
        </w:tc>
        <w:tc>
          <w:tcPr>
            <w:cnfStyle w:val="000010000000" w:firstRow="0" w:lastRow="0" w:firstColumn="0" w:lastColumn="0" w:oddVBand="1" w:evenVBand="0" w:oddHBand="0" w:evenHBand="0" w:firstRowFirstColumn="0" w:firstRowLastColumn="0" w:lastRowFirstColumn="0" w:lastRowLastColumn="0"/>
            <w:tcW w:w="845" w:type="dxa"/>
            <w:tcBorders>
              <w:bottom w:val="single" w:sz="6" w:space="0" w:color="auto"/>
            </w:tcBorders>
          </w:tcPr>
          <w:p w:rsidR="00DF17E9" w:rsidRPr="00092971" w:rsidRDefault="00DF17E9" w:rsidP="00044843">
            <w:pPr>
              <w:rPr>
                <w:color w:val="000000"/>
              </w:rPr>
            </w:pPr>
            <w:r w:rsidRPr="00092971">
              <w:rPr>
                <w:color w:val="000000"/>
              </w:rPr>
              <w:t>(2 083)</w:t>
            </w:r>
          </w:p>
        </w:tc>
        <w:tc>
          <w:tcPr>
            <w:tcW w:w="92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(2 221)</w:t>
            </w:r>
          </w:p>
        </w:tc>
      </w:tr>
      <w:tr w:rsidR="00DF17E9" w:rsidRPr="00092971" w:rsidTr="00044843">
        <w:trPr>
          <w:gridAfter w:val="1"/>
          <w:wAfter w:w="8" w:type="dxa"/>
        </w:trPr>
        <w:tc>
          <w:tcPr>
            <w:cnfStyle w:val="001000000000" w:firstRow="0" w:lastRow="0" w:firstColumn="1" w:lastColumn="0" w:oddVBand="0" w:evenVBand="0" w:oddHBand="0" w:evenHBand="0" w:firstRowFirstColumn="0" w:firstRowLastColumn="0" w:lastRowFirstColumn="0" w:lastRowLastColumn="0"/>
            <w:tcW w:w="2891"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Closing balance of plan assets</w:t>
            </w:r>
          </w:p>
        </w:tc>
        <w:tc>
          <w:tcPr>
            <w:cnfStyle w:val="000010000000" w:firstRow="0" w:lastRow="0" w:firstColumn="0" w:lastColumn="0" w:oddVBand="1" w:evenVBand="0" w:oddHBand="0" w:evenHBand="0" w:firstRowFirstColumn="0" w:firstRowLastColumn="0" w:lastRowFirstColumn="0" w:lastRowLastColumn="0"/>
            <w:tcW w:w="84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20 528</w:t>
            </w:r>
          </w:p>
        </w:tc>
        <w:tc>
          <w:tcPr>
            <w:tcW w:w="92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20 546</w:t>
            </w:r>
          </w:p>
        </w:tc>
      </w:tr>
    </w:tbl>
    <w:p w:rsidR="00DF17E9" w:rsidRDefault="00DF17E9" w:rsidP="00140A80"/>
    <w:p w:rsidR="00DF17E9" w:rsidRDefault="00DF17E9" w:rsidP="00140A80">
      <w:pPr>
        <w:pStyle w:val="Subheadingunderline"/>
      </w:pPr>
      <w:r w:rsidRPr="00525494">
        <w:t>The State’s defined benefit superannuation plans</w:t>
      </w:r>
    </w:p>
    <w:p w:rsidR="00DF17E9" w:rsidRDefault="00DF17E9" w:rsidP="00140A80">
      <w:r>
        <w:t>The State’s defined benefit superannuation plans provide benefits based on years of service and final average salary. These are:</w:t>
      </w:r>
    </w:p>
    <w:p w:rsidR="00DF17E9" w:rsidRDefault="00DF17E9" w:rsidP="00140A80">
      <w:r w:rsidRPr="00140A80">
        <w:rPr>
          <w:b/>
        </w:rPr>
        <w:t>State Super Funds</w:t>
      </w:r>
      <w:r>
        <w:t xml:space="preserve">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rsidR="00DF17E9" w:rsidRDefault="00DF17E9" w:rsidP="00140A80">
      <w:r w:rsidRPr="00140A80">
        <w:rPr>
          <w:b/>
        </w:rPr>
        <w:t>Emergency Services Superannuation Scheme Defined Benefit</w:t>
      </w:r>
      <w:r>
        <w:t xml:space="preserve"> (ESSS DB), a defined benefit lump sum scheme which remains open to new members. It also has a number of pensioners remaining from prior schemes.</w:t>
      </w:r>
    </w:p>
    <w:p w:rsidR="00DF17E9" w:rsidRDefault="00DF17E9" w:rsidP="00140A80">
      <w:r w:rsidRPr="00266E61">
        <w:rPr>
          <w:b/>
        </w:rPr>
        <w:t>Constitutionally Protected</w:t>
      </w:r>
      <w:r w:rsidRPr="00140A80">
        <w:rPr>
          <w:b/>
        </w:rPr>
        <w:t xml:space="preserve"> Pension Scheme</w:t>
      </w:r>
      <w:r>
        <w:rPr>
          <w:b/>
        </w:rPr>
        <w:t>s</w:t>
      </w:r>
      <w:r>
        <w:t>, defined benefit pensions that continue to be provided to new office holders.</w:t>
      </w:r>
    </w:p>
    <w:p w:rsidR="00DF17E9" w:rsidRDefault="00DF17E9" w:rsidP="00140A80">
      <w:r w:rsidRPr="00140A80">
        <w:rPr>
          <w:b/>
        </w:rPr>
        <w:t>Health Super Division of First State Super</w:t>
      </w:r>
      <w:r>
        <w:t xml:space="preserve"> (Health Super), a defined benefit scheme that provides both lump sum and pension benefits. This scheme is closed to new members.</w:t>
      </w:r>
    </w:p>
    <w:p w:rsidR="00DF17E9" w:rsidRDefault="00DF17E9" w:rsidP="00140A80">
      <w:r>
        <w:t xml:space="preserve">The SSF, ESSS DB and </w:t>
      </w:r>
      <w:r w:rsidRPr="00850179">
        <w:t>Constitutionally Protected</w:t>
      </w:r>
      <w:r>
        <w:t xml:space="preserve"> Pension Schemes are exempt public sector superannuation schemes. The schemes comply with national superannuation standards under a Heads of Government Agreement and are treated as complying for concessional tax and superannuation guarantee purposes. </w:t>
      </w:r>
    </w:p>
    <w:p w:rsidR="00DF17E9" w:rsidRDefault="00DF17E9" w:rsidP="00044843">
      <w:r>
        <w:br w:type="column"/>
      </w:r>
      <w:r>
        <w:lastRenderedPageBreak/>
        <w:t xml:space="preserve">The Emergency Services Superannuation Board (ESSB) is responsible for the governance of the </w:t>
      </w:r>
      <w:r w:rsidR="00494A92">
        <w:br/>
      </w:r>
      <w:r>
        <w:t xml:space="preserve">SSF and ESSS DB and acts as paying agent for </w:t>
      </w:r>
      <w:r w:rsidRPr="00266E61">
        <w:t>constitutionally protected</w:t>
      </w:r>
      <w:r>
        <w:t xml:space="preserve"> pensions. The ESSB has the following roles:</w:t>
      </w:r>
    </w:p>
    <w:p w:rsidR="00DF17E9" w:rsidRDefault="00DF17E9" w:rsidP="00044843">
      <w:pPr>
        <w:pStyle w:val="ListBullet"/>
        <w:numPr>
          <w:ilvl w:val="0"/>
          <w:numId w:val="9"/>
        </w:numPr>
        <w:ind w:left="397" w:hanging="397"/>
      </w:pPr>
      <w:r>
        <w:t>administration of the schemes, including payment of benefits to beneficiaries in accordance with the governing rules of the schemes;</w:t>
      </w:r>
    </w:p>
    <w:p w:rsidR="00DF17E9" w:rsidRDefault="00DF17E9" w:rsidP="00044843">
      <w:pPr>
        <w:pStyle w:val="ListBullet"/>
        <w:numPr>
          <w:ilvl w:val="0"/>
          <w:numId w:val="9"/>
        </w:numPr>
        <w:ind w:left="397" w:hanging="397"/>
      </w:pPr>
      <w:r>
        <w:t>management and investment of the assets of the schemes, the responsibility for which is outsourced to the Victorian Funds Management Corporation; and</w:t>
      </w:r>
    </w:p>
    <w:p w:rsidR="00DF17E9" w:rsidRDefault="00DF17E9" w:rsidP="00044843">
      <w:pPr>
        <w:pStyle w:val="ListBullet"/>
        <w:numPr>
          <w:ilvl w:val="0"/>
          <w:numId w:val="9"/>
        </w:numPr>
        <w:ind w:left="397" w:hanging="397"/>
      </w:pPr>
      <w:r>
        <w:t>compliance with superannuation law and other applicable regulations in accordance with the Heads of Government Agreement.</w:t>
      </w:r>
    </w:p>
    <w:p w:rsidR="00DF17E9" w:rsidRDefault="00DF17E9" w:rsidP="00140A80">
      <w:r>
        <w:t>However, please note that constitutionally protected pensions are governed by Victorian Acts for which the Attorney-General is responsible.</w:t>
      </w:r>
    </w:p>
    <w:p w:rsidR="00DF17E9" w:rsidRDefault="00DF17E9" w:rsidP="00140A80">
      <w:r>
        <w:t>First State Super is a regulated public offer superannuation fund. The FSS Trustee Corporation (FSSTC) is responsible for the governance of First State Super and therefore Health Super. As trustee, the FSSTC has the following roles:</w:t>
      </w:r>
    </w:p>
    <w:p w:rsidR="00DF17E9" w:rsidRPr="00140FD6" w:rsidRDefault="00DF17E9" w:rsidP="00044843">
      <w:pPr>
        <w:pStyle w:val="ListBullet"/>
        <w:numPr>
          <w:ilvl w:val="0"/>
          <w:numId w:val="9"/>
        </w:numPr>
        <w:ind w:left="397" w:hanging="397"/>
      </w:pPr>
      <w:r>
        <w:t>ad</w:t>
      </w:r>
      <w:r w:rsidRPr="00140FD6">
        <w:t>ministration of Health Super, including payment of benefits to beneficiaries in accordance with the governing rules;</w:t>
      </w:r>
    </w:p>
    <w:p w:rsidR="00DF17E9" w:rsidRPr="00140FD6" w:rsidRDefault="00DF17E9" w:rsidP="00044843">
      <w:pPr>
        <w:pStyle w:val="ListBullet"/>
        <w:numPr>
          <w:ilvl w:val="0"/>
          <w:numId w:val="9"/>
        </w:numPr>
        <w:ind w:left="397" w:hanging="397"/>
      </w:pPr>
      <w:r w:rsidRPr="00140FD6">
        <w:t>management and investment of the assets of Health Super; and</w:t>
      </w:r>
    </w:p>
    <w:p w:rsidR="00DF17E9" w:rsidRDefault="00DF17E9" w:rsidP="00044843">
      <w:pPr>
        <w:pStyle w:val="ListBullet"/>
        <w:numPr>
          <w:ilvl w:val="0"/>
          <w:numId w:val="9"/>
        </w:numPr>
        <w:ind w:left="397" w:hanging="397"/>
      </w:pPr>
      <w:r w:rsidRPr="00140FD6">
        <w:t>co</w:t>
      </w:r>
      <w:r>
        <w:t>mpliance with superannuation law and other applicable regulations.</w:t>
      </w:r>
    </w:p>
    <w:p w:rsidR="00DF17E9" w:rsidRDefault="00DF17E9" w:rsidP="003936D1">
      <w:pPr>
        <w:pStyle w:val="Subheadingunderline"/>
      </w:pPr>
      <w:r w:rsidRPr="00140A80">
        <w:t>Superannuation assumptions</w:t>
      </w:r>
    </w:p>
    <w:p w:rsidR="00DF17E9" w:rsidRDefault="00DF17E9" w:rsidP="00044843">
      <w:r w:rsidRPr="00525494">
        <w:t>The significant actuarial assumptions used for superannuation reporting purposes</w:t>
      </w:r>
      <w:r>
        <w:t xml:space="preserve"> are the discount rate, future rates of wages growth and</w:t>
      </w:r>
      <w:r w:rsidRPr="00525494">
        <w:t xml:space="preserve"> the inflation rate that is used to index pensions</w:t>
      </w:r>
      <w:r>
        <w:t>,</w:t>
      </w:r>
      <w:r w:rsidRPr="00525494">
        <w:t xml:space="preserve"> as detailed below.</w:t>
      </w:r>
    </w:p>
    <w:p w:rsidR="00DF17E9" w:rsidRDefault="00DF17E9" w:rsidP="00401819"/>
    <w:p w:rsidR="00DF17E9" w:rsidRDefault="00DF17E9" w:rsidP="00401819">
      <w:pPr>
        <w:sectPr w:rsidR="00DF17E9" w:rsidSect="00044843">
          <w:type w:val="continuous"/>
          <w:pgSz w:w="11906" w:h="16838" w:code="9"/>
          <w:pgMar w:top="1134" w:right="1134" w:bottom="1134" w:left="1134" w:header="624" w:footer="567" w:gutter="0"/>
          <w:cols w:num="2" w:space="709"/>
          <w:docGrid w:linePitch="360"/>
        </w:sectPr>
      </w:pPr>
    </w:p>
    <w:p w:rsidR="00DF17E9" w:rsidRDefault="00DF17E9">
      <w:r>
        <w:lastRenderedPageBreak/>
        <w:br w:type="page"/>
      </w:r>
    </w:p>
    <w:p w:rsidR="00DF17E9" w:rsidRPr="00092971" w:rsidRDefault="00DF17E9" w:rsidP="009827EC">
      <w:pPr>
        <w:pStyle w:val="Note"/>
        <w:rPr>
          <w:b/>
          <w:bCs/>
          <w:lang w:val="en-US"/>
        </w:rPr>
      </w:pPr>
    </w:p>
    <w:tbl>
      <w:tblPr>
        <w:tblStyle w:val="TableDTFGeneral"/>
        <w:tblW w:w="9642" w:type="dxa"/>
        <w:tblLayout w:type="fixed"/>
        <w:tblLook w:val="02A0" w:firstRow="1" w:lastRow="0" w:firstColumn="1" w:lastColumn="0" w:noHBand="1" w:noVBand="0"/>
      </w:tblPr>
      <w:tblGrid>
        <w:gridCol w:w="2773"/>
        <w:gridCol w:w="2643"/>
        <w:gridCol w:w="2266"/>
        <w:gridCol w:w="980"/>
        <w:gridCol w:w="980"/>
      </w:tblGrid>
      <w:tr w:rsidR="0082402B" w:rsidRPr="00092971" w:rsidTr="008240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3" w:type="dxa"/>
            <w:vMerge w:val="restart"/>
          </w:tcPr>
          <w:p w:rsidR="0082402B" w:rsidRPr="00092971" w:rsidRDefault="0082402B" w:rsidP="0082402B">
            <w:pPr>
              <w:ind w:left="0" w:firstLine="0"/>
              <w:rPr>
                <w:i w:val="0"/>
                <w:color w:val="FFFFFF"/>
              </w:rPr>
            </w:pPr>
            <w:r w:rsidRPr="00092971">
              <w:rPr>
                <w:color w:val="FFFFFF"/>
              </w:rPr>
              <w:t>Victorian statutory</w:t>
            </w:r>
          </w:p>
          <w:p w:rsidR="0082402B" w:rsidRPr="00092971" w:rsidRDefault="0082402B" w:rsidP="0082402B">
            <w:pPr>
              <w:ind w:left="0" w:firstLine="0"/>
              <w:rPr>
                <w:color w:val="FFFFFF"/>
              </w:rPr>
            </w:pPr>
            <w:r w:rsidRPr="00092971">
              <w:rPr>
                <w:color w:val="FFFFFF"/>
              </w:rPr>
              <w:t>superannuation funds</w:t>
            </w:r>
          </w:p>
        </w:tc>
        <w:tc>
          <w:tcPr>
            <w:cnfStyle w:val="000010000000" w:firstRow="0" w:lastRow="0" w:firstColumn="0" w:lastColumn="0" w:oddVBand="1" w:evenVBand="0" w:oddHBand="0" w:evenHBand="0" w:firstRowFirstColumn="0" w:firstRowLastColumn="0" w:lastRowFirstColumn="0" w:lastRowLastColumn="0"/>
            <w:tcW w:w="2643" w:type="dxa"/>
            <w:vMerge w:val="restart"/>
          </w:tcPr>
          <w:p w:rsidR="0082402B" w:rsidRPr="00092971" w:rsidRDefault="0082402B" w:rsidP="00044843">
            <w:pPr>
              <w:jc w:val="left"/>
              <w:rPr>
                <w:i w:val="0"/>
                <w:color w:val="FFFFFF"/>
              </w:rPr>
            </w:pPr>
            <w:r w:rsidRPr="00092971">
              <w:rPr>
                <w:color w:val="FFFFFF"/>
              </w:rPr>
              <w:t xml:space="preserve"> </w:t>
            </w:r>
          </w:p>
          <w:p w:rsidR="0082402B" w:rsidRPr="00092971" w:rsidRDefault="0082402B" w:rsidP="00044843">
            <w:pPr>
              <w:jc w:val="left"/>
              <w:rPr>
                <w:color w:val="FFFFFF"/>
              </w:rPr>
            </w:pPr>
            <w:r w:rsidRPr="00092971">
              <w:rPr>
                <w:color w:val="FFFFFF"/>
              </w:rPr>
              <w:t>Actuary</w:t>
            </w:r>
          </w:p>
        </w:tc>
        <w:tc>
          <w:tcPr>
            <w:tcW w:w="2266" w:type="dxa"/>
            <w:vMerge w:val="restart"/>
          </w:tcPr>
          <w:p w:rsidR="0082402B" w:rsidRPr="00092971" w:rsidRDefault="0082402B" w:rsidP="00044843">
            <w:pPr>
              <w:jc w:val="left"/>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 xml:space="preserve">Financial  </w:t>
            </w:r>
          </w:p>
          <w:p w:rsidR="0082402B" w:rsidRPr="00092971" w:rsidRDefault="0082402B"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assumptions</w:t>
            </w:r>
          </w:p>
        </w:tc>
        <w:tc>
          <w:tcPr>
            <w:cnfStyle w:val="000010000000" w:firstRow="0" w:lastRow="0" w:firstColumn="0" w:lastColumn="0" w:oddVBand="1" w:evenVBand="0" w:oddHBand="0" w:evenHBand="0" w:firstRowFirstColumn="0" w:firstRowLastColumn="0" w:lastRowFirstColumn="0" w:lastRowLastColumn="0"/>
            <w:tcW w:w="1960" w:type="dxa"/>
            <w:gridSpan w:val="2"/>
          </w:tcPr>
          <w:p w:rsidR="0082402B" w:rsidRPr="00092971" w:rsidRDefault="0082402B" w:rsidP="00044843">
            <w:pPr>
              <w:jc w:val="center"/>
              <w:rPr>
                <w:color w:val="FFFFFF"/>
              </w:rPr>
            </w:pPr>
            <w:r w:rsidRPr="00092971">
              <w:rPr>
                <w:color w:val="FFFFFF"/>
              </w:rPr>
              <w:t>Per cent per annum</w:t>
            </w:r>
          </w:p>
        </w:tc>
      </w:tr>
      <w:tr w:rsidR="0082402B" w:rsidRPr="00092971" w:rsidTr="008240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3" w:type="dxa"/>
            <w:vMerge/>
          </w:tcPr>
          <w:p w:rsidR="0082402B" w:rsidRPr="00092971" w:rsidRDefault="0082402B"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2643" w:type="dxa"/>
            <w:vMerge/>
          </w:tcPr>
          <w:p w:rsidR="0082402B" w:rsidRPr="00092971" w:rsidRDefault="0082402B" w:rsidP="00044843">
            <w:pPr>
              <w:jc w:val="left"/>
              <w:rPr>
                <w:color w:val="FFFFFF"/>
              </w:rPr>
            </w:pPr>
          </w:p>
        </w:tc>
        <w:tc>
          <w:tcPr>
            <w:tcW w:w="2266" w:type="dxa"/>
            <w:vMerge/>
          </w:tcPr>
          <w:p w:rsidR="0082402B" w:rsidRPr="00092971" w:rsidRDefault="0082402B" w:rsidP="00044843">
            <w:pPr>
              <w:jc w:val="left"/>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980" w:type="dxa"/>
          </w:tcPr>
          <w:p w:rsidR="0082402B" w:rsidRPr="00092971" w:rsidRDefault="0082402B" w:rsidP="00044843">
            <w:pPr>
              <w:rPr>
                <w:color w:val="FFFFFF"/>
              </w:rPr>
            </w:pPr>
            <w:r w:rsidRPr="00092971">
              <w:rPr>
                <w:color w:val="FFFFFF"/>
              </w:rPr>
              <w:t>2016</w:t>
            </w:r>
          </w:p>
        </w:tc>
        <w:tc>
          <w:tcPr>
            <w:tcW w:w="980" w:type="dxa"/>
          </w:tcPr>
          <w:p w:rsidR="0082402B" w:rsidRPr="00092971" w:rsidRDefault="0082402B"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Pr>
          <w:p w:rsidR="00DF17E9" w:rsidRPr="00092971" w:rsidRDefault="00DF17E9" w:rsidP="00044843">
            <w:pPr>
              <w:ind w:left="0" w:firstLine="0"/>
              <w:rPr>
                <w:color w:val="000000"/>
              </w:rPr>
            </w:pPr>
            <w:r w:rsidRPr="00092971">
              <w:rPr>
                <w:color w:val="000000"/>
              </w:rPr>
              <w:t>Emergency Services and State Super</w:t>
            </w:r>
          </w:p>
        </w:tc>
        <w:tc>
          <w:tcPr>
            <w:cnfStyle w:val="000010000000" w:firstRow="0" w:lastRow="0" w:firstColumn="0" w:lastColumn="0" w:oddVBand="1" w:evenVBand="0" w:oddHBand="0" w:evenHBand="0" w:firstRowFirstColumn="0" w:firstRowLastColumn="0" w:lastRowFirstColumn="0" w:lastRowLastColumn="0"/>
            <w:tcW w:w="2643" w:type="dxa"/>
          </w:tcPr>
          <w:p w:rsidR="00DF17E9" w:rsidRPr="00092971" w:rsidRDefault="00DF17E9" w:rsidP="00044843">
            <w:pPr>
              <w:jc w:val="left"/>
              <w:rPr>
                <w:color w:val="000000"/>
              </w:rPr>
            </w:pPr>
            <w:r w:rsidRPr="00092971">
              <w:rPr>
                <w:color w:val="000000"/>
              </w:rPr>
              <w:t xml:space="preserve">PricewaterhouseCoopers (PwC) </w:t>
            </w:r>
            <w:r w:rsidRPr="00092971">
              <w:rPr>
                <w:color w:val="000000"/>
                <w:vertAlign w:val="superscript"/>
              </w:rPr>
              <w:t>(a)</w:t>
            </w:r>
          </w:p>
        </w:tc>
        <w:tc>
          <w:tcPr>
            <w:tcW w:w="2266"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Expected return on assets </w:t>
            </w:r>
            <w:r w:rsidRPr="00092971">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80" w:type="dxa"/>
          </w:tcPr>
          <w:p w:rsidR="00DF17E9" w:rsidRPr="00092971" w:rsidRDefault="00DF17E9" w:rsidP="00044843">
            <w:r w:rsidRPr="00092971">
              <w:rPr>
                <w:color w:val="000000"/>
              </w:rPr>
              <w:t>8.0</w:t>
            </w:r>
          </w:p>
        </w:tc>
        <w:tc>
          <w:tcPr>
            <w:tcW w:w="98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Pr>
          <w:p w:rsidR="00DF17E9" w:rsidRPr="00092971" w:rsidRDefault="00DF17E9" w:rsidP="00044843">
            <w:pPr>
              <w:jc w:val="left"/>
              <w:rPr>
                <w:color w:val="000000"/>
              </w:rPr>
            </w:pPr>
            <w:r w:rsidRPr="00092971">
              <w:rPr>
                <w:color w:val="000000"/>
              </w:rPr>
              <w:t xml:space="preserve"> </w:t>
            </w:r>
          </w:p>
        </w:tc>
        <w:tc>
          <w:tcPr>
            <w:tcW w:w="2266"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Discount rate </w:t>
            </w:r>
            <w:r w:rsidRPr="00092971">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80" w:type="dxa"/>
          </w:tcPr>
          <w:p w:rsidR="00DF17E9" w:rsidRPr="00092971" w:rsidRDefault="00DF17E9" w:rsidP="00044843">
            <w:r w:rsidRPr="00092971">
              <w:rPr>
                <w:color w:val="000000"/>
              </w:rPr>
              <w:t>2.4</w:t>
            </w:r>
          </w:p>
        </w:tc>
        <w:tc>
          <w:tcPr>
            <w:tcW w:w="98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bottom w:val="nil"/>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Borders>
              <w:bottom w:val="nil"/>
            </w:tcBorders>
          </w:tcPr>
          <w:p w:rsidR="00DF17E9" w:rsidRPr="00092971" w:rsidRDefault="00DF17E9" w:rsidP="00044843">
            <w:pPr>
              <w:jc w:val="left"/>
              <w:rPr>
                <w:color w:val="000000"/>
              </w:rPr>
            </w:pPr>
            <w:r w:rsidRPr="00092971">
              <w:rPr>
                <w:color w:val="000000"/>
              </w:rPr>
              <w:t xml:space="preserve"> </w:t>
            </w:r>
          </w:p>
        </w:tc>
        <w:tc>
          <w:tcPr>
            <w:tcW w:w="2266" w:type="dxa"/>
            <w:tcBorders>
              <w:bottom w:val="nil"/>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Wages growth </w:t>
            </w:r>
            <w:r w:rsidRPr="00092971">
              <w:rPr>
                <w:color w:val="000000"/>
                <w:vertAlign w:val="superscript"/>
              </w:rPr>
              <w:t>(d)</w:t>
            </w:r>
          </w:p>
        </w:tc>
        <w:tc>
          <w:tcPr>
            <w:cnfStyle w:val="000010000000" w:firstRow="0" w:lastRow="0" w:firstColumn="0" w:lastColumn="0" w:oddVBand="1" w:evenVBand="0" w:oddHBand="0" w:evenHBand="0" w:firstRowFirstColumn="0" w:firstRowLastColumn="0" w:lastRowFirstColumn="0" w:lastRowLastColumn="0"/>
            <w:tcW w:w="980" w:type="dxa"/>
            <w:tcBorders>
              <w:bottom w:val="nil"/>
            </w:tcBorders>
          </w:tcPr>
          <w:p w:rsidR="00DF17E9" w:rsidRPr="00092971" w:rsidRDefault="00DF17E9" w:rsidP="00044843">
            <w:r w:rsidRPr="00092971">
              <w:rPr>
                <w:color w:val="000000"/>
              </w:rPr>
              <w:t>3.1</w:t>
            </w:r>
          </w:p>
        </w:tc>
        <w:tc>
          <w:tcPr>
            <w:tcW w:w="98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3.7</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bottom w:val="single" w:sz="6" w:space="0" w:color="auto"/>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Borders>
              <w:bottom w:val="single" w:sz="6" w:space="0" w:color="auto"/>
            </w:tcBorders>
          </w:tcPr>
          <w:p w:rsidR="00DF17E9" w:rsidRPr="00092971" w:rsidRDefault="00DF17E9" w:rsidP="00044843">
            <w:pPr>
              <w:jc w:val="left"/>
              <w:rPr>
                <w:color w:val="000000"/>
              </w:rPr>
            </w:pPr>
            <w:r w:rsidRPr="00092971">
              <w:rPr>
                <w:color w:val="000000"/>
              </w:rPr>
              <w:t xml:space="preserve"> </w:t>
            </w:r>
          </w:p>
        </w:tc>
        <w:tc>
          <w:tcPr>
            <w:tcW w:w="2266" w:type="dxa"/>
            <w:tcBorders>
              <w:bottom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pPr>
            <w:r w:rsidRPr="00092971">
              <w:rPr>
                <w:color w:val="000000"/>
              </w:rPr>
              <w:t>Inflation rate</w:t>
            </w:r>
          </w:p>
        </w:tc>
        <w:tc>
          <w:tcPr>
            <w:cnfStyle w:val="000010000000" w:firstRow="0" w:lastRow="0" w:firstColumn="0" w:lastColumn="0" w:oddVBand="1" w:evenVBand="0" w:oddHBand="0" w:evenHBand="0" w:firstRowFirstColumn="0" w:firstRowLastColumn="0" w:lastRowFirstColumn="0" w:lastRowLastColumn="0"/>
            <w:tcW w:w="980" w:type="dxa"/>
            <w:tcBorders>
              <w:bottom w:val="single" w:sz="6" w:space="0" w:color="auto"/>
            </w:tcBorders>
          </w:tcPr>
          <w:p w:rsidR="00DF17E9" w:rsidRPr="00092971" w:rsidRDefault="00DF17E9" w:rsidP="00044843">
            <w:r w:rsidRPr="00092971">
              <w:rPr>
                <w:color w:val="000000"/>
              </w:rPr>
              <w:t>1.6</w:t>
            </w:r>
          </w:p>
        </w:tc>
        <w:tc>
          <w:tcPr>
            <w:tcW w:w="98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2.2</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top w:val="single" w:sz="6" w:space="0" w:color="auto"/>
            </w:tcBorders>
          </w:tcPr>
          <w:p w:rsidR="00DF17E9" w:rsidRPr="00092971" w:rsidRDefault="00DF17E9" w:rsidP="00044843">
            <w:pPr>
              <w:ind w:left="0" w:firstLine="0"/>
              <w:rPr>
                <w:color w:val="000000"/>
              </w:rPr>
            </w:pPr>
            <w:r w:rsidRPr="00092971">
              <w:rPr>
                <w:color w:val="000000"/>
              </w:rPr>
              <w:t>Constitutionally Protected Pensions</w:t>
            </w:r>
          </w:p>
        </w:tc>
        <w:tc>
          <w:tcPr>
            <w:cnfStyle w:val="000010000000" w:firstRow="0" w:lastRow="0" w:firstColumn="0" w:lastColumn="0" w:oddVBand="1" w:evenVBand="0" w:oddHBand="0" w:evenHBand="0" w:firstRowFirstColumn="0" w:firstRowLastColumn="0" w:lastRowFirstColumn="0" w:lastRowLastColumn="0"/>
            <w:tcW w:w="2643" w:type="dxa"/>
            <w:tcBorders>
              <w:top w:val="single" w:sz="6" w:space="0" w:color="auto"/>
            </w:tcBorders>
          </w:tcPr>
          <w:p w:rsidR="00DF17E9" w:rsidRPr="00092971" w:rsidRDefault="00DF17E9" w:rsidP="00044843">
            <w:pPr>
              <w:jc w:val="left"/>
              <w:rPr>
                <w:color w:val="000000"/>
              </w:rPr>
            </w:pPr>
            <w:r w:rsidRPr="00092971">
              <w:rPr>
                <w:color w:val="000000"/>
              </w:rPr>
              <w:t xml:space="preserve">PwC </w:t>
            </w:r>
            <w:r w:rsidRPr="00092971">
              <w:rPr>
                <w:color w:val="000000"/>
                <w:vertAlign w:val="superscript"/>
              </w:rPr>
              <w:t>(a)</w:t>
            </w:r>
          </w:p>
        </w:tc>
        <w:tc>
          <w:tcPr>
            <w:tcW w:w="2266"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Discount rate </w:t>
            </w:r>
            <w:r w:rsidRPr="00092971">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80" w:type="dxa"/>
            <w:tcBorders>
              <w:top w:val="single" w:sz="6" w:space="0" w:color="auto"/>
            </w:tcBorders>
          </w:tcPr>
          <w:p w:rsidR="00DF17E9" w:rsidRPr="00092971" w:rsidRDefault="00DF17E9" w:rsidP="00044843">
            <w:r w:rsidRPr="00092971">
              <w:rPr>
                <w:color w:val="000000"/>
              </w:rPr>
              <w:t>2.4</w:t>
            </w:r>
          </w:p>
        </w:tc>
        <w:tc>
          <w:tcPr>
            <w:tcW w:w="980"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bottom w:val="nil"/>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Borders>
              <w:bottom w:val="nil"/>
            </w:tcBorders>
          </w:tcPr>
          <w:p w:rsidR="00DF17E9" w:rsidRPr="00092971" w:rsidRDefault="00DF17E9" w:rsidP="00044843">
            <w:pPr>
              <w:jc w:val="left"/>
              <w:rPr>
                <w:color w:val="000000"/>
              </w:rPr>
            </w:pPr>
            <w:r w:rsidRPr="00092971">
              <w:rPr>
                <w:color w:val="000000"/>
              </w:rPr>
              <w:t xml:space="preserve"> </w:t>
            </w:r>
          </w:p>
        </w:tc>
        <w:tc>
          <w:tcPr>
            <w:tcW w:w="2266" w:type="dxa"/>
            <w:tcBorders>
              <w:bottom w:val="nil"/>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Wages growth </w:t>
            </w:r>
            <w:r w:rsidRPr="00092971">
              <w:rPr>
                <w:color w:val="000000"/>
                <w:vertAlign w:val="superscript"/>
              </w:rPr>
              <w:t>(d)</w:t>
            </w:r>
          </w:p>
        </w:tc>
        <w:tc>
          <w:tcPr>
            <w:cnfStyle w:val="000010000000" w:firstRow="0" w:lastRow="0" w:firstColumn="0" w:lastColumn="0" w:oddVBand="1" w:evenVBand="0" w:oddHBand="0" w:evenHBand="0" w:firstRowFirstColumn="0" w:firstRowLastColumn="0" w:lastRowFirstColumn="0" w:lastRowLastColumn="0"/>
            <w:tcW w:w="980" w:type="dxa"/>
            <w:tcBorders>
              <w:bottom w:val="nil"/>
            </w:tcBorders>
          </w:tcPr>
          <w:p w:rsidR="00DF17E9" w:rsidRPr="00092971" w:rsidRDefault="00DF17E9" w:rsidP="00044843">
            <w:r w:rsidRPr="00092971">
              <w:rPr>
                <w:color w:val="000000"/>
              </w:rPr>
              <w:t>3.1</w:t>
            </w:r>
          </w:p>
        </w:tc>
        <w:tc>
          <w:tcPr>
            <w:tcW w:w="98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3.7</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bottom w:val="single" w:sz="6" w:space="0" w:color="auto"/>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Borders>
              <w:bottom w:val="single" w:sz="6" w:space="0" w:color="auto"/>
            </w:tcBorders>
          </w:tcPr>
          <w:p w:rsidR="00DF17E9" w:rsidRPr="00092971" w:rsidRDefault="00DF17E9" w:rsidP="00044843">
            <w:pPr>
              <w:jc w:val="left"/>
              <w:rPr>
                <w:color w:val="000000"/>
              </w:rPr>
            </w:pPr>
            <w:r w:rsidRPr="00092971">
              <w:rPr>
                <w:color w:val="000000"/>
              </w:rPr>
              <w:t xml:space="preserve"> </w:t>
            </w:r>
          </w:p>
        </w:tc>
        <w:tc>
          <w:tcPr>
            <w:tcW w:w="2266" w:type="dxa"/>
            <w:tcBorders>
              <w:bottom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pPr>
            <w:r w:rsidRPr="00092971">
              <w:rPr>
                <w:color w:val="000000"/>
              </w:rPr>
              <w:t>Inflation rate</w:t>
            </w:r>
          </w:p>
        </w:tc>
        <w:tc>
          <w:tcPr>
            <w:cnfStyle w:val="000010000000" w:firstRow="0" w:lastRow="0" w:firstColumn="0" w:lastColumn="0" w:oddVBand="1" w:evenVBand="0" w:oddHBand="0" w:evenHBand="0" w:firstRowFirstColumn="0" w:firstRowLastColumn="0" w:lastRowFirstColumn="0" w:lastRowLastColumn="0"/>
            <w:tcW w:w="980" w:type="dxa"/>
            <w:tcBorders>
              <w:bottom w:val="single" w:sz="6" w:space="0" w:color="auto"/>
            </w:tcBorders>
          </w:tcPr>
          <w:p w:rsidR="00DF17E9" w:rsidRPr="00092971" w:rsidRDefault="00DF17E9" w:rsidP="00044843">
            <w:r w:rsidRPr="00092971">
              <w:rPr>
                <w:color w:val="000000"/>
              </w:rPr>
              <w:t>n</w:t>
            </w:r>
            <w:r w:rsidRPr="00092971">
              <w:t>/a</w:t>
            </w:r>
          </w:p>
        </w:tc>
        <w:tc>
          <w:tcPr>
            <w:tcW w:w="98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n/a</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top w:val="single" w:sz="6" w:space="0" w:color="auto"/>
            </w:tcBorders>
          </w:tcPr>
          <w:p w:rsidR="00DF17E9" w:rsidRPr="00092971" w:rsidRDefault="00DF17E9" w:rsidP="00044843">
            <w:pPr>
              <w:ind w:left="0" w:firstLine="0"/>
              <w:rPr>
                <w:color w:val="000000"/>
              </w:rPr>
            </w:pPr>
            <w:r w:rsidRPr="00092971">
              <w:rPr>
                <w:color w:val="000000"/>
              </w:rPr>
              <w:t>Health Super Fund</w:t>
            </w:r>
          </w:p>
        </w:tc>
        <w:tc>
          <w:tcPr>
            <w:cnfStyle w:val="000010000000" w:firstRow="0" w:lastRow="0" w:firstColumn="0" w:lastColumn="0" w:oddVBand="1" w:evenVBand="0" w:oddHBand="0" w:evenHBand="0" w:firstRowFirstColumn="0" w:firstRowLastColumn="0" w:lastRowFirstColumn="0" w:lastRowLastColumn="0"/>
            <w:tcW w:w="2643" w:type="dxa"/>
            <w:tcBorders>
              <w:top w:val="single" w:sz="6" w:space="0" w:color="auto"/>
            </w:tcBorders>
          </w:tcPr>
          <w:p w:rsidR="00DF17E9" w:rsidRPr="00092971" w:rsidRDefault="00DF17E9" w:rsidP="00044843">
            <w:pPr>
              <w:jc w:val="left"/>
              <w:rPr>
                <w:color w:val="000000"/>
              </w:rPr>
            </w:pPr>
            <w:r w:rsidRPr="00092971">
              <w:rPr>
                <w:color w:val="000000"/>
              </w:rPr>
              <w:t xml:space="preserve">Mercer </w:t>
            </w:r>
            <w:r w:rsidRPr="00092971">
              <w:rPr>
                <w:color w:val="000000"/>
                <w:vertAlign w:val="superscript"/>
              </w:rPr>
              <w:t>(e)</w:t>
            </w:r>
          </w:p>
        </w:tc>
        <w:tc>
          <w:tcPr>
            <w:tcW w:w="2266"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Expected return on assets </w:t>
            </w:r>
            <w:r w:rsidRPr="00092971">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80" w:type="dxa"/>
            <w:tcBorders>
              <w:top w:val="single" w:sz="6" w:space="0" w:color="auto"/>
            </w:tcBorders>
          </w:tcPr>
          <w:p w:rsidR="00DF17E9" w:rsidRPr="00092971" w:rsidRDefault="00DF17E9" w:rsidP="00044843">
            <w:r w:rsidRPr="00092971">
              <w:rPr>
                <w:color w:val="000000"/>
              </w:rPr>
              <w:t>5.8</w:t>
            </w:r>
          </w:p>
        </w:tc>
        <w:tc>
          <w:tcPr>
            <w:tcW w:w="980"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5.8</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Pr>
          <w:p w:rsidR="00DF17E9" w:rsidRPr="00092971" w:rsidRDefault="00DF17E9" w:rsidP="00044843">
            <w:pPr>
              <w:jc w:val="left"/>
              <w:rPr>
                <w:color w:val="000000"/>
              </w:rPr>
            </w:pPr>
            <w:r w:rsidRPr="00092971">
              <w:rPr>
                <w:color w:val="000000"/>
              </w:rPr>
              <w:t xml:space="preserve"> </w:t>
            </w:r>
          </w:p>
        </w:tc>
        <w:tc>
          <w:tcPr>
            <w:tcW w:w="2266"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Discount rate </w:t>
            </w:r>
            <w:r w:rsidRPr="00092971">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80" w:type="dxa"/>
          </w:tcPr>
          <w:p w:rsidR="00DF17E9" w:rsidRPr="00092971" w:rsidRDefault="00DF17E9" w:rsidP="00044843">
            <w:r w:rsidRPr="00092971">
              <w:rPr>
                <w:color w:val="000000"/>
              </w:rPr>
              <w:t>2.4</w:t>
            </w:r>
          </w:p>
        </w:tc>
        <w:tc>
          <w:tcPr>
            <w:tcW w:w="98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bottom w:val="nil"/>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Borders>
              <w:bottom w:val="nil"/>
            </w:tcBorders>
          </w:tcPr>
          <w:p w:rsidR="00DF17E9" w:rsidRPr="00092971" w:rsidRDefault="00DF17E9" w:rsidP="00044843">
            <w:pPr>
              <w:jc w:val="left"/>
              <w:rPr>
                <w:color w:val="000000"/>
              </w:rPr>
            </w:pPr>
            <w:r w:rsidRPr="00092971">
              <w:rPr>
                <w:color w:val="000000"/>
              </w:rPr>
              <w:t xml:space="preserve"> </w:t>
            </w:r>
          </w:p>
        </w:tc>
        <w:tc>
          <w:tcPr>
            <w:tcW w:w="2266" w:type="dxa"/>
            <w:tcBorders>
              <w:bottom w:val="nil"/>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Wages growth </w:t>
            </w:r>
            <w:r w:rsidRPr="00092971">
              <w:rPr>
                <w:color w:val="000000"/>
                <w:vertAlign w:val="superscript"/>
              </w:rPr>
              <w:t>(d)</w:t>
            </w:r>
          </w:p>
        </w:tc>
        <w:tc>
          <w:tcPr>
            <w:cnfStyle w:val="000010000000" w:firstRow="0" w:lastRow="0" w:firstColumn="0" w:lastColumn="0" w:oddVBand="1" w:evenVBand="0" w:oddHBand="0" w:evenHBand="0" w:firstRowFirstColumn="0" w:firstRowLastColumn="0" w:lastRowFirstColumn="0" w:lastRowLastColumn="0"/>
            <w:tcW w:w="980" w:type="dxa"/>
            <w:tcBorders>
              <w:bottom w:val="nil"/>
            </w:tcBorders>
          </w:tcPr>
          <w:p w:rsidR="00DF17E9" w:rsidRPr="00092971" w:rsidRDefault="00DF17E9" w:rsidP="00044843">
            <w:r w:rsidRPr="00092971">
              <w:rPr>
                <w:color w:val="000000"/>
              </w:rPr>
              <w:t>3.1</w:t>
            </w:r>
          </w:p>
        </w:tc>
        <w:tc>
          <w:tcPr>
            <w:tcW w:w="98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3.7</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2643" w:type="dxa"/>
            <w:tcBorders>
              <w:bottom w:val="single" w:sz="12" w:space="0" w:color="auto"/>
            </w:tcBorders>
          </w:tcPr>
          <w:p w:rsidR="00DF17E9" w:rsidRPr="00092971" w:rsidRDefault="00DF17E9" w:rsidP="00044843">
            <w:pPr>
              <w:jc w:val="left"/>
              <w:rPr>
                <w:color w:val="000000"/>
              </w:rPr>
            </w:pPr>
            <w:r w:rsidRPr="00092971">
              <w:rPr>
                <w:color w:val="000000"/>
              </w:rPr>
              <w:t xml:space="preserve"> </w:t>
            </w:r>
          </w:p>
        </w:tc>
        <w:tc>
          <w:tcPr>
            <w:tcW w:w="2266" w:type="dxa"/>
            <w:tcBorders>
              <w:bottom w:val="single" w:sz="12"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Inflation rate</w:t>
            </w:r>
          </w:p>
        </w:tc>
        <w:tc>
          <w:tcPr>
            <w:cnfStyle w:val="000010000000" w:firstRow="0" w:lastRow="0" w:firstColumn="0" w:lastColumn="0" w:oddVBand="1" w:evenVBand="0" w:oddHBand="0" w:evenHBand="0" w:firstRowFirstColumn="0" w:firstRowLastColumn="0" w:lastRowFirstColumn="0" w:lastRowLastColumn="0"/>
            <w:tcW w:w="980" w:type="dxa"/>
            <w:tcBorders>
              <w:bottom w:val="single" w:sz="12" w:space="0" w:color="auto"/>
            </w:tcBorders>
          </w:tcPr>
          <w:p w:rsidR="00DF17E9" w:rsidRPr="00092971" w:rsidRDefault="00DF17E9" w:rsidP="00044843">
            <w:r w:rsidRPr="00092971">
              <w:rPr>
                <w:color w:val="000000"/>
              </w:rPr>
              <w:t>1.6</w:t>
            </w:r>
          </w:p>
        </w:tc>
        <w:tc>
          <w:tcPr>
            <w:tcW w:w="980"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2.2</w:t>
            </w:r>
          </w:p>
        </w:tc>
      </w:tr>
    </w:tbl>
    <w:p w:rsidR="00DF17E9" w:rsidRDefault="00DF17E9" w:rsidP="009827EC">
      <w:pPr>
        <w:pStyle w:val="Note"/>
      </w:pPr>
      <w:r>
        <w:t>Notes:</w:t>
      </w:r>
    </w:p>
    <w:p w:rsidR="00DF17E9" w:rsidRDefault="00DF17E9" w:rsidP="009827EC">
      <w:pPr>
        <w:pStyle w:val="Note"/>
      </w:pPr>
      <w:r>
        <w:t>(a)</w:t>
      </w:r>
      <w:r>
        <w:tab/>
        <w:t>PricewaterhouseCoopers Securities Ltd.</w:t>
      </w:r>
    </w:p>
    <w:p w:rsidR="00DF17E9" w:rsidRDefault="00DF17E9" w:rsidP="009827EC">
      <w:pPr>
        <w:pStyle w:val="Note"/>
      </w:pPr>
      <w:r>
        <w:t>(b)</w:t>
      </w:r>
      <w:r>
        <w:tab/>
        <w:t>The expected return on assets stated is gross of tax. This rate is adjusted in the calculation process to reflect the assumed rate of tax payable by each scheme.</w:t>
      </w:r>
    </w:p>
    <w:p w:rsidR="00DF17E9" w:rsidRDefault="00DF17E9" w:rsidP="009827EC">
      <w:pPr>
        <w:pStyle w:val="Note"/>
      </w:pPr>
      <w:r>
        <w:t>(c)</w:t>
      </w:r>
      <w:r>
        <w:tab/>
        <w:t>In accordance with accounting standards, the discount rate is based on a long-term Commonwealth bond rate. The rate stated above is an annual effective rate, gross of tax.</w:t>
      </w:r>
    </w:p>
    <w:p w:rsidR="00DF17E9" w:rsidRDefault="00DF17E9" w:rsidP="009827EC">
      <w:pPr>
        <w:pStyle w:val="Note"/>
      </w:pPr>
      <w:r>
        <w:t>(d)</w:t>
      </w:r>
      <w:r>
        <w:tab/>
        <w:t>The wages growth assumption is derived from the yields on Commonwealth government bonds.</w:t>
      </w:r>
    </w:p>
    <w:p w:rsidR="00DF17E9" w:rsidRDefault="00DF17E9" w:rsidP="009827EC">
      <w:pPr>
        <w:pStyle w:val="Note"/>
      </w:pPr>
      <w:r>
        <w:t>(e)</w:t>
      </w:r>
      <w:r>
        <w:tab/>
        <w:t>Mercer (Australia) Pty Ltd.</w:t>
      </w:r>
    </w:p>
    <w:p w:rsidR="00DF17E9" w:rsidRDefault="00DF17E9" w:rsidP="00140A80">
      <w:pPr>
        <w:pStyle w:val="BodyText"/>
      </w:pPr>
    </w:p>
    <w:p w:rsidR="00DF17E9" w:rsidRDefault="00DF17E9" w:rsidP="00140A80">
      <w:pPr>
        <w:pStyle w:val="BodyText"/>
        <w:sectPr w:rsidR="00DF17E9" w:rsidSect="00044843">
          <w:type w:val="continuous"/>
          <w:pgSz w:w="11906" w:h="16838" w:code="9"/>
          <w:pgMar w:top="1134" w:right="1134" w:bottom="1134" w:left="1134" w:header="624" w:footer="567" w:gutter="0"/>
          <w:cols w:space="708"/>
          <w:docGrid w:linePitch="360"/>
        </w:sectPr>
      </w:pPr>
    </w:p>
    <w:p w:rsidR="00DF17E9" w:rsidRPr="00401819" w:rsidRDefault="00DF17E9" w:rsidP="00401819">
      <w:pPr>
        <w:pStyle w:val="Subheadingunderline"/>
      </w:pPr>
      <w:r w:rsidRPr="00525494">
        <w:lastRenderedPageBreak/>
        <w:t>Sensitivity analysis</w:t>
      </w:r>
    </w:p>
    <w:p w:rsidR="00DF17E9" w:rsidRDefault="00DF17E9" w:rsidP="00525494">
      <w:r>
        <w:t>The key risks associated with the State’s defined benefit superannuation plans are:</w:t>
      </w:r>
    </w:p>
    <w:p w:rsidR="00DF17E9" w:rsidRPr="00140FD6" w:rsidRDefault="00DF17E9" w:rsidP="00044843">
      <w:pPr>
        <w:pStyle w:val="ListBullet"/>
        <w:numPr>
          <w:ilvl w:val="0"/>
          <w:numId w:val="9"/>
        </w:numPr>
        <w:ind w:left="397" w:hanging="397"/>
      </w:pPr>
      <w:r>
        <w:t>investment risk – the risk that investment retur</w:t>
      </w:r>
      <w:r w:rsidRPr="00140FD6">
        <w:t>ns will be lower than assumed and that State contributions will need to increase to offset the shortfall;</w:t>
      </w:r>
    </w:p>
    <w:p w:rsidR="00DF17E9" w:rsidRPr="00140FD6" w:rsidRDefault="00DF17E9" w:rsidP="00044843">
      <w:pPr>
        <w:pStyle w:val="ListBullet"/>
        <w:numPr>
          <w:ilvl w:val="0"/>
          <w:numId w:val="9"/>
        </w:numPr>
        <w:ind w:left="397" w:hanging="397"/>
      </w:pPr>
      <w:r w:rsidRPr="00140FD6">
        <w:t>wages growth risk – the risk that wages or salaries (on which future benefits are based) will rise more rapidly than assumed, thereby increasing defined benefits and requiring additional employer contributions;</w:t>
      </w:r>
    </w:p>
    <w:p w:rsidR="00DF17E9" w:rsidRDefault="00DF17E9" w:rsidP="00044843">
      <w:pPr>
        <w:pStyle w:val="ListBullet"/>
        <w:numPr>
          <w:ilvl w:val="0"/>
          <w:numId w:val="9"/>
        </w:numPr>
        <w:ind w:left="397" w:hanging="397"/>
      </w:pPr>
      <w:r w:rsidRPr="00140FD6">
        <w:t>pension growth risk – the risk that CPI and therefor</w:t>
      </w:r>
      <w:r>
        <w:t>e pension increases will be higher than assumed, thereby increasing defined benefit pension payments and requiring additional employer contributions; and</w:t>
      </w:r>
    </w:p>
    <w:p w:rsidR="002F70BC" w:rsidRDefault="002F70BC" w:rsidP="002F70BC">
      <w:pPr>
        <w:spacing w:before="170"/>
      </w:pPr>
      <w:r>
        <w:br w:type="column"/>
      </w:r>
    </w:p>
    <w:p w:rsidR="00DF17E9" w:rsidRDefault="00DF17E9" w:rsidP="00044843">
      <w:pPr>
        <w:pStyle w:val="ListBullet"/>
        <w:numPr>
          <w:ilvl w:val="0"/>
          <w:numId w:val="9"/>
        </w:numPr>
        <w:ind w:left="397" w:hanging="397"/>
      </w:pPr>
      <w:r>
        <w:t>longevity risk – the risk that pensioners will live longer than expected, thereby increasing defined benefit pension payments and requiring additional employer contributions.</w:t>
      </w:r>
    </w:p>
    <w:p w:rsidR="00DF17E9" w:rsidRDefault="00DF17E9" w:rsidP="00525494">
      <w:r>
        <w:t xml:space="preserve">To illustrate the impact that movements in these assumptions can have on the State’s superannuation liability, the defined benefit obligation has been remeasured under the scenarios below. </w:t>
      </w:r>
    </w:p>
    <w:p w:rsidR="00DF17E9" w:rsidRDefault="00DF17E9" w:rsidP="00525494">
      <w:r>
        <w:t>The assumptions below have been adjusted while maintaining all other assumptions. There have been no changes to the methods and assumptions used to prepare this sensitivity analysis since the prior period.</w:t>
      </w:r>
    </w:p>
    <w:p w:rsidR="00DF17E9" w:rsidRDefault="00DF17E9" w:rsidP="00525494">
      <w:pPr>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525494"/>
    <w:p w:rsidR="00DF17E9" w:rsidRPr="00092971" w:rsidRDefault="00DF17E9" w:rsidP="00525494">
      <w:pPr>
        <w:rPr>
          <w:b/>
          <w:bCs/>
          <w:lang w:val="en-US"/>
        </w:rPr>
      </w:pPr>
      <w:r w:rsidRPr="008D05A1">
        <w:t>These scenarios are expected to have the following impact on the State’s defined benefit obligation:</w:t>
      </w:r>
    </w:p>
    <w:tbl>
      <w:tblPr>
        <w:tblStyle w:val="TableDTFGeneral"/>
        <w:tblW w:w="9638" w:type="dxa"/>
        <w:tblLayout w:type="fixed"/>
        <w:tblLook w:val="02A0" w:firstRow="1" w:lastRow="0" w:firstColumn="1" w:lastColumn="0" w:noHBand="1" w:noVBand="0"/>
      </w:tblPr>
      <w:tblGrid>
        <w:gridCol w:w="4509"/>
        <w:gridCol w:w="907"/>
        <w:gridCol w:w="1417"/>
        <w:gridCol w:w="1418"/>
        <w:gridCol w:w="1387"/>
      </w:tblGrid>
      <w:tr w:rsidR="00DF17E9" w:rsidRPr="00092971" w:rsidTr="00933E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9"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Base case</w:t>
            </w:r>
          </w:p>
        </w:tc>
        <w:tc>
          <w:tcPr>
            <w:tcW w:w="1417" w:type="dxa"/>
          </w:tcPr>
          <w:p w:rsidR="00DF17E9" w:rsidRPr="00092971" w:rsidRDefault="00DF17E9" w:rsidP="0082402B">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Discount rate </w:t>
            </w:r>
            <w:r w:rsidR="0082402B">
              <w:rPr>
                <w:color w:val="FFFFFF"/>
              </w:rPr>
              <w:br/>
            </w:r>
            <w:r w:rsidRPr="00092971">
              <w:rPr>
                <w:color w:val="FFFFFF"/>
              </w:rPr>
              <w:t>plus 1 per cent</w:t>
            </w:r>
          </w:p>
        </w:tc>
        <w:tc>
          <w:tcPr>
            <w:cnfStyle w:val="000010000000" w:firstRow="0" w:lastRow="0" w:firstColumn="0" w:lastColumn="0" w:oddVBand="1" w:evenVBand="0" w:oddHBand="0" w:evenHBand="0" w:firstRowFirstColumn="0" w:firstRowLastColumn="0" w:lastRowFirstColumn="0" w:lastRowLastColumn="0"/>
            <w:tcW w:w="1418" w:type="dxa"/>
          </w:tcPr>
          <w:p w:rsidR="00DF17E9" w:rsidRPr="00092971" w:rsidRDefault="00DF17E9" w:rsidP="0082402B">
            <w:pPr>
              <w:rPr>
                <w:color w:val="FFFFFF"/>
              </w:rPr>
            </w:pPr>
            <w:r w:rsidRPr="00092971">
              <w:rPr>
                <w:color w:val="FFFFFF"/>
              </w:rPr>
              <w:t xml:space="preserve">Wage growth </w:t>
            </w:r>
            <w:r w:rsidR="0082402B">
              <w:rPr>
                <w:color w:val="FFFFFF"/>
              </w:rPr>
              <w:br/>
            </w:r>
            <w:r w:rsidRPr="00092971">
              <w:rPr>
                <w:color w:val="FFFFFF"/>
              </w:rPr>
              <w:t>plus 1 per cent</w:t>
            </w:r>
          </w:p>
        </w:tc>
        <w:tc>
          <w:tcPr>
            <w:tcW w:w="1387" w:type="dxa"/>
          </w:tcPr>
          <w:p w:rsidR="00DF17E9" w:rsidRPr="00092971" w:rsidRDefault="00DF17E9" w:rsidP="0082402B">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Inflation rate </w:t>
            </w:r>
            <w:r w:rsidR="0082402B">
              <w:rPr>
                <w:color w:val="FFFFFF"/>
              </w:rPr>
              <w:br/>
            </w:r>
            <w:r w:rsidRPr="00092971">
              <w:rPr>
                <w:color w:val="FFFFFF"/>
              </w:rPr>
              <w:t>plus 1 per cent</w:t>
            </w:r>
          </w:p>
        </w:tc>
      </w:tr>
      <w:tr w:rsidR="00DF17E9" w:rsidRPr="00092971" w:rsidTr="00933EBC">
        <w:tc>
          <w:tcPr>
            <w:cnfStyle w:val="001000000000" w:firstRow="0" w:lastRow="0" w:firstColumn="1" w:lastColumn="0" w:oddVBand="0" w:evenVBand="0" w:oddHBand="0" w:evenHBand="0" w:firstRowFirstColumn="0" w:firstRowLastColumn="0" w:lastRowFirstColumn="0" w:lastRowLastColumn="0"/>
            <w:tcW w:w="4509" w:type="dxa"/>
          </w:tcPr>
          <w:p w:rsidR="00DF17E9" w:rsidRPr="00092971" w:rsidRDefault="00DF17E9" w:rsidP="00044843">
            <w:pPr>
              <w:ind w:left="0" w:firstLine="0"/>
              <w:rPr>
                <w:color w:val="000000"/>
              </w:rPr>
            </w:pPr>
            <w:r w:rsidRPr="00092971">
              <w:rPr>
                <w:color w:val="000000"/>
              </w:rPr>
              <w:t>Discount rate (per cent a year)</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2.4</w:t>
            </w:r>
          </w:p>
        </w:tc>
        <w:tc>
          <w:tcPr>
            <w:tcW w:w="141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3.4</w:t>
            </w:r>
          </w:p>
        </w:tc>
        <w:tc>
          <w:tcPr>
            <w:cnfStyle w:val="000010000000" w:firstRow="0" w:lastRow="0" w:firstColumn="0" w:lastColumn="0" w:oddVBand="1" w:evenVBand="0" w:oddHBand="0" w:evenHBand="0" w:firstRowFirstColumn="0" w:firstRowLastColumn="0" w:lastRowFirstColumn="0" w:lastRowLastColumn="0"/>
            <w:tcW w:w="1418" w:type="dxa"/>
          </w:tcPr>
          <w:p w:rsidR="00DF17E9" w:rsidRPr="00092971" w:rsidRDefault="00DF17E9" w:rsidP="00044843">
            <w:pPr>
              <w:rPr>
                <w:color w:val="000000"/>
              </w:rPr>
            </w:pPr>
            <w:r w:rsidRPr="00092971">
              <w:rPr>
                <w:color w:val="000000"/>
              </w:rPr>
              <w:t>2.4</w:t>
            </w:r>
          </w:p>
        </w:tc>
        <w:tc>
          <w:tcPr>
            <w:tcW w:w="138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w:t>
            </w:r>
          </w:p>
        </w:tc>
      </w:tr>
      <w:tr w:rsidR="00DF17E9" w:rsidRPr="00092971" w:rsidTr="00933EBC">
        <w:tc>
          <w:tcPr>
            <w:cnfStyle w:val="001000000000" w:firstRow="0" w:lastRow="0" w:firstColumn="1" w:lastColumn="0" w:oddVBand="0" w:evenVBand="0" w:oddHBand="0" w:evenHBand="0" w:firstRowFirstColumn="0" w:firstRowLastColumn="0" w:lastRowFirstColumn="0" w:lastRowLastColumn="0"/>
            <w:tcW w:w="4509" w:type="dxa"/>
            <w:tcBorders>
              <w:bottom w:val="nil"/>
            </w:tcBorders>
          </w:tcPr>
          <w:p w:rsidR="00DF17E9" w:rsidRPr="00092971" w:rsidRDefault="00DF17E9" w:rsidP="00044843">
            <w:pPr>
              <w:ind w:left="0" w:firstLine="0"/>
              <w:rPr>
                <w:color w:val="000000"/>
              </w:rPr>
            </w:pPr>
            <w:r w:rsidRPr="00092971">
              <w:rPr>
                <w:color w:val="000000"/>
              </w:rPr>
              <w:t>Salary growth (per cent a year)</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3.1</w:t>
            </w:r>
          </w:p>
        </w:tc>
        <w:tc>
          <w:tcPr>
            <w:tcW w:w="141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3.1</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tcPr>
          <w:p w:rsidR="00DF17E9" w:rsidRPr="00092971" w:rsidRDefault="00DF17E9" w:rsidP="00044843">
            <w:pPr>
              <w:rPr>
                <w:color w:val="000000"/>
              </w:rPr>
            </w:pPr>
            <w:r w:rsidRPr="00092971">
              <w:rPr>
                <w:color w:val="000000"/>
              </w:rPr>
              <w:t>4.1</w:t>
            </w:r>
          </w:p>
        </w:tc>
        <w:tc>
          <w:tcPr>
            <w:tcW w:w="138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3.1</w:t>
            </w:r>
          </w:p>
        </w:tc>
      </w:tr>
      <w:tr w:rsidR="00DF17E9" w:rsidRPr="00092971" w:rsidTr="00933EBC">
        <w:tc>
          <w:tcPr>
            <w:cnfStyle w:val="001000000000" w:firstRow="0" w:lastRow="0" w:firstColumn="1" w:lastColumn="0" w:oddVBand="0" w:evenVBand="0" w:oddHBand="0" w:evenHBand="0" w:firstRowFirstColumn="0" w:firstRowLastColumn="0" w:lastRowFirstColumn="0" w:lastRowLastColumn="0"/>
            <w:tcW w:w="4509" w:type="dxa"/>
            <w:tcBorders>
              <w:bottom w:val="single" w:sz="6" w:space="0" w:color="auto"/>
            </w:tcBorders>
          </w:tcPr>
          <w:p w:rsidR="00DF17E9" w:rsidRPr="00092971" w:rsidRDefault="00DF17E9" w:rsidP="00044843">
            <w:pPr>
              <w:ind w:left="0" w:firstLine="0"/>
              <w:rPr>
                <w:color w:val="000000"/>
              </w:rPr>
            </w:pPr>
            <w:r w:rsidRPr="00092971">
              <w:rPr>
                <w:color w:val="000000"/>
              </w:rPr>
              <w:t>Inflation rate (per cent a year)</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1.6</w:t>
            </w:r>
          </w:p>
        </w:tc>
        <w:tc>
          <w:tcPr>
            <w:tcW w:w="141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1.6</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6" w:space="0" w:color="auto"/>
            </w:tcBorders>
          </w:tcPr>
          <w:p w:rsidR="00DF17E9" w:rsidRPr="00092971" w:rsidRDefault="00DF17E9" w:rsidP="00044843">
            <w:pPr>
              <w:rPr>
                <w:color w:val="000000"/>
              </w:rPr>
            </w:pPr>
            <w:r w:rsidRPr="00092971">
              <w:rPr>
                <w:color w:val="000000"/>
              </w:rPr>
              <w:t>1.6</w:t>
            </w:r>
          </w:p>
        </w:tc>
        <w:tc>
          <w:tcPr>
            <w:tcW w:w="138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2.6</w:t>
            </w:r>
          </w:p>
        </w:tc>
      </w:tr>
      <w:tr w:rsidR="00DF17E9" w:rsidRPr="00092971" w:rsidTr="00933EBC">
        <w:tc>
          <w:tcPr>
            <w:cnfStyle w:val="001000000000" w:firstRow="0" w:lastRow="0" w:firstColumn="1" w:lastColumn="0" w:oddVBand="0" w:evenVBand="0" w:oddHBand="0" w:evenHBand="0" w:firstRowFirstColumn="0" w:firstRowLastColumn="0" w:lastRowFirstColumn="0" w:lastRowLastColumn="0"/>
            <w:tcW w:w="4509"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Estimated impact (per cent)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n.a</w:t>
            </w:r>
          </w:p>
        </w:tc>
        <w:tc>
          <w:tcPr>
            <w:tcW w:w="1417"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(11)</w:t>
            </w:r>
          </w:p>
        </w:tc>
        <w:tc>
          <w:tcPr>
            <w:cnfStyle w:val="000010000000" w:firstRow="0" w:lastRow="0" w:firstColumn="0" w:lastColumn="0" w:oddVBand="1" w:evenVBand="0" w:oddHBand="0" w:evenHBand="0" w:firstRowFirstColumn="0" w:firstRowLastColumn="0" w:lastRowFirstColumn="0" w:lastRowLastColumn="0"/>
            <w:tcW w:w="1418" w:type="dxa"/>
            <w:tcBorders>
              <w:top w:val="single" w:sz="6" w:space="0" w:color="auto"/>
              <w:bottom w:val="single" w:sz="6" w:space="0" w:color="auto"/>
            </w:tcBorders>
          </w:tcPr>
          <w:p w:rsidR="00DF17E9" w:rsidRPr="00092971" w:rsidRDefault="00DF17E9" w:rsidP="00044843">
            <w:r w:rsidRPr="00092971">
              <w:rPr>
                <w:b/>
                <w:color w:val="000000"/>
              </w:rPr>
              <w:t>2</w:t>
            </w:r>
          </w:p>
        </w:tc>
        <w:tc>
          <w:tcPr>
            <w:tcW w:w="1387"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w:t>
            </w:r>
          </w:p>
        </w:tc>
      </w:tr>
      <w:tr w:rsidR="00DF17E9" w:rsidRPr="00092971" w:rsidTr="00933EBC">
        <w:tc>
          <w:tcPr>
            <w:cnfStyle w:val="001000000000" w:firstRow="0" w:lastRow="0" w:firstColumn="1" w:lastColumn="0" w:oddVBand="0" w:evenVBand="0" w:oddHBand="0" w:evenHBand="0" w:firstRowFirstColumn="0" w:firstRowLastColumn="0" w:lastRowFirstColumn="0" w:lastRowLastColumn="0"/>
            <w:tcW w:w="4509" w:type="dxa"/>
            <w:tcBorders>
              <w:top w:val="single" w:sz="6" w:space="0" w:color="auto"/>
              <w:bottom w:val="single" w:sz="12" w:space="0" w:color="auto"/>
            </w:tcBorders>
          </w:tcPr>
          <w:p w:rsidR="00DF17E9" w:rsidRPr="00092971" w:rsidRDefault="00DF17E9" w:rsidP="00933EBC">
            <w:pPr>
              <w:ind w:left="113" w:hanging="113"/>
              <w:rPr>
                <w:color w:val="000000"/>
              </w:rPr>
            </w:pPr>
            <w:r w:rsidRPr="00092971">
              <w:rPr>
                <w:b/>
                <w:color w:val="000000"/>
              </w:rPr>
              <w:t>Estimated change in defined benefit obligation ($ million)</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n.a</w:t>
            </w:r>
          </w:p>
        </w:tc>
        <w:tc>
          <w:tcPr>
            <w:tcW w:w="141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(5 487</w:t>
            </w:r>
            <w:r w:rsidRPr="00092971">
              <w:t>)</w:t>
            </w:r>
          </w:p>
        </w:tc>
        <w:tc>
          <w:tcPr>
            <w:cnfStyle w:val="000010000000" w:firstRow="0" w:lastRow="0" w:firstColumn="0" w:lastColumn="0" w:oddVBand="1" w:evenVBand="0" w:oddHBand="0" w:evenHBand="0" w:firstRowFirstColumn="0" w:firstRowLastColumn="0" w:lastRowFirstColumn="0" w:lastRowLastColumn="0"/>
            <w:tcW w:w="1418" w:type="dxa"/>
            <w:tcBorders>
              <w:top w:val="single" w:sz="6" w:space="0" w:color="auto"/>
              <w:bottom w:val="single" w:sz="12" w:space="0" w:color="auto"/>
            </w:tcBorders>
          </w:tcPr>
          <w:p w:rsidR="00DF17E9" w:rsidRPr="00092971" w:rsidRDefault="00DF17E9" w:rsidP="00044843">
            <w:r w:rsidRPr="00092971">
              <w:rPr>
                <w:b/>
                <w:color w:val="000000"/>
              </w:rPr>
              <w:t>998</w:t>
            </w:r>
          </w:p>
        </w:tc>
        <w:tc>
          <w:tcPr>
            <w:tcW w:w="138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 xml:space="preserve">3 </w:t>
            </w:r>
            <w:r w:rsidRPr="00092971">
              <w:rPr>
                <w:b/>
              </w:rPr>
              <w:t>991</w:t>
            </w:r>
          </w:p>
        </w:tc>
      </w:tr>
    </w:tbl>
    <w:p w:rsidR="00DF17E9" w:rsidRPr="003667D2" w:rsidRDefault="00DF17E9" w:rsidP="00525494">
      <w:pPr>
        <w:rPr>
          <w:bCs/>
          <w:lang w:val="en-US"/>
        </w:rPr>
      </w:pPr>
    </w:p>
    <w:p w:rsidR="00DF17E9" w:rsidRDefault="00DF17E9">
      <w:pPr>
        <w:rPr>
          <w:rFonts w:asciiTheme="majorHAnsi" w:hAnsiTheme="majorHAnsi"/>
          <w:b/>
          <w:spacing w:val="-2"/>
        </w:rPr>
      </w:pPr>
      <w:r>
        <w:br w:type="page"/>
      </w:r>
    </w:p>
    <w:p w:rsidR="00DF17E9" w:rsidRPr="00092971" w:rsidRDefault="00DF17E9" w:rsidP="00044843">
      <w:pPr>
        <w:pStyle w:val="Subheading"/>
        <w:rPr>
          <w:bCs/>
          <w:lang w:val="en-US"/>
        </w:rPr>
      </w:pPr>
      <w:r w:rsidRPr="00541A9F">
        <w:lastRenderedPageBreak/>
        <w:t>Target</w:t>
      </w:r>
      <w:r w:rsidRPr="00525494">
        <w:t xml:space="preserve"> asset allocation</w:t>
      </w:r>
      <w:r>
        <w:tab/>
      </w:r>
      <w:r w:rsidRPr="00541A9F">
        <w:rPr>
          <w:rStyle w:val="TableUnitsChar"/>
        </w:rPr>
        <w:t>(per cent)</w:t>
      </w:r>
    </w:p>
    <w:tbl>
      <w:tblPr>
        <w:tblStyle w:val="TableDTFGeneral"/>
        <w:tblW w:w="9638" w:type="dxa"/>
        <w:tblLayout w:type="fixed"/>
        <w:tblLook w:val="02A0" w:firstRow="1" w:lastRow="0" w:firstColumn="1" w:lastColumn="0" w:noHBand="1" w:noVBand="0"/>
      </w:tblPr>
      <w:tblGrid>
        <w:gridCol w:w="7824"/>
        <w:gridCol w:w="907"/>
        <w:gridCol w:w="907"/>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092971" w:rsidRDefault="00DF17E9" w:rsidP="00044843">
            <w:pPr>
              <w:ind w:left="0" w:firstLine="0"/>
              <w:rPr>
                <w:color w:val="FFFFFF"/>
              </w:rPr>
            </w:pPr>
            <w:r w:rsidRPr="00092971">
              <w:rPr>
                <w:color w:val="FFFFFF"/>
              </w:rPr>
              <w:t>Asset class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092971" w:rsidRDefault="00DF17E9" w:rsidP="00044843">
            <w:pPr>
              <w:ind w:left="0" w:firstLine="0"/>
              <w:rPr>
                <w:color w:val="000000"/>
              </w:rPr>
            </w:pPr>
            <w:r w:rsidRPr="00092971">
              <w:rPr>
                <w:color w:val="000000"/>
              </w:rPr>
              <w:t>Domestic equity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26.7</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26.8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092971" w:rsidRDefault="00DF17E9" w:rsidP="00044843">
            <w:pPr>
              <w:ind w:left="0" w:firstLine="0"/>
              <w:rPr>
                <w:color w:val="000000"/>
              </w:rPr>
            </w:pPr>
            <w:r w:rsidRPr="00092971">
              <w:rPr>
                <w:color w:val="000000"/>
              </w:rPr>
              <w:t>International equity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26.7</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26.8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092971" w:rsidRDefault="00DF17E9" w:rsidP="00044843">
            <w:pPr>
              <w:ind w:left="0" w:firstLine="0"/>
              <w:rPr>
                <w:color w:val="000000"/>
              </w:rPr>
            </w:pPr>
            <w:r w:rsidRPr="00092971">
              <w:rPr>
                <w:color w:val="000000"/>
              </w:rPr>
              <w:t>Domestic debt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17.5</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092971" w:rsidRDefault="00DF17E9" w:rsidP="00044843">
            <w:pPr>
              <w:ind w:left="0" w:firstLine="0"/>
              <w:rPr>
                <w:color w:val="000000"/>
              </w:rPr>
            </w:pPr>
            <w:r w:rsidRPr="00092971">
              <w:rPr>
                <w:color w:val="000000"/>
              </w:rPr>
              <w:t>Property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7.6</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092971" w:rsidRDefault="00DF17E9" w:rsidP="00044843">
            <w:pPr>
              <w:ind w:left="0" w:firstLine="0"/>
              <w:rPr>
                <w:color w:val="000000"/>
              </w:rPr>
            </w:pPr>
            <w:r w:rsidRPr="00092971">
              <w:rPr>
                <w:color w:val="000000"/>
              </w:rPr>
              <w:t>Cash</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4.2</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092971" w:rsidRDefault="00DF17E9" w:rsidP="00044843">
            <w:pPr>
              <w:ind w:left="0" w:firstLine="0"/>
              <w:rPr>
                <w:color w:val="000000"/>
              </w:rPr>
            </w:pPr>
            <w:r w:rsidRPr="00092971">
              <w:rPr>
                <w:color w:val="000000"/>
              </w:rPr>
              <w:t>Other (including private equity, hedge funds and infrastructure)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17.3</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100.0</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100.0</w:t>
            </w:r>
          </w:p>
        </w:tc>
      </w:tr>
    </w:tbl>
    <w:p w:rsidR="00DF17E9" w:rsidRDefault="00DF17E9" w:rsidP="00525494"/>
    <w:p w:rsidR="00DF17E9" w:rsidRDefault="00DF17E9" w:rsidP="00525494">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525494">
      <w:r>
        <w:lastRenderedPageBreak/>
        <w:t>The assets are invested in the asset classes shown above. The chosen assets are not designed to match the liabilities exactly. However, the nature of the liabilities is considered in setting the investment strategy.</w:t>
      </w:r>
    </w:p>
    <w:p w:rsidR="00DF17E9" w:rsidRPr="00D965E2" w:rsidRDefault="00DF17E9" w:rsidP="00525494">
      <w:r w:rsidRPr="00D965E2">
        <w:t xml:space="preserve">At 30 June 2016, the plans held investments with Treasury Corporation Victoria (TCV) worth </w:t>
      </w:r>
      <w:r w:rsidRPr="00D965E2">
        <w:br/>
        <w:t>$493 million.</w:t>
      </w:r>
    </w:p>
    <w:p w:rsidR="00DF17E9" w:rsidRPr="00D965E2" w:rsidRDefault="00DF17E9" w:rsidP="00401819">
      <w:pPr>
        <w:pStyle w:val="Subheadingunderline"/>
      </w:pPr>
      <w:r w:rsidRPr="00D965E2">
        <w:t>Funding arrangements</w:t>
      </w:r>
    </w:p>
    <w:p w:rsidR="00DF17E9" w:rsidRPr="00D965E2" w:rsidRDefault="00DF17E9" w:rsidP="005B0B2A">
      <w:r w:rsidRPr="00D965E2">
        <w:t xml:space="preserve">The funding of the defined benefit plans varies by plan as follows: </w:t>
      </w:r>
    </w:p>
    <w:p w:rsidR="00DF17E9" w:rsidRPr="00D965E2" w:rsidRDefault="00DF17E9" w:rsidP="00401819">
      <w:r w:rsidRPr="00D965E2">
        <w:t>SSF – the scheme is partially funded, with participating employers generally contributing the cost of service as it accrues while the State meets the cost of past service.</w:t>
      </w:r>
    </w:p>
    <w:p w:rsidR="00DF17E9" w:rsidRPr="00D965E2" w:rsidRDefault="00DF17E9" w:rsidP="005B0B2A">
      <w:r w:rsidRPr="00D965E2">
        <w:t xml:space="preserve">ESSS DB – a funded scheme, with a funding target of 110 per cent to 120 per cent of vested benefits. </w:t>
      </w:r>
      <w:r w:rsidRPr="00D965E2">
        <w:lastRenderedPageBreak/>
        <w:t>The board’s shortfall limit is 95 per cent of vested benefits.</w:t>
      </w:r>
    </w:p>
    <w:p w:rsidR="00DF17E9" w:rsidRPr="00D965E2" w:rsidRDefault="00DF17E9" w:rsidP="005B0B2A">
      <w:r w:rsidRPr="00D965E2">
        <w:t>Constitutionally Protected Pension Schemes – unfunded schemes (i.e. there are no assets) and benefits are paid from the Consolidated Fund as they fall due.</w:t>
      </w:r>
    </w:p>
    <w:p w:rsidR="00DF17E9" w:rsidRPr="00D965E2" w:rsidRDefault="00DF17E9" w:rsidP="005B0B2A">
      <w:r w:rsidRPr="00D965E2">
        <w:t>Health Super – a funded scheme where employers contribute in accordance with the actuary’s recommendations which are designed to achieve a target asset level of 107 per cent of the scheme’s vested benefits.</w:t>
      </w:r>
    </w:p>
    <w:p w:rsidR="00DF17E9" w:rsidRPr="00D965E2" w:rsidRDefault="00DF17E9" w:rsidP="00401819">
      <w:r w:rsidRPr="00D965E2">
        <w:t>In the 2016-17 financial year, employer contributions of $1 534 million, in total, are expected to be paid t</w:t>
      </w:r>
      <w:r w:rsidR="002F70BC">
        <w:t>o the defined benefit plans. Of </w:t>
      </w:r>
      <w:r w:rsidRPr="00D965E2">
        <w:t xml:space="preserve">this, $1 033 million relates to the funding of </w:t>
      </w:r>
      <w:r w:rsidR="00494A92">
        <w:br/>
      </w:r>
      <w:r w:rsidRPr="00D965E2">
        <w:t>the SSF’s past service liability.</w:t>
      </w:r>
    </w:p>
    <w:p w:rsidR="00DF17E9" w:rsidRDefault="00DF17E9" w:rsidP="005B0B2A">
      <w:r w:rsidRPr="00D965E2">
        <w:t>The weighted average duration of the defined benefit obligation is approximately 13 years.</w:t>
      </w:r>
    </w:p>
    <w:p w:rsidR="00DF17E9" w:rsidRPr="00525494" w:rsidRDefault="00DF17E9" w:rsidP="005B0B2A">
      <w:pPr>
        <w:sectPr w:rsidR="00DF17E9" w:rsidRPr="00525494" w:rsidSect="00044843">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Heading2"/>
        <w:rPr>
          <w:bCs/>
          <w:lang w:val="en-US"/>
        </w:rPr>
      </w:pPr>
      <w:bookmarkStart w:id="58" w:name="_Toc459976573"/>
      <w:r w:rsidRPr="00FD2984">
        <w:lastRenderedPageBreak/>
        <w:t>Other provisions</w:t>
      </w:r>
      <w:r>
        <w:tab/>
      </w:r>
      <w:r w:rsidRPr="00CA6435">
        <w:rPr>
          <w:rStyle w:val="TableUnitsChar"/>
        </w:rPr>
        <w:t>($ million)</w:t>
      </w:r>
      <w:bookmarkEnd w:id="58"/>
    </w:p>
    <w:tbl>
      <w:tblPr>
        <w:tblStyle w:val="TableDTFGeneral"/>
        <w:tblW w:w="9668" w:type="dxa"/>
        <w:tblLayout w:type="fixed"/>
        <w:tblLook w:val="02A0" w:firstRow="1" w:lastRow="0" w:firstColumn="1" w:lastColumn="0" w:noHBand="1" w:noVBand="0"/>
      </w:tblPr>
      <w:tblGrid>
        <w:gridCol w:w="5983"/>
        <w:gridCol w:w="921"/>
        <w:gridCol w:w="921"/>
        <w:gridCol w:w="921"/>
        <w:gridCol w:w="922"/>
      </w:tblGrid>
      <w:tr w:rsidR="0082402B" w:rsidRPr="00092971" w:rsidTr="008240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82402B" w:rsidRPr="00092971" w:rsidRDefault="0082402B"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42" w:type="dxa"/>
            <w:gridSpan w:val="2"/>
          </w:tcPr>
          <w:p w:rsidR="0082402B" w:rsidRPr="00092971" w:rsidRDefault="0082402B" w:rsidP="0082402B">
            <w:pPr>
              <w:jc w:val="center"/>
              <w:rPr>
                <w:color w:val="FFFFFF"/>
              </w:rPr>
            </w:pPr>
            <w:r w:rsidRPr="00092971">
              <w:rPr>
                <w:color w:val="FFFFFF"/>
              </w:rPr>
              <w:t>State of Victoria</w:t>
            </w:r>
          </w:p>
        </w:tc>
        <w:tc>
          <w:tcPr>
            <w:tcW w:w="1843" w:type="dxa"/>
            <w:gridSpan w:val="2"/>
          </w:tcPr>
          <w:p w:rsidR="0082402B" w:rsidRPr="00092971" w:rsidRDefault="0082402B" w:rsidP="0082402B">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Pr>
                <w:color w:val="FFFFFF"/>
              </w:rPr>
              <w:br/>
            </w:r>
            <w:r w:rsidRPr="00092971">
              <w:rPr>
                <w:color w:val="FFFFFF"/>
              </w:rPr>
              <w:t xml:space="preserve">government sector </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FFFFFF"/>
              </w:rPr>
            </w:pPr>
            <w:r w:rsidRPr="00092971">
              <w:rPr>
                <w:color w:val="FFFFFF"/>
              </w:rPr>
              <w:t>2016</w:t>
            </w:r>
          </w:p>
        </w:tc>
        <w:tc>
          <w:tcPr>
            <w:tcW w:w="92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FFFFFF"/>
              </w:rPr>
            </w:pPr>
            <w:r w:rsidRPr="00092971">
              <w:rPr>
                <w:color w:val="FFFFFF"/>
              </w:rPr>
              <w:t>2016</w:t>
            </w:r>
          </w:p>
        </w:tc>
        <w:tc>
          <w:tcPr>
            <w:tcW w:w="92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Provision for insurance claims</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WorkSafe Victoria</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1 839</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1 995</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Transport Accident Commission</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1 180</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1 138</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Victorian Managed Insurance Authority</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r w:rsidRPr="00092971">
              <w:rPr>
                <w:color w:val="000000"/>
              </w:rPr>
              <w:t>292</w:t>
            </w:r>
          </w:p>
        </w:tc>
        <w:tc>
          <w:tcPr>
            <w:tcW w:w="92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299</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w:t>
            </w:r>
          </w:p>
        </w:tc>
        <w:tc>
          <w:tcPr>
            <w:tcW w:w="92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Other agencies</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22</w:t>
            </w:r>
          </w:p>
        </w:tc>
        <w:tc>
          <w:tcPr>
            <w:tcW w:w="92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18</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18</w:t>
            </w:r>
          </w:p>
        </w:tc>
        <w:tc>
          <w:tcPr>
            <w:tcW w:w="92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ind w:left="0" w:firstLine="0"/>
              <w:rPr>
                <w:color w:val="000000"/>
              </w:rPr>
            </w:pPr>
            <w:r w:rsidRPr="00092971">
              <w:rPr>
                <w:b/>
                <w:color w:val="000000"/>
              </w:rPr>
              <w:t>Current provision for insurance claims</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rPr>
                <w:color w:val="000000"/>
              </w:rPr>
            </w:pPr>
            <w:r w:rsidRPr="00092971">
              <w:rPr>
                <w:b/>
                <w:color w:val="000000"/>
              </w:rPr>
              <w:t>3 333</w:t>
            </w:r>
          </w:p>
        </w:tc>
        <w:tc>
          <w:tcPr>
            <w:tcW w:w="92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3 451</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r w:rsidRPr="00092971">
              <w:rPr>
                <w:b/>
                <w:color w:val="000000"/>
              </w:rPr>
              <w:t>18</w:t>
            </w:r>
          </w:p>
        </w:tc>
        <w:tc>
          <w:tcPr>
            <w:tcW w:w="922"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Onerous contracts</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r w:rsidRPr="00092971">
              <w:rPr>
                <w:color w:val="000000"/>
              </w:rPr>
              <w:t>49</w:t>
            </w:r>
          </w:p>
        </w:tc>
        <w:tc>
          <w:tcPr>
            <w:tcW w:w="92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47</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w:t>
            </w:r>
          </w:p>
        </w:tc>
        <w:tc>
          <w:tcPr>
            <w:tcW w:w="92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Other provisions</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346</w:t>
            </w:r>
          </w:p>
        </w:tc>
        <w:tc>
          <w:tcPr>
            <w:tcW w:w="92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365</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207</w:t>
            </w:r>
          </w:p>
        </w:tc>
        <w:tc>
          <w:tcPr>
            <w:tcW w:w="92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ind w:left="0" w:firstLine="0"/>
              <w:rPr>
                <w:color w:val="000000"/>
              </w:rPr>
            </w:pPr>
            <w:r w:rsidRPr="00092971">
              <w:rPr>
                <w:b/>
                <w:color w:val="000000"/>
              </w:rPr>
              <w:t>Total current other provisions</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rPr>
                <w:color w:val="000000"/>
              </w:rPr>
            </w:pPr>
            <w:r w:rsidRPr="00092971">
              <w:rPr>
                <w:b/>
                <w:color w:val="000000"/>
              </w:rPr>
              <w:t>3 728</w:t>
            </w:r>
          </w:p>
        </w:tc>
        <w:tc>
          <w:tcPr>
            <w:tcW w:w="92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3 863</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r w:rsidRPr="00092971">
              <w:rPr>
                <w:b/>
                <w:color w:val="000000"/>
              </w:rPr>
              <w:t>225</w:t>
            </w:r>
          </w:p>
        </w:tc>
        <w:tc>
          <w:tcPr>
            <w:tcW w:w="922"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249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Non-current provision for insurance claims</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b/>
                <w:color w:val="000000"/>
              </w:rPr>
              <w:t xml:space="preserve"> </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WorkSafe Victoria</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10 501</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9 366</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Transport Accident Commission</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12 721</w:t>
            </w:r>
          </w:p>
        </w:tc>
        <w:tc>
          <w:tcPr>
            <w:tcW w:w="92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10 896</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rPr>
                <w:color w:val="000000"/>
              </w:rPr>
            </w:pPr>
            <w:r w:rsidRPr="00092971">
              <w:rPr>
                <w:color w:val="000000"/>
              </w:rPr>
              <w:t>..</w:t>
            </w:r>
          </w:p>
        </w:tc>
        <w:tc>
          <w:tcPr>
            <w:tcW w:w="92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Victorian Managed Insurance Authority</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1 499</w:t>
            </w:r>
          </w:p>
        </w:tc>
        <w:tc>
          <w:tcPr>
            <w:tcW w:w="92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1 462</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w:t>
            </w:r>
          </w:p>
        </w:tc>
        <w:tc>
          <w:tcPr>
            <w:tcW w:w="92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Other agencies</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34</w:t>
            </w:r>
          </w:p>
        </w:tc>
        <w:tc>
          <w:tcPr>
            <w:tcW w:w="92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31</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33</w:t>
            </w:r>
          </w:p>
        </w:tc>
        <w:tc>
          <w:tcPr>
            <w:tcW w:w="92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ind w:left="0" w:firstLine="0"/>
              <w:rPr>
                <w:color w:val="000000"/>
              </w:rPr>
            </w:pPr>
            <w:r w:rsidRPr="00092971">
              <w:rPr>
                <w:b/>
                <w:color w:val="000000"/>
              </w:rPr>
              <w:t>Non-current provision for insurance claims</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rPr>
                <w:color w:val="000000"/>
              </w:rPr>
            </w:pPr>
            <w:r w:rsidRPr="00092971">
              <w:rPr>
                <w:b/>
                <w:color w:val="000000"/>
              </w:rPr>
              <w:t>24 754</w:t>
            </w:r>
          </w:p>
        </w:tc>
        <w:tc>
          <w:tcPr>
            <w:tcW w:w="92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21 755</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r w:rsidRPr="00092971">
              <w:rPr>
                <w:b/>
                <w:color w:val="000000"/>
              </w:rPr>
              <w:t>33</w:t>
            </w:r>
          </w:p>
        </w:tc>
        <w:tc>
          <w:tcPr>
            <w:tcW w:w="922"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Onerous contracts</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r w:rsidRPr="00092971">
              <w:rPr>
                <w:color w:val="000000"/>
              </w:rPr>
              <w:t>..</w:t>
            </w:r>
          </w:p>
        </w:tc>
        <w:tc>
          <w:tcPr>
            <w:tcW w:w="92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26</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rPr>
                <w:color w:val="000000"/>
              </w:rPr>
            </w:pPr>
            <w:r w:rsidRPr="00092971">
              <w:rPr>
                <w:color w:val="000000"/>
              </w:rPr>
              <w:t>..</w:t>
            </w:r>
          </w:p>
        </w:tc>
        <w:tc>
          <w:tcPr>
            <w:tcW w:w="92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Other provisions</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603</w:t>
            </w:r>
          </w:p>
        </w:tc>
        <w:tc>
          <w:tcPr>
            <w:tcW w:w="92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569</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r w:rsidRPr="00092971">
              <w:rPr>
                <w:color w:val="000000"/>
              </w:rPr>
              <w:t>571</w:t>
            </w:r>
          </w:p>
        </w:tc>
        <w:tc>
          <w:tcPr>
            <w:tcW w:w="92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529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Total non-current other provisions</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25 358</w:t>
            </w:r>
          </w:p>
        </w:tc>
        <w:tc>
          <w:tcPr>
            <w:tcW w:w="921"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22 350</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6" w:space="0" w:color="auto"/>
            </w:tcBorders>
          </w:tcPr>
          <w:p w:rsidR="00DF17E9" w:rsidRPr="00092971" w:rsidRDefault="00DF17E9" w:rsidP="00044843">
            <w:r w:rsidRPr="00092971">
              <w:rPr>
                <w:b/>
                <w:color w:val="000000"/>
              </w:rPr>
              <w:t>604</w:t>
            </w:r>
          </w:p>
        </w:tc>
        <w:tc>
          <w:tcPr>
            <w:tcW w:w="922"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559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other provisions</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29 085</w:t>
            </w:r>
          </w:p>
        </w:tc>
        <w:tc>
          <w:tcPr>
            <w:tcW w:w="92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26 213</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12" w:space="0" w:color="auto"/>
            </w:tcBorders>
          </w:tcPr>
          <w:p w:rsidR="00DF17E9" w:rsidRPr="00092971" w:rsidRDefault="00DF17E9" w:rsidP="00044843">
            <w:r w:rsidRPr="00092971">
              <w:rPr>
                <w:b/>
                <w:color w:val="000000"/>
              </w:rPr>
              <w:t>829</w:t>
            </w:r>
          </w:p>
        </w:tc>
        <w:tc>
          <w:tcPr>
            <w:tcW w:w="922"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807</w:t>
            </w:r>
          </w:p>
        </w:tc>
      </w:tr>
    </w:tbl>
    <w:p w:rsidR="00DF17E9" w:rsidRDefault="00DF17E9" w:rsidP="00044843">
      <w:pPr>
        <w:pStyle w:val="Notes"/>
      </w:pPr>
    </w:p>
    <w:p w:rsidR="00DF17E9" w:rsidRDefault="00DF17E9" w:rsidP="00BC6724">
      <w:pPr>
        <w:pStyle w:val="BodyText"/>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r>
        <w:lastRenderedPageBreak/>
        <w:t>Other provisions are recognised when the State has a present obligation, the future sacrifice of economic benefits is probable, and the amount of the provision can be measured reliably.</w:t>
      </w:r>
    </w:p>
    <w:p w:rsidR="00DF17E9" w:rsidRDefault="00DF17E9" w:rsidP="00044843">
      <w:r>
        <w:t>The amount recognised as a provision is the best estimate of the consideration required to settle the present obligation at reporting date, taking into account the risks and uncertainties surrounding the obligation.</w:t>
      </w:r>
    </w:p>
    <w:p w:rsidR="00DF17E9" w:rsidRDefault="00DF17E9" w:rsidP="00044843">
      <w:r>
        <w:t>Where a provision is measured using the cash flows estimated to settle the present obligation, its carrying amount is the present value of those cash flows.</w:t>
      </w:r>
    </w:p>
    <w:p w:rsidR="00DF17E9" w:rsidRDefault="00DF17E9" w:rsidP="00044843">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DF17E9" w:rsidRDefault="00DF17E9" w:rsidP="00044843">
      <w:pPr>
        <w:pStyle w:val="Heading3"/>
        <w:tabs>
          <w:tab w:val="right" w:pos="14742"/>
        </w:tabs>
        <w:spacing w:before="120"/>
      </w:pPr>
      <w:r>
        <w:br w:type="column"/>
      </w:r>
      <w:r>
        <w:lastRenderedPageBreak/>
        <w:t>Insurance claims</w:t>
      </w:r>
    </w:p>
    <w:p w:rsidR="00DF17E9" w:rsidRPr="005B0B2A" w:rsidRDefault="00DF17E9" w:rsidP="00401819">
      <w:pPr>
        <w:pStyle w:val="Subheadingunderline"/>
      </w:pPr>
      <w:r w:rsidRPr="005B0B2A">
        <w:t>Assumptions used in measurement of liability for outstanding insurance claims</w:t>
      </w:r>
    </w:p>
    <w:p w:rsidR="00DF17E9" w:rsidRDefault="00DF17E9" w:rsidP="00044843">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w:t>
      </w:r>
    </w:p>
    <w:p w:rsidR="00DF17E9" w:rsidRDefault="00DF17E9" w:rsidP="00044843">
      <w:r>
        <w:t>The actuaries take into account projected inflation and other factors to arrive at expected future payments. These are then discounted at the reporting date using a market determined, risk-free discount rate.</w:t>
      </w:r>
    </w:p>
    <w:p w:rsidR="00DF17E9" w:rsidRDefault="00DF17E9" w:rsidP="00044843">
      <w:r>
        <w:t>The disclosed assumptions are used in the measurement of the liability for outstanding insurance claims on the basis of actuarially estimated costs of future claims payments, which are discounted to a present value at balance sheet date.</w:t>
      </w:r>
    </w:p>
    <w:p w:rsidR="00DF17E9" w:rsidRDefault="00DF17E9" w:rsidP="00044843">
      <w:pPr>
        <w:sectPr w:rsidR="00DF17E9" w:rsidSect="00044843">
          <w:footerReference w:type="even" r:id="rId184"/>
          <w:footerReference w:type="default" r:id="rId185"/>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bCs/>
          <w:i/>
          <w:sz w:val="16"/>
          <w:lang w:val="en-US"/>
        </w:rPr>
      </w:pPr>
      <w:r w:rsidRPr="00CA6435">
        <w:lastRenderedPageBreak/>
        <w:t>Reconciliation of movements in insurance claims</w:t>
      </w:r>
      <w:r>
        <w:tab/>
      </w:r>
      <w:r w:rsidRPr="00CA6435">
        <w:rPr>
          <w:rStyle w:val="TableUnitsChar"/>
        </w:rPr>
        <w:t>($ million)</w:t>
      </w: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82402B" w:rsidRPr="00092971" w:rsidTr="008240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82402B" w:rsidRPr="00092971" w:rsidRDefault="0082402B"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82402B" w:rsidRPr="00092971" w:rsidRDefault="0082402B" w:rsidP="00044843">
            <w:pPr>
              <w:jc w:val="center"/>
              <w:rPr>
                <w:color w:val="FFFFFF"/>
              </w:rPr>
            </w:pPr>
            <w:r w:rsidRPr="00092971">
              <w:rPr>
                <w:color w:val="FFFFFF"/>
              </w:rPr>
              <w:t>State of Victoria</w:t>
            </w:r>
          </w:p>
        </w:tc>
        <w:tc>
          <w:tcPr>
            <w:tcW w:w="1814" w:type="dxa"/>
            <w:gridSpan w:val="2"/>
          </w:tcPr>
          <w:p w:rsidR="0082402B" w:rsidRPr="00092971" w:rsidRDefault="0082402B" w:rsidP="00044843">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G</w:t>
            </w:r>
            <w:r w:rsidRPr="00092971">
              <w:rPr>
                <w:color w:val="FFFFFF"/>
              </w:rPr>
              <w:t xml:space="preserve">eneral </w:t>
            </w:r>
          </w:p>
          <w:p w:rsidR="0082402B" w:rsidRPr="00092971" w:rsidRDefault="0082402B"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Opening balance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25 206</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23 689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44</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Effect of changes in assumptions and claims experience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1 410</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Cost of prior year claims (unwinding of discount)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823</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898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(3)</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 xml:space="preserve">Increase in claims incurred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4 457</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4 085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30</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092971" w:rsidRDefault="00DF17E9" w:rsidP="00044843">
            <w:pPr>
              <w:ind w:left="0" w:firstLine="0"/>
              <w:rPr>
                <w:color w:val="000000"/>
              </w:rPr>
            </w:pPr>
            <w:r w:rsidRPr="00092971">
              <w:rPr>
                <w:color w:val="000000"/>
              </w:rPr>
              <w:t xml:space="preserve">Claim payments during the year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(3 195)</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(3 347)</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r w:rsidRPr="00092971">
              <w:rPr>
                <w:color w:val="000000"/>
              </w:rPr>
              <w:t>(14)</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092971" w:rsidRDefault="00DF17E9" w:rsidP="00044843">
            <w:pPr>
              <w:ind w:left="0" w:firstLine="0"/>
              <w:rPr>
                <w:color w:val="000000"/>
              </w:rPr>
            </w:pPr>
            <w:r w:rsidRPr="00092971">
              <w:rPr>
                <w:color w:val="000000"/>
              </w:rPr>
              <w:t>Other</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r w:rsidRPr="00092971">
              <w:rPr>
                <w:color w:val="000000"/>
              </w:rPr>
              <w:t>(613)</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(422)</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r w:rsidRPr="00092971">
              <w:rPr>
                <w:color w:val="000000"/>
              </w:rPr>
              <w:t>(7)</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28 088</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25 206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r w:rsidRPr="00092971">
              <w:rPr>
                <w:b/>
                <w:color w:val="000000"/>
              </w:rPr>
              <w:t>51</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44</w:t>
            </w:r>
          </w:p>
        </w:tc>
      </w:tr>
    </w:tbl>
    <w:p w:rsidR="00DF17E9" w:rsidRDefault="00DF17E9" w:rsidP="00044843">
      <w:pPr>
        <w:pStyle w:val="Note"/>
      </w:pPr>
      <w:r>
        <w:t>Note:</w:t>
      </w:r>
    </w:p>
    <w:p w:rsidR="00DF17E9" w:rsidRDefault="00DF17E9" w:rsidP="00044843">
      <w:pPr>
        <w:pStyle w:val="Note"/>
      </w:pPr>
      <w:r>
        <w:t>(a)</w:t>
      </w:r>
      <w:r>
        <w:tab/>
        <w:t>Claim payments and claims incurred during the year are net of recoveries.</w:t>
      </w:r>
    </w:p>
    <w:p w:rsidR="00DF17E9" w:rsidRDefault="00DF17E9" w:rsidP="00401819"/>
    <w:p w:rsidR="00DF17E9" w:rsidRDefault="00DF17E9" w:rsidP="00401819">
      <w:pPr>
        <w:sectPr w:rsidR="00DF17E9" w:rsidSect="00044843">
          <w:type w:val="continuous"/>
          <w:pgSz w:w="11906" w:h="16838" w:code="9"/>
          <w:pgMar w:top="1134" w:right="1134" w:bottom="1134" w:left="1134" w:header="624" w:footer="567" w:gutter="0"/>
          <w:cols w:space="708"/>
          <w:docGrid w:linePitch="360"/>
        </w:sectPr>
      </w:pPr>
    </w:p>
    <w:p w:rsidR="00DF17E9" w:rsidRPr="00092971" w:rsidRDefault="00DF17E9" w:rsidP="00044843">
      <w:pPr>
        <w:pStyle w:val="Subheading"/>
        <w:rPr>
          <w:bCs/>
          <w:lang w:val="en-US"/>
        </w:rPr>
      </w:pPr>
      <w:r>
        <w:lastRenderedPageBreak/>
        <w:t>Insurance claims a</w:t>
      </w:r>
      <w:r w:rsidRPr="00A2094F">
        <w:t>ssumptions</w:t>
      </w:r>
    </w:p>
    <w:tbl>
      <w:tblPr>
        <w:tblStyle w:val="TableDTFGeneral"/>
        <w:tblW w:w="14755" w:type="dxa"/>
        <w:tblLayout w:type="fixed"/>
        <w:tblLook w:val="06A0" w:firstRow="1" w:lastRow="0" w:firstColumn="1" w:lastColumn="0" w:noHBand="1" w:noVBand="1"/>
      </w:tblPr>
      <w:tblGrid>
        <w:gridCol w:w="1725"/>
        <w:gridCol w:w="1704"/>
        <w:gridCol w:w="284"/>
        <w:gridCol w:w="642"/>
        <w:gridCol w:w="700"/>
        <w:gridCol w:w="215"/>
        <w:gridCol w:w="144"/>
        <w:gridCol w:w="1390"/>
        <w:gridCol w:w="1596"/>
        <w:gridCol w:w="1552"/>
        <w:gridCol w:w="1559"/>
        <w:gridCol w:w="1634"/>
        <w:gridCol w:w="1610"/>
      </w:tblGrid>
      <w:tr w:rsidR="0031570E" w:rsidRPr="00092971" w:rsidTr="00315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31570E" w:rsidRPr="00092971" w:rsidRDefault="0031570E" w:rsidP="00044843">
            <w:pPr>
              <w:ind w:left="0" w:firstLine="0"/>
              <w:jc w:val="center"/>
              <w:rPr>
                <w:i w:val="0"/>
                <w:color w:val="FFFFFF"/>
              </w:rPr>
            </w:pPr>
            <w:r w:rsidRPr="00092971">
              <w:rPr>
                <w:color w:val="FFFFFF"/>
              </w:rPr>
              <w:t xml:space="preserve"> </w:t>
            </w:r>
          </w:p>
          <w:p w:rsidR="0031570E" w:rsidRPr="00092971" w:rsidRDefault="0031570E" w:rsidP="00044843">
            <w:pPr>
              <w:ind w:left="0"/>
              <w:jc w:val="center"/>
              <w:rPr>
                <w:color w:val="FFFFFF"/>
              </w:rPr>
            </w:pPr>
            <w:r w:rsidRPr="00092971">
              <w:rPr>
                <w:color w:val="FFFFFF"/>
              </w:rPr>
              <w:t xml:space="preserve"> </w:t>
            </w:r>
          </w:p>
        </w:tc>
        <w:tc>
          <w:tcPr>
            <w:tcW w:w="1705" w:type="dxa"/>
            <w:vMerge w:val="restart"/>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 xml:space="preserve"> </w:t>
            </w:r>
          </w:p>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1841" w:type="dxa"/>
            <w:gridSpan w:val="4"/>
            <w:vMerge w:val="restart"/>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Weighted average expected term</w:t>
            </w:r>
          </w:p>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to settlement (years)</w:t>
            </w:r>
          </w:p>
        </w:tc>
        <w:tc>
          <w:tcPr>
            <w:tcW w:w="144" w:type="dxa"/>
            <w:vMerge w:val="restart"/>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 xml:space="preserve"> </w:t>
            </w:r>
          </w:p>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6095" w:type="dxa"/>
            <w:gridSpan w:val="4"/>
            <w:tcBorders>
              <w:bottom w:val="single" w:sz="6" w:space="0" w:color="FFFFFF" w:themeColor="background1"/>
            </w:tcBorders>
          </w:tcPr>
          <w:p w:rsidR="0031570E" w:rsidRPr="00092971" w:rsidRDefault="0031570E" w:rsidP="0031570E">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Financial assumptions used (%)</w:t>
            </w:r>
            <w:r>
              <w:rPr>
                <w:color w:val="FFFFFF"/>
                <w:vertAlign w:val="superscript"/>
              </w:rPr>
              <w:t>(a)(b)(c)</w:t>
            </w:r>
          </w:p>
        </w:tc>
        <w:tc>
          <w:tcPr>
            <w:tcW w:w="3244" w:type="dxa"/>
            <w:gridSpan w:val="2"/>
            <w:vMerge w:val="restart"/>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 xml:space="preserve"> </w:t>
            </w:r>
          </w:p>
          <w:p w:rsidR="0031570E" w:rsidRPr="00092971" w:rsidRDefault="0031570E" w:rsidP="0031570E">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Prudential </w:t>
            </w:r>
            <w:r>
              <w:rPr>
                <w:color w:val="FFFFFF"/>
              </w:rPr>
              <w:br/>
            </w:r>
            <w:r w:rsidRPr="00092971">
              <w:rPr>
                <w:color w:val="FFFFFF"/>
              </w:rPr>
              <w:t xml:space="preserve">margin </w:t>
            </w:r>
            <w:r>
              <w:rPr>
                <w:color w:val="FFFFFF"/>
              </w:rPr>
              <w:t>used (%)</w:t>
            </w:r>
            <w:r w:rsidRPr="00092971">
              <w:rPr>
                <w:color w:val="FFFFFF"/>
              </w:rPr>
              <w:t xml:space="preserve"> </w:t>
            </w:r>
          </w:p>
        </w:tc>
      </w:tr>
      <w:tr w:rsidR="0031570E" w:rsidRPr="00092971" w:rsidTr="00315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6" w:type="dxa"/>
            <w:vMerge/>
          </w:tcPr>
          <w:p w:rsidR="0031570E" w:rsidRPr="00092971" w:rsidRDefault="0031570E" w:rsidP="00044843">
            <w:pPr>
              <w:ind w:left="0" w:firstLine="0"/>
              <w:jc w:val="center"/>
              <w:rPr>
                <w:color w:val="FFFFFF"/>
              </w:rPr>
            </w:pPr>
          </w:p>
        </w:tc>
        <w:tc>
          <w:tcPr>
            <w:tcW w:w="1705" w:type="dxa"/>
            <w:vMerge/>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p>
        </w:tc>
        <w:tc>
          <w:tcPr>
            <w:tcW w:w="1841" w:type="dxa"/>
            <w:gridSpan w:val="4"/>
            <w:vMerge/>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p>
        </w:tc>
        <w:tc>
          <w:tcPr>
            <w:tcW w:w="144" w:type="dxa"/>
            <w:vMerge/>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p>
        </w:tc>
        <w:tc>
          <w:tcPr>
            <w:tcW w:w="2984" w:type="dxa"/>
            <w:gridSpan w:val="2"/>
            <w:tcBorders>
              <w:top w:val="single" w:sz="6" w:space="0" w:color="FFFFFF" w:themeColor="background1"/>
            </w:tcBorders>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Weighted average </w:t>
            </w:r>
            <w:r w:rsidRPr="00092971">
              <w:rPr>
                <w:color w:val="FFFFFF"/>
              </w:rPr>
              <w:br/>
              <w:t>inflation rate (%)</w:t>
            </w:r>
            <w:r w:rsidRPr="0031570E">
              <w:rPr>
                <w:color w:val="FFFFFF"/>
                <w:vertAlign w:val="superscript"/>
              </w:rPr>
              <w:t>(d)</w:t>
            </w:r>
          </w:p>
        </w:tc>
        <w:tc>
          <w:tcPr>
            <w:tcW w:w="3111" w:type="dxa"/>
            <w:gridSpan w:val="2"/>
            <w:tcBorders>
              <w:top w:val="single" w:sz="6" w:space="0" w:color="FFFFFF" w:themeColor="background1"/>
            </w:tcBorders>
          </w:tcPr>
          <w:p w:rsidR="0031570E" w:rsidRPr="00092971" w:rsidRDefault="0031570E" w:rsidP="0031570E">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Weighted average </w:t>
            </w:r>
            <w:r w:rsidRPr="00092971">
              <w:rPr>
                <w:color w:val="FFFFFF"/>
              </w:rPr>
              <w:br/>
              <w:t>discount rate (%)</w:t>
            </w:r>
          </w:p>
        </w:tc>
        <w:tc>
          <w:tcPr>
            <w:tcW w:w="3244" w:type="dxa"/>
            <w:gridSpan w:val="2"/>
            <w:vMerge/>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p>
        </w:tc>
      </w:tr>
      <w:tr w:rsidR="00DF17E9" w:rsidRPr="00092971" w:rsidTr="00315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6" w:type="dxa"/>
            <w:tcBorders>
              <w:bottom w:val="nil"/>
            </w:tcBorders>
          </w:tcPr>
          <w:p w:rsidR="00DF17E9" w:rsidRPr="00092971" w:rsidRDefault="00DF17E9" w:rsidP="00044843">
            <w:pPr>
              <w:ind w:left="0" w:firstLine="0"/>
              <w:rPr>
                <w:color w:val="FFFFFF"/>
              </w:rPr>
            </w:pPr>
            <w:r w:rsidRPr="00092971">
              <w:rPr>
                <w:color w:val="FFFFFF"/>
              </w:rPr>
              <w:t>Entity</w:t>
            </w:r>
          </w:p>
        </w:tc>
        <w:tc>
          <w:tcPr>
            <w:tcW w:w="1989" w:type="dxa"/>
            <w:gridSpan w:val="2"/>
            <w:tcBorders>
              <w:bottom w:val="nil"/>
            </w:tcBorders>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Actuary</w:t>
            </w:r>
          </w:p>
        </w:tc>
        <w:tc>
          <w:tcPr>
            <w:tcW w:w="640"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700"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tcW w:w="1749" w:type="dxa"/>
            <w:gridSpan w:val="3"/>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1596"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r w:rsidRPr="00092971">
              <w:rPr>
                <w:color w:val="FFFFFF"/>
                <w:vertAlign w:val="superscript"/>
              </w:rPr>
              <w:t>(e)</w:t>
            </w:r>
          </w:p>
        </w:tc>
        <w:tc>
          <w:tcPr>
            <w:tcW w:w="1552"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1559"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r w:rsidRPr="00092971">
              <w:rPr>
                <w:color w:val="FFFFFF"/>
                <w:vertAlign w:val="superscript"/>
              </w:rPr>
              <w:t>(e)</w:t>
            </w:r>
          </w:p>
        </w:tc>
        <w:tc>
          <w:tcPr>
            <w:tcW w:w="1634"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1610" w:type="dxa"/>
            <w:tcBorders>
              <w:bottom w:val="nil"/>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bottom w:val="single" w:sz="6" w:space="0" w:color="auto"/>
            </w:tcBorders>
          </w:tcPr>
          <w:p w:rsidR="00DF17E9" w:rsidRPr="00092971" w:rsidRDefault="00DF17E9" w:rsidP="0031570E">
            <w:pPr>
              <w:ind w:left="113" w:hanging="113"/>
              <w:rPr>
                <w:color w:val="000000"/>
              </w:rPr>
            </w:pPr>
            <w:r w:rsidRPr="00092971">
              <w:rPr>
                <w:color w:val="000000"/>
              </w:rPr>
              <w:t xml:space="preserve">Victorian WorkCover Authority </w:t>
            </w:r>
            <w:r w:rsidR="0031570E">
              <w:rPr>
                <w:color w:val="000000"/>
              </w:rPr>
              <w:br/>
            </w:r>
            <w:r w:rsidRPr="00092971">
              <w:rPr>
                <w:color w:val="000000"/>
              </w:rPr>
              <w:t>(WorkSafe Victoria)</w:t>
            </w:r>
          </w:p>
        </w:tc>
        <w:tc>
          <w:tcPr>
            <w:tcW w:w="1987" w:type="dxa"/>
            <w:gridSpan w:val="2"/>
            <w:tcBorders>
              <w:bottom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PwC Actuarial Ltd</w:t>
            </w:r>
          </w:p>
        </w:tc>
        <w:tc>
          <w:tcPr>
            <w:tcW w:w="642"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6.20</w:t>
            </w:r>
          </w:p>
        </w:tc>
        <w:tc>
          <w:tcPr>
            <w:tcW w:w="70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5.90</w:t>
            </w:r>
          </w:p>
        </w:tc>
        <w:tc>
          <w:tcPr>
            <w:tcW w:w="1749" w:type="dxa"/>
            <w:gridSpan w:val="3"/>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AWE</w:t>
            </w:r>
            <w:r w:rsidRPr="00092971">
              <w:rPr>
                <w:color w:val="000000"/>
                <w:vertAlign w:val="superscript"/>
              </w:rPr>
              <w:t>(f)</w:t>
            </w:r>
            <w:r w:rsidRPr="00092971">
              <w:rPr>
                <w:color w:val="000000"/>
              </w:rPr>
              <w:t xml:space="preserve"> inflation = 3.46 </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CPI inflation = 2.50</w:t>
            </w:r>
          </w:p>
        </w:tc>
        <w:tc>
          <w:tcPr>
            <w:tcW w:w="1596" w:type="dxa"/>
            <w:tcBorders>
              <w:bottom w:val="single" w:sz="6" w:space="0" w:color="auto"/>
            </w:tcBorders>
          </w:tcPr>
          <w:p w:rsidR="00DF17E9" w:rsidRPr="0031570E" w:rsidRDefault="00DF17E9" w:rsidP="00044843">
            <w:pPr>
              <w:cnfStyle w:val="000000000000" w:firstRow="0" w:lastRow="0" w:firstColumn="0" w:lastColumn="0" w:oddVBand="0" w:evenVBand="0" w:oddHBand="0" w:evenHBand="0" w:firstRowFirstColumn="0" w:firstRowLastColumn="0" w:lastRowFirstColumn="0" w:lastRowLastColumn="0"/>
              <w:rPr>
                <w:color w:val="000000"/>
                <w:spacing w:val="0"/>
              </w:rPr>
            </w:pPr>
            <w:r w:rsidRPr="0031570E">
              <w:rPr>
                <w:color w:val="000000"/>
                <w:spacing w:val="0"/>
              </w:rPr>
              <w:t xml:space="preserve">AWE inflation = 3.70 </w:t>
            </w:r>
          </w:p>
          <w:p w:rsidR="00DF17E9" w:rsidRPr="0031570E" w:rsidRDefault="00DF17E9" w:rsidP="00044843">
            <w:pPr>
              <w:cnfStyle w:val="000000000000" w:firstRow="0" w:lastRow="0" w:firstColumn="0" w:lastColumn="0" w:oddVBand="0" w:evenVBand="0" w:oddHBand="0" w:evenHBand="0" w:firstRowFirstColumn="0" w:firstRowLastColumn="0" w:lastRowFirstColumn="0" w:lastRowLastColumn="0"/>
              <w:rPr>
                <w:color w:val="000000"/>
                <w:spacing w:val="0"/>
              </w:rPr>
            </w:pPr>
            <w:r w:rsidRPr="0031570E">
              <w:rPr>
                <w:color w:val="000000"/>
                <w:spacing w:val="0"/>
              </w:rPr>
              <w:t>CPI inflation = 2.50</w:t>
            </w:r>
          </w:p>
        </w:tc>
        <w:tc>
          <w:tcPr>
            <w:tcW w:w="1552"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2.15</w:t>
            </w:r>
          </w:p>
        </w:tc>
        <w:tc>
          <w:tcPr>
            <w:tcW w:w="155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3.05</w:t>
            </w:r>
          </w:p>
        </w:tc>
        <w:tc>
          <w:tcPr>
            <w:tcW w:w="1634"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8.00</w:t>
            </w:r>
          </w:p>
        </w:tc>
        <w:tc>
          <w:tcPr>
            <w:tcW w:w="161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8.00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color w:val="000000"/>
              </w:rPr>
              <w:t>Transport Accident Commission</w:t>
            </w:r>
          </w:p>
        </w:tc>
        <w:tc>
          <w:tcPr>
            <w:tcW w:w="1987" w:type="dxa"/>
            <w:gridSpan w:val="2"/>
            <w:tcBorders>
              <w:top w:val="single" w:sz="6" w:space="0" w:color="auto"/>
              <w:bottom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PwC Actuarial Ltd</w:t>
            </w:r>
          </w:p>
        </w:tc>
        <w:tc>
          <w:tcPr>
            <w:tcW w:w="64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16.30</w:t>
            </w:r>
          </w:p>
        </w:tc>
        <w:tc>
          <w:tcPr>
            <w:tcW w:w="70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15.30</w:t>
            </w:r>
          </w:p>
        </w:tc>
        <w:tc>
          <w:tcPr>
            <w:tcW w:w="1749" w:type="dxa"/>
            <w:gridSpan w:val="3"/>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AWE inflation</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0 to 20 years = 3.48</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21+ years = 3.75</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CPI inflation</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All years</w:t>
            </w:r>
            <w:r w:rsidRPr="00092971">
              <w:t xml:space="preserve"> = 2.50</w:t>
            </w:r>
          </w:p>
        </w:tc>
        <w:tc>
          <w:tcPr>
            <w:tcW w:w="1596"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AWE inflation</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0 to 20 years = 3.50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21+</w:t>
            </w:r>
            <w:r w:rsidRPr="00092971">
              <w:t xml:space="preserve"> years = 3.75</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CPI inflation</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All years</w:t>
            </w:r>
            <w:r w:rsidRPr="00092971">
              <w:t xml:space="preserve"> = 2.50</w:t>
            </w:r>
          </w:p>
        </w:tc>
        <w:tc>
          <w:tcPr>
            <w:tcW w:w="155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0 to 20 years = 2.49</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21+ years = 5.50</w:t>
            </w:r>
          </w:p>
        </w:tc>
        <w:tc>
          <w:tcPr>
            <w:tcW w:w="1559"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0 to 20 years =</w:t>
            </w:r>
            <w:r w:rsidR="0082402B">
              <w:rPr>
                <w:color w:val="000000"/>
              </w:rPr>
              <w:t xml:space="preserve"> </w:t>
            </w:r>
            <w:r w:rsidRPr="00092971">
              <w:rPr>
                <w:color w:val="000000"/>
              </w:rPr>
              <w:t>3.51</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21+ years = 5.50</w:t>
            </w:r>
          </w:p>
        </w:tc>
        <w:tc>
          <w:tcPr>
            <w:tcW w:w="1634"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10.00</w:t>
            </w:r>
          </w:p>
        </w:tc>
        <w:tc>
          <w:tcPr>
            <w:tcW w:w="161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10.00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color w:val="000000"/>
              </w:rPr>
              <w:t xml:space="preserve">Victorian Managed Insurance Authority </w:t>
            </w:r>
          </w:p>
        </w:tc>
        <w:tc>
          <w:tcPr>
            <w:tcW w:w="1987" w:type="dxa"/>
            <w:gridSpan w:val="2"/>
            <w:tcBorders>
              <w:top w:val="single" w:sz="6" w:space="0" w:color="auto"/>
              <w:bottom w:val="single" w:sz="6" w:space="0" w:color="auto"/>
            </w:tcBorders>
          </w:tcPr>
          <w:p w:rsidR="00DF17E9" w:rsidRPr="00092971" w:rsidRDefault="00DF17E9" w:rsidP="0031570E">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Finity Consulting Pty Ltd </w:t>
            </w:r>
            <w:r w:rsidR="0031570E">
              <w:rPr>
                <w:color w:val="000000"/>
              </w:rPr>
              <w:t xml:space="preserve"> </w:t>
            </w:r>
            <w:r w:rsidRPr="00092971">
              <w:rPr>
                <w:color w:val="000000"/>
              </w:rPr>
              <w:t>(Medical Indemnity)</w:t>
            </w:r>
          </w:p>
        </w:tc>
        <w:tc>
          <w:tcPr>
            <w:tcW w:w="64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4.30</w:t>
            </w:r>
          </w:p>
        </w:tc>
        <w:tc>
          <w:tcPr>
            <w:tcW w:w="70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4.80</w:t>
            </w:r>
          </w:p>
        </w:tc>
        <w:tc>
          <w:tcPr>
            <w:tcW w:w="1749" w:type="dxa"/>
            <w:gridSpan w:val="3"/>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6.00</w:t>
            </w:r>
          </w:p>
        </w:tc>
        <w:tc>
          <w:tcPr>
            <w:tcW w:w="1596"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7.00</w:t>
            </w:r>
          </w:p>
        </w:tc>
        <w:tc>
          <w:tcPr>
            <w:tcW w:w="155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1.80</w:t>
            </w:r>
          </w:p>
        </w:tc>
        <w:tc>
          <w:tcPr>
            <w:tcW w:w="1559"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2.80</w:t>
            </w:r>
          </w:p>
        </w:tc>
        <w:tc>
          <w:tcPr>
            <w:tcW w:w="1634"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20.00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w:t>
            </w:r>
            <w:r w:rsidRPr="00092971">
              <w:rPr>
                <w:color w:val="000000"/>
                <w:vertAlign w:val="superscript"/>
              </w:rPr>
              <w:t xml:space="preserve">(g) </w:t>
            </w:r>
            <w:r w:rsidRPr="00092971">
              <w:rPr>
                <w:color w:val="000000"/>
              </w:rPr>
              <w:t>= 3.00</w:t>
            </w:r>
          </w:p>
        </w:tc>
        <w:tc>
          <w:tcPr>
            <w:tcW w:w="161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21.10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3.00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color w:val="000000"/>
              </w:rPr>
              <w:t xml:space="preserve">Victorian Managed Insurance Authority </w:t>
            </w:r>
          </w:p>
        </w:tc>
        <w:tc>
          <w:tcPr>
            <w:tcW w:w="1987" w:type="dxa"/>
            <w:gridSpan w:val="2"/>
            <w:tcBorders>
              <w:top w:val="single" w:sz="6" w:space="0" w:color="auto"/>
              <w:bottom w:val="single" w:sz="6" w:space="0" w:color="auto"/>
            </w:tcBorders>
          </w:tcPr>
          <w:p w:rsidR="00DF17E9" w:rsidRPr="00092971" w:rsidRDefault="00DF17E9" w:rsidP="0031570E">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Finity Consulting Pty Ltd (Liability)</w:t>
            </w:r>
          </w:p>
        </w:tc>
        <w:tc>
          <w:tcPr>
            <w:tcW w:w="64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4.10</w:t>
            </w:r>
          </w:p>
        </w:tc>
        <w:tc>
          <w:tcPr>
            <w:tcW w:w="70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3.80</w:t>
            </w:r>
          </w:p>
        </w:tc>
        <w:tc>
          <w:tcPr>
            <w:tcW w:w="1749" w:type="dxa"/>
            <w:gridSpan w:val="3"/>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3.00</w:t>
            </w:r>
          </w:p>
        </w:tc>
        <w:tc>
          <w:tcPr>
            <w:tcW w:w="1596"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3.50</w:t>
            </w:r>
          </w:p>
        </w:tc>
        <w:tc>
          <w:tcPr>
            <w:tcW w:w="155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1.80</w:t>
            </w:r>
          </w:p>
        </w:tc>
        <w:tc>
          <w:tcPr>
            <w:tcW w:w="1559"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2.50</w:t>
            </w:r>
          </w:p>
        </w:tc>
        <w:tc>
          <w:tcPr>
            <w:tcW w:w="1634"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31.70 CHE = 7.10</w:t>
            </w:r>
          </w:p>
        </w:tc>
        <w:tc>
          <w:tcPr>
            <w:tcW w:w="161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32.50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6.70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color w:val="000000"/>
              </w:rPr>
              <w:t xml:space="preserve">Victorian Managed Insurance Authority </w:t>
            </w:r>
          </w:p>
        </w:tc>
        <w:tc>
          <w:tcPr>
            <w:tcW w:w="1987" w:type="dxa"/>
            <w:gridSpan w:val="2"/>
            <w:tcBorders>
              <w:top w:val="single" w:sz="6" w:space="0" w:color="auto"/>
              <w:bottom w:val="single" w:sz="6" w:space="0" w:color="auto"/>
            </w:tcBorders>
          </w:tcPr>
          <w:p w:rsidR="00DF17E9" w:rsidRPr="00092971" w:rsidRDefault="00DF17E9" w:rsidP="0031570E">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Finity Consulting Pty Ltd</w:t>
            </w:r>
            <w:r w:rsidR="0031570E">
              <w:rPr>
                <w:color w:val="000000"/>
              </w:rPr>
              <w:t xml:space="preserve"> </w:t>
            </w:r>
            <w:r w:rsidRPr="00092971">
              <w:rPr>
                <w:color w:val="000000"/>
              </w:rPr>
              <w:t>(Property)</w:t>
            </w:r>
          </w:p>
        </w:tc>
        <w:tc>
          <w:tcPr>
            <w:tcW w:w="64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1.10</w:t>
            </w:r>
          </w:p>
        </w:tc>
        <w:tc>
          <w:tcPr>
            <w:tcW w:w="70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0.90</w:t>
            </w:r>
          </w:p>
        </w:tc>
        <w:tc>
          <w:tcPr>
            <w:tcW w:w="1749" w:type="dxa"/>
            <w:gridSpan w:val="3"/>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3.00</w:t>
            </w:r>
          </w:p>
        </w:tc>
        <w:tc>
          <w:tcPr>
            <w:tcW w:w="1596"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3.50</w:t>
            </w:r>
          </w:p>
        </w:tc>
        <w:tc>
          <w:tcPr>
            <w:tcW w:w="155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1.80</w:t>
            </w:r>
          </w:p>
        </w:tc>
        <w:tc>
          <w:tcPr>
            <w:tcW w:w="1559"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2.50</w:t>
            </w:r>
          </w:p>
        </w:tc>
        <w:tc>
          <w:tcPr>
            <w:tcW w:w="1634"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Risk margin = 17.50 </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6.30</w:t>
            </w:r>
          </w:p>
        </w:tc>
        <w:tc>
          <w:tcPr>
            <w:tcW w:w="161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Risk margin = 18.00 </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5.30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color w:val="000000"/>
              </w:rPr>
              <w:t xml:space="preserve">Victorian Managed Insurance Authority </w:t>
            </w:r>
          </w:p>
        </w:tc>
        <w:tc>
          <w:tcPr>
            <w:tcW w:w="1987" w:type="dxa"/>
            <w:gridSpan w:val="2"/>
            <w:tcBorders>
              <w:top w:val="single" w:sz="6" w:space="0" w:color="auto"/>
              <w:bottom w:val="single" w:sz="6" w:space="0" w:color="auto"/>
            </w:tcBorders>
          </w:tcPr>
          <w:p w:rsidR="00DF17E9" w:rsidRPr="00092971" w:rsidRDefault="00DF17E9" w:rsidP="0031570E">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Finity Consulting Pty Ltd</w:t>
            </w:r>
            <w:r w:rsidR="0031570E">
              <w:rPr>
                <w:color w:val="000000"/>
              </w:rPr>
              <w:t xml:space="preserve"> </w:t>
            </w:r>
            <w:r w:rsidRPr="00092971">
              <w:rPr>
                <w:color w:val="000000"/>
              </w:rPr>
              <w:t>(Other)</w:t>
            </w:r>
          </w:p>
        </w:tc>
        <w:tc>
          <w:tcPr>
            <w:tcW w:w="64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2.50</w:t>
            </w:r>
          </w:p>
        </w:tc>
        <w:tc>
          <w:tcPr>
            <w:tcW w:w="70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3.30</w:t>
            </w:r>
          </w:p>
        </w:tc>
        <w:tc>
          <w:tcPr>
            <w:tcW w:w="1749" w:type="dxa"/>
            <w:gridSpan w:val="3"/>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3.00</w:t>
            </w:r>
          </w:p>
        </w:tc>
        <w:tc>
          <w:tcPr>
            <w:tcW w:w="1596"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3.50</w:t>
            </w:r>
          </w:p>
        </w:tc>
        <w:tc>
          <w:tcPr>
            <w:tcW w:w="155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1.80</w:t>
            </w:r>
          </w:p>
        </w:tc>
        <w:tc>
          <w:tcPr>
            <w:tcW w:w="1559"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2.50</w:t>
            </w:r>
          </w:p>
        </w:tc>
        <w:tc>
          <w:tcPr>
            <w:tcW w:w="1634"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29.40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7.50</w:t>
            </w:r>
          </w:p>
        </w:tc>
        <w:tc>
          <w:tcPr>
            <w:tcW w:w="161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30.70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8.00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color w:val="000000"/>
              </w:rPr>
              <w:t xml:space="preserve">Victorian Managed Insurance Authority </w:t>
            </w:r>
          </w:p>
        </w:tc>
        <w:tc>
          <w:tcPr>
            <w:tcW w:w="1987" w:type="dxa"/>
            <w:gridSpan w:val="2"/>
            <w:tcBorders>
              <w:top w:val="single" w:sz="6" w:space="0" w:color="auto"/>
              <w:bottom w:val="single" w:sz="6" w:space="0" w:color="auto"/>
            </w:tcBorders>
          </w:tcPr>
          <w:p w:rsidR="00DF17E9" w:rsidRPr="0031570E" w:rsidRDefault="00DF17E9" w:rsidP="0031570E">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Finity Consulting Pty Ltd </w:t>
            </w:r>
            <w:r w:rsidR="0031570E">
              <w:rPr>
                <w:color w:val="000000"/>
              </w:rPr>
              <w:t xml:space="preserve"> </w:t>
            </w:r>
            <w:r w:rsidRPr="00092971">
              <w:rPr>
                <w:color w:val="000000"/>
              </w:rPr>
              <w:t>(Dust Diseases and Workers’ Compensation)</w:t>
            </w:r>
          </w:p>
        </w:tc>
        <w:tc>
          <w:tcPr>
            <w:tcW w:w="64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12.10</w:t>
            </w:r>
          </w:p>
        </w:tc>
        <w:tc>
          <w:tcPr>
            <w:tcW w:w="70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11.70</w:t>
            </w:r>
          </w:p>
        </w:tc>
        <w:tc>
          <w:tcPr>
            <w:tcW w:w="1749" w:type="dxa"/>
            <w:gridSpan w:val="3"/>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5.40</w:t>
            </w:r>
          </w:p>
        </w:tc>
        <w:tc>
          <w:tcPr>
            <w:tcW w:w="1596"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5.50</w:t>
            </w:r>
          </w:p>
        </w:tc>
        <w:tc>
          <w:tcPr>
            <w:tcW w:w="1552"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2.60</w:t>
            </w:r>
          </w:p>
        </w:tc>
        <w:tc>
          <w:tcPr>
            <w:tcW w:w="1559"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3.70</w:t>
            </w:r>
          </w:p>
        </w:tc>
        <w:tc>
          <w:tcPr>
            <w:tcW w:w="1634" w:type="dxa"/>
            <w:tcBorders>
              <w:top w:val="single" w:sz="6" w:space="0" w:color="auto"/>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28.50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7.00</w:t>
            </w:r>
          </w:p>
        </w:tc>
        <w:tc>
          <w:tcPr>
            <w:tcW w:w="161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Risk margin = 29.30</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8.00</w:t>
            </w:r>
          </w:p>
        </w:tc>
      </w:tr>
      <w:tr w:rsidR="00DF17E9" w:rsidRPr="00092971" w:rsidTr="0082402B">
        <w:tc>
          <w:tcPr>
            <w:cnfStyle w:val="001000000000" w:firstRow="0" w:lastRow="0" w:firstColumn="1" w:lastColumn="0" w:oddVBand="0" w:evenVBand="0" w:oddHBand="0" w:evenHBand="0" w:firstRowFirstColumn="0" w:firstRowLastColumn="0" w:lastRowFirstColumn="0" w:lastRowLastColumn="0"/>
            <w:tcW w:w="1726"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color w:val="000000"/>
              </w:rPr>
              <w:t xml:space="preserve">Victorian Managed Insurance Authority </w:t>
            </w:r>
          </w:p>
        </w:tc>
        <w:tc>
          <w:tcPr>
            <w:tcW w:w="1987" w:type="dxa"/>
            <w:gridSpan w:val="2"/>
            <w:tcBorders>
              <w:top w:val="single" w:sz="6" w:space="0" w:color="auto"/>
              <w:bottom w:val="single" w:sz="12" w:space="0" w:color="auto"/>
            </w:tcBorders>
          </w:tcPr>
          <w:p w:rsidR="00DF17E9" w:rsidRPr="0031570E" w:rsidRDefault="00DF17E9" w:rsidP="0031570E">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Finity Consulting Pty Ltd </w:t>
            </w:r>
            <w:r w:rsidR="0031570E">
              <w:rPr>
                <w:color w:val="000000"/>
              </w:rPr>
              <w:t xml:space="preserve"> </w:t>
            </w:r>
            <w:r w:rsidRPr="00092971">
              <w:rPr>
                <w:color w:val="000000"/>
              </w:rPr>
              <w:t>(Domestic Building Insurance)</w:t>
            </w:r>
          </w:p>
        </w:tc>
        <w:tc>
          <w:tcPr>
            <w:tcW w:w="642"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3.90</w:t>
            </w:r>
          </w:p>
        </w:tc>
        <w:tc>
          <w:tcPr>
            <w:tcW w:w="700"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4.20</w:t>
            </w:r>
          </w:p>
        </w:tc>
        <w:tc>
          <w:tcPr>
            <w:tcW w:w="1749" w:type="dxa"/>
            <w:gridSpan w:val="3"/>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3.00</w:t>
            </w:r>
          </w:p>
        </w:tc>
        <w:tc>
          <w:tcPr>
            <w:tcW w:w="159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3.50</w:t>
            </w:r>
          </w:p>
        </w:tc>
        <w:tc>
          <w:tcPr>
            <w:tcW w:w="1552"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1.80</w:t>
            </w:r>
          </w:p>
        </w:tc>
        <w:tc>
          <w:tcPr>
            <w:tcW w:w="155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2.50</w:t>
            </w:r>
          </w:p>
        </w:tc>
        <w:tc>
          <w:tcPr>
            <w:tcW w:w="1634"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Risk margin = 23.50 </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6.00</w:t>
            </w:r>
          </w:p>
        </w:tc>
        <w:tc>
          <w:tcPr>
            <w:tcW w:w="1610"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Risk margin = 24.10 </w:t>
            </w:r>
          </w:p>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CHE = 7.00</w:t>
            </w:r>
          </w:p>
        </w:tc>
      </w:tr>
    </w:tbl>
    <w:p w:rsidR="00DF17E9" w:rsidRDefault="00DF17E9" w:rsidP="00044843">
      <w:pPr>
        <w:pStyle w:val="Note"/>
      </w:pPr>
      <w:r>
        <w:t>Notes:</w:t>
      </w:r>
    </w:p>
    <w:p w:rsidR="00DF17E9" w:rsidRDefault="00DF17E9" w:rsidP="00044843">
      <w:pPr>
        <w:pStyle w:val="Note"/>
      </w:pPr>
      <w:r>
        <w:t>(a)</w:t>
      </w:r>
      <w:r>
        <w:tab/>
        <w:t>The inflation rate assumptions are based on the anticipated rise in costs relevant to a particular entity.</w:t>
      </w:r>
    </w:p>
    <w:p w:rsidR="00DF17E9" w:rsidRDefault="00DF17E9" w:rsidP="00044843">
      <w:pPr>
        <w:pStyle w:val="Note"/>
      </w:pPr>
      <w:r>
        <w:t>(b)</w:t>
      </w:r>
      <w:r>
        <w:tab/>
        <w:t>Financial assumptions used for provisions not later than 1 year and later than 1 year are the same unless otherwise specified.</w:t>
      </w:r>
    </w:p>
    <w:p w:rsidR="00DF17E9" w:rsidRDefault="00DF17E9" w:rsidP="00044843">
      <w:pPr>
        <w:pStyle w:val="Note"/>
      </w:pPr>
      <w:r>
        <w:t>(c)</w:t>
      </w:r>
      <w:r>
        <w:tab/>
        <w:t>Data in financial assumptions used columns are weighted average unless otherwise specified.</w:t>
      </w:r>
    </w:p>
    <w:p w:rsidR="00DF17E9" w:rsidRDefault="00DF17E9" w:rsidP="00044843">
      <w:pPr>
        <w:pStyle w:val="Note"/>
      </w:pPr>
      <w:r>
        <w:t>(d)</w:t>
      </w:r>
      <w:r>
        <w:tab/>
      </w:r>
      <w:r w:rsidRPr="00992587">
        <w:t>The inflation rates used by Transport Accident Commission are not weighted -average for 21+ years.</w:t>
      </w:r>
    </w:p>
    <w:p w:rsidR="00DF17E9" w:rsidRDefault="00DF17E9" w:rsidP="00044843">
      <w:pPr>
        <w:pStyle w:val="Note"/>
      </w:pPr>
      <w:r>
        <w:t>(e)</w:t>
      </w:r>
      <w:r>
        <w:tab/>
      </w:r>
      <w:r w:rsidRPr="005870DE">
        <w:t>The disclosures of 2014-15 weighted average inflation rate and weighted average discount rate for TAC have been amended to reflect the simpler claims assumptions adopted in 2015-16, and hence comparabil</w:t>
      </w:r>
      <w:r>
        <w:t>ity between the financial years.</w:t>
      </w:r>
    </w:p>
    <w:p w:rsidR="00DF17E9" w:rsidRDefault="00DF17E9" w:rsidP="00044843">
      <w:pPr>
        <w:pStyle w:val="Note"/>
      </w:pPr>
      <w:r>
        <w:t>(f)</w:t>
      </w:r>
      <w:r>
        <w:tab/>
        <w:t>AWE = Victorian Average Weekly Earnings.</w:t>
      </w:r>
    </w:p>
    <w:p w:rsidR="00DF17E9" w:rsidRDefault="00DF17E9" w:rsidP="00044843">
      <w:pPr>
        <w:pStyle w:val="Note"/>
      </w:pPr>
      <w:r>
        <w:t>(g)</w:t>
      </w:r>
      <w:r>
        <w:tab/>
        <w:t>Refers to ‘Claims Handling Expenses’. Claims handling expenses is an allowance made for the director expenses to be incurred in settling claims.</w:t>
      </w:r>
    </w:p>
    <w:p w:rsidR="00DF17E9" w:rsidRDefault="00DF17E9" w:rsidP="00044843">
      <w:pPr>
        <w:pStyle w:val="Note"/>
      </w:pPr>
    </w:p>
    <w:p w:rsidR="00DF17E9" w:rsidRDefault="00DF17E9" w:rsidP="00401819"/>
    <w:p w:rsidR="00DF17E9" w:rsidRDefault="00DF17E9" w:rsidP="00401819">
      <w:pPr>
        <w:sectPr w:rsidR="00DF17E9" w:rsidSect="00044843">
          <w:headerReference w:type="default" r:id="rId186"/>
          <w:footerReference w:type="default" r:id="rId187"/>
          <w:pgSz w:w="16838" w:h="11906" w:orient="landscape" w:code="9"/>
          <w:pgMar w:top="1134" w:right="1134" w:bottom="1134" w:left="1134" w:header="624" w:footer="567" w:gutter="0"/>
          <w:cols w:space="708"/>
          <w:docGrid w:linePitch="360"/>
        </w:sectPr>
      </w:pPr>
    </w:p>
    <w:p w:rsidR="00DF17E9" w:rsidRDefault="00DF17E9" w:rsidP="00401819">
      <w:pPr>
        <w:pStyle w:val="Subheadingunderline"/>
      </w:pPr>
      <w:r w:rsidRPr="00A20F1E">
        <w:lastRenderedPageBreak/>
        <w:t>Reconciliation of movements in onerous contracts</w:t>
      </w:r>
    </w:p>
    <w:p w:rsidR="00DF17E9" w:rsidRDefault="00DF17E9" w:rsidP="00044843">
      <w:r>
        <w:t xml:space="preserve">An onerous contract is considered to exist when the unavoidable cost of meeting the contractual obligations exceeds the estimated economic benefits to be received. </w:t>
      </w:r>
    </w:p>
    <w:p w:rsidR="00DF17E9" w:rsidRDefault="00DF17E9" w:rsidP="00044843">
      <w:r>
        <w:t>Present obligations arising under onerous contracts are recognised as a provision to the extent that the present obligation exceeds the estimated economic benefits to be received.</w:t>
      </w:r>
    </w:p>
    <w:p w:rsidR="00DF17E9" w:rsidRDefault="00DF17E9" w:rsidP="00401819">
      <w:pPr>
        <w:sectPr w:rsidR="00DF17E9" w:rsidSect="00044843">
          <w:headerReference w:type="even" r:id="rId188"/>
          <w:headerReference w:type="default" r:id="rId189"/>
          <w:footerReference w:type="even" r:id="rId190"/>
          <w:footerReference w:type="default" r:id="rId191"/>
          <w:pgSz w:w="11906" w:h="16838" w:code="9"/>
          <w:pgMar w:top="1134" w:right="1134" w:bottom="1134" w:left="1134" w:header="624" w:footer="567" w:gutter="0"/>
          <w:cols w:num="2" w:space="708"/>
          <w:docGrid w:linePitch="360"/>
        </w:sectPr>
      </w:pPr>
      <w:r w:rsidRPr="000740AE">
        <w:lastRenderedPageBreak/>
        <w:t>The State’s major onerous contractual obligation is for the supply of electricity to the aluminium smelter at Portland until expiry on 31 October 2016. An annual review of the contract is undertaken to remeasure the liability, taking into account the effects of market changes during the year relating to the National Electricity Market and assumptions including aluminium prices, with reference to electricity prices.</w:t>
      </w:r>
    </w:p>
    <w:p w:rsidR="00DF17E9" w:rsidRPr="00092971" w:rsidRDefault="00DF17E9" w:rsidP="00044843">
      <w:pPr>
        <w:pStyle w:val="Subheading"/>
        <w:rPr>
          <w:rStyle w:val="TableUnitsChar"/>
          <w:bCs/>
          <w:lang w:val="en-US"/>
        </w:rPr>
      </w:pPr>
      <w:r w:rsidRPr="00555630">
        <w:lastRenderedPageBreak/>
        <w:tab/>
      </w:r>
      <w:r w:rsidRPr="00555630">
        <w:rPr>
          <w:rStyle w:val="TableUnitsChar"/>
        </w:rPr>
        <w:t>($ million)</w:t>
      </w:r>
    </w:p>
    <w:tbl>
      <w:tblPr>
        <w:tblStyle w:val="TableDTFGeneral"/>
        <w:tblW w:w="9637" w:type="dxa"/>
        <w:tblLayout w:type="fixed"/>
        <w:tblLook w:val="02A0" w:firstRow="1" w:lastRow="0" w:firstColumn="1" w:lastColumn="0" w:noHBand="1" w:noVBand="0"/>
      </w:tblPr>
      <w:tblGrid>
        <w:gridCol w:w="6009"/>
        <w:gridCol w:w="907"/>
        <w:gridCol w:w="907"/>
        <w:gridCol w:w="907"/>
        <w:gridCol w:w="907"/>
      </w:tblGrid>
      <w:tr w:rsidR="0031570E"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31570E" w:rsidRPr="00092971" w:rsidRDefault="0031570E" w:rsidP="00044843">
            <w:pPr>
              <w:ind w:left="0" w:firstLine="0"/>
              <w:jc w:val="center"/>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31570E" w:rsidRPr="00092971" w:rsidRDefault="0031570E" w:rsidP="00044843">
            <w:pPr>
              <w:jc w:val="center"/>
              <w:rPr>
                <w:i w:val="0"/>
                <w:color w:val="FFFFFF"/>
              </w:rPr>
            </w:pPr>
            <w:r w:rsidRPr="00092971">
              <w:rPr>
                <w:color w:val="FFFFFF"/>
              </w:rPr>
              <w:t xml:space="preserve"> </w:t>
            </w:r>
          </w:p>
          <w:p w:rsidR="0031570E" w:rsidRPr="00092971" w:rsidRDefault="0031570E" w:rsidP="00044843">
            <w:pPr>
              <w:jc w:val="center"/>
              <w:rPr>
                <w:color w:val="FFFFFF"/>
              </w:rPr>
            </w:pPr>
            <w:r w:rsidRPr="00092971">
              <w:rPr>
                <w:color w:val="FFFFFF"/>
              </w:rPr>
              <w:t>State of Victoria</w:t>
            </w:r>
          </w:p>
        </w:tc>
        <w:tc>
          <w:tcPr>
            <w:tcW w:w="1814" w:type="dxa"/>
            <w:gridSpan w:val="2"/>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General </w:t>
            </w:r>
          </w:p>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2016</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b/>
                <w:color w:val="000000"/>
              </w:rPr>
              <w:t>Opening balance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b/>
                <w:color w:val="000000"/>
              </w:rPr>
              <w:t>73</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114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b/>
                <w:color w:val="000000"/>
              </w:rPr>
              <w:t>..</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Receipts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157</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164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Pr>
          <w:p w:rsidR="00DF17E9" w:rsidRPr="00092971" w:rsidRDefault="00DF17E9" w:rsidP="00044843">
            <w:pPr>
              <w:ind w:left="0" w:firstLine="0"/>
              <w:rPr>
                <w:color w:val="000000"/>
              </w:rPr>
            </w:pPr>
            <w:r w:rsidRPr="00092971">
              <w:rPr>
                <w:color w:val="000000"/>
              </w:rPr>
              <w:t>Payments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(270)</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000000"/>
              </w:rPr>
            </w:pPr>
            <w:r w:rsidRPr="00092971">
              <w:rPr>
                <w:color w:val="000000"/>
              </w:rPr>
              <w:t>..</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bottom w:val="nil"/>
            </w:tcBorders>
          </w:tcPr>
          <w:p w:rsidR="00DF17E9" w:rsidRPr="00092971" w:rsidRDefault="00DF17E9" w:rsidP="00044843">
            <w:pPr>
              <w:ind w:left="0" w:firstLine="0"/>
              <w:rPr>
                <w:color w:val="000000"/>
              </w:rPr>
            </w:pPr>
            <w:r w:rsidRPr="00092971">
              <w:rPr>
                <w:color w:val="000000"/>
              </w:rPr>
              <w:t xml:space="preserve">Discount interest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r w:rsidRPr="00092971">
              <w:rPr>
                <w:color w:val="000000"/>
              </w:rPr>
              <w:t>1</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rPr>
                <w:color w:val="000000"/>
              </w:rPr>
            </w:pPr>
            <w:r w:rsidRPr="00092971">
              <w:rPr>
                <w:color w:val="000000"/>
              </w:rPr>
              <w:t>..</w:t>
            </w:r>
          </w:p>
        </w:tc>
        <w:tc>
          <w:tcPr>
            <w:tcW w:w="90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bottom w:val="single" w:sz="6" w:space="0" w:color="auto"/>
            </w:tcBorders>
          </w:tcPr>
          <w:p w:rsidR="00DF17E9" w:rsidRPr="00092971" w:rsidRDefault="00DF17E9" w:rsidP="00044843">
            <w:pPr>
              <w:ind w:left="0" w:firstLine="0"/>
              <w:rPr>
                <w:color w:val="000000"/>
              </w:rPr>
            </w:pPr>
            <w:r w:rsidRPr="00092971">
              <w:rPr>
                <w:color w:val="000000"/>
              </w:rPr>
              <w:t>(Gain)/loss on restatement of the liability</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r w:rsidRPr="00092971">
              <w:rPr>
                <w:color w:val="000000"/>
              </w:rPr>
              <w:t>89</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092971" w:rsidRDefault="00DF17E9" w:rsidP="00044843">
            <w:pPr>
              <w:rPr>
                <w:color w:val="000000"/>
              </w:rPr>
            </w:pPr>
            <w:r w:rsidRPr="00092971">
              <w:rPr>
                <w:color w:val="000000"/>
              </w:rPr>
              <w:t>..</w:t>
            </w:r>
          </w:p>
        </w:tc>
        <w:tc>
          <w:tcPr>
            <w:tcW w:w="90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r w:rsidRPr="00092971">
              <w:rPr>
                <w:b/>
                <w:color w:val="000000"/>
              </w:rPr>
              <w:t>49</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w:t>
            </w:r>
          </w:p>
        </w:tc>
        <w:tc>
          <w:tcPr>
            <w:tcW w:w="90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Default="00DF17E9" w:rsidP="00CB7201">
      <w:pPr>
        <w:pStyle w:val="Note"/>
      </w:pPr>
      <w:r>
        <w:t>Note:</w:t>
      </w:r>
    </w:p>
    <w:p w:rsidR="00DF17E9" w:rsidRPr="00CB7201" w:rsidRDefault="00DF17E9" w:rsidP="00CB7201">
      <w:pPr>
        <w:pStyle w:val="Note"/>
      </w:pPr>
      <w:r>
        <w:t>(</w:t>
      </w:r>
      <w:r w:rsidRPr="00CB7201">
        <w:t>a)</w:t>
      </w:r>
      <w:r w:rsidRPr="00CB7201">
        <w:tab/>
      </w:r>
      <w:r>
        <w:t>The net change in the present value of assets and liabilities between reporting periods has been recognised as discount interest.</w:t>
      </w:r>
    </w:p>
    <w:bookmarkEnd w:id="51"/>
    <w:p w:rsidR="00DF17E9" w:rsidRDefault="00DF17E9" w:rsidP="00BC6724">
      <w:pPr>
        <w:pStyle w:val="BodyText"/>
      </w:pPr>
    </w:p>
    <w:p w:rsidR="00DF17E9" w:rsidRDefault="00DF17E9" w:rsidP="00BC6724">
      <w:pPr>
        <w:pStyle w:val="BodyText"/>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pPr>
        <w:pStyle w:val="Heading1"/>
      </w:pPr>
      <w:bookmarkStart w:id="59" w:name="_Toc462865845"/>
      <w:r w:rsidRPr="00AD5BA9">
        <w:lastRenderedPageBreak/>
        <w:t>Risks</w:t>
      </w:r>
      <w:r>
        <w:t>, contingencies and</w:t>
      </w:r>
      <w:r w:rsidRPr="00D93C90">
        <w:t xml:space="preserve"> </w:t>
      </w:r>
      <w:r>
        <w:t>valuation judgements</w:t>
      </w:r>
      <w:bookmarkEnd w:id="59"/>
    </w:p>
    <w:p w:rsidR="00DF17E9" w:rsidRDefault="00DF17E9" w:rsidP="00D93C90">
      <w:pPr>
        <w:pStyle w:val="Subheadingunderline"/>
        <w:sectPr w:rsidR="00DF17E9" w:rsidSect="00044843">
          <w:headerReference w:type="even" r:id="rId192"/>
          <w:headerReference w:type="default" r:id="rId193"/>
          <w:footerReference w:type="even" r:id="rId194"/>
          <w:footerReference w:type="default" r:id="rId195"/>
          <w:pgSz w:w="11906" w:h="16838" w:code="9"/>
          <w:pgMar w:top="1134" w:right="1134" w:bottom="1134" w:left="1134" w:header="624" w:footer="567" w:gutter="0"/>
          <w:cols w:space="708"/>
          <w:docGrid w:linePitch="360"/>
        </w:sectPr>
      </w:pPr>
    </w:p>
    <w:p w:rsidR="00DF17E9" w:rsidRPr="0083707B" w:rsidRDefault="00DF17E9" w:rsidP="00D93C90">
      <w:pPr>
        <w:pStyle w:val="Subheadingunderline"/>
      </w:pPr>
      <w:bookmarkStart w:id="60" w:name="Section_07"/>
      <w:r w:rsidRPr="0083707B">
        <w:lastRenderedPageBreak/>
        <w:t xml:space="preserve">Introduction </w:t>
      </w:r>
    </w:p>
    <w:p w:rsidR="00DF17E9" w:rsidRDefault="00DF17E9" w:rsidP="00044843">
      <w:r w:rsidRPr="008A091D">
        <w:t>The State is exposed to risk</w:t>
      </w:r>
      <w:r>
        <w:t>s</w:t>
      </w:r>
      <w:r w:rsidRPr="008A091D">
        <w:t xml:space="preserve"> from both its activities and outside factors. In addition, it is often necessary to make judgements and estimates associated with recognition and measurement of items in the financial statements. </w:t>
      </w:r>
    </w:p>
    <w:p w:rsidR="00DF17E9" w:rsidRDefault="00DF17E9" w:rsidP="00044843">
      <w:r>
        <w:t>This section presents information on financial instruments, contingent assets and liabilities, and fair value determinations on the States’ assets and liabilities.</w:t>
      </w:r>
    </w:p>
    <w:p w:rsidR="00DF17E9" w:rsidRPr="0083707B" w:rsidRDefault="00DF17E9" w:rsidP="00044843">
      <w:pPr>
        <w:pStyle w:val="Subheadingunderline"/>
      </w:pPr>
      <w:r w:rsidRPr="0083707B">
        <w:lastRenderedPageBreak/>
        <w:t>Structure</w:t>
      </w:r>
    </w:p>
    <w:p w:rsidR="00DF17E9" w:rsidRDefault="00DF17E9">
      <w:pPr>
        <w:pStyle w:val="TOC9"/>
        <w:rPr>
          <w:rFonts w:eastAsiaTheme="minorEastAsia"/>
          <w:noProof/>
          <w:sz w:val="22"/>
          <w:lang w:eastAsia="en-AU"/>
        </w:rPr>
      </w:pPr>
      <w:r>
        <w:rPr>
          <w:b/>
          <w:noProof/>
        </w:rPr>
        <w:fldChar w:fldCharType="begin"/>
      </w:r>
      <w:r>
        <w:rPr>
          <w:b/>
          <w:noProof/>
        </w:rPr>
        <w:instrText xml:space="preserve"> TOC \h \z \t "Heading 2,9" \b Section_07 </w:instrText>
      </w:r>
      <w:r>
        <w:rPr>
          <w:b/>
          <w:noProof/>
        </w:rPr>
        <w:fldChar w:fldCharType="separate"/>
      </w:r>
      <w:hyperlink w:anchor="_Toc459976623" w:history="1">
        <w:r w:rsidRPr="00C96C28">
          <w:rPr>
            <w:rStyle w:val="Hyperlink"/>
            <w:noProof/>
            <w14:scene3d>
              <w14:camera w14:prst="orthographicFront"/>
              <w14:lightRig w14:rig="threePt" w14:dir="t">
                <w14:rot w14:lat="0" w14:lon="0" w14:rev="0"/>
              </w14:lightRig>
            </w14:scene3d>
          </w:rPr>
          <w:t>7.1</w:t>
        </w:r>
        <w:r>
          <w:rPr>
            <w:rFonts w:eastAsiaTheme="minorEastAsia"/>
            <w:noProof/>
            <w:sz w:val="22"/>
            <w:lang w:eastAsia="en-AU"/>
          </w:rPr>
          <w:tab/>
        </w:r>
        <w:r w:rsidRPr="00C96C28">
          <w:rPr>
            <w:rStyle w:val="Hyperlink"/>
            <w:noProof/>
          </w:rPr>
          <w:t>Financial instruments</w:t>
        </w:r>
        <w:r>
          <w:rPr>
            <w:noProof/>
            <w:webHidden/>
          </w:rPr>
          <w:tab/>
        </w:r>
        <w:r>
          <w:rPr>
            <w:noProof/>
            <w:webHidden/>
          </w:rPr>
          <w:fldChar w:fldCharType="begin"/>
        </w:r>
        <w:r>
          <w:rPr>
            <w:noProof/>
            <w:webHidden/>
          </w:rPr>
          <w:instrText xml:space="preserve"> PAGEREF _Toc459976623 \h </w:instrText>
        </w:r>
        <w:r>
          <w:rPr>
            <w:noProof/>
            <w:webHidden/>
          </w:rPr>
        </w:r>
        <w:r>
          <w:rPr>
            <w:noProof/>
            <w:webHidden/>
          </w:rPr>
          <w:fldChar w:fldCharType="separate"/>
        </w:r>
        <w:r w:rsidR="00E3704D">
          <w:rPr>
            <w:noProof/>
            <w:webHidden/>
          </w:rPr>
          <w:t>81</w:t>
        </w:r>
        <w:r>
          <w:rPr>
            <w:noProof/>
            <w:webHidden/>
          </w:rPr>
          <w:fldChar w:fldCharType="end"/>
        </w:r>
      </w:hyperlink>
    </w:p>
    <w:p w:rsidR="00DF17E9" w:rsidRDefault="003A3C3D">
      <w:pPr>
        <w:pStyle w:val="TOC9"/>
        <w:rPr>
          <w:rFonts w:eastAsiaTheme="minorEastAsia"/>
          <w:noProof/>
          <w:sz w:val="22"/>
          <w:lang w:eastAsia="en-AU"/>
        </w:rPr>
      </w:pPr>
      <w:hyperlink w:anchor="_Toc459976624" w:history="1">
        <w:r w:rsidR="00DF17E9" w:rsidRPr="00C96C28">
          <w:rPr>
            <w:rStyle w:val="Hyperlink"/>
            <w:noProof/>
            <w14:scene3d>
              <w14:camera w14:prst="orthographicFront"/>
              <w14:lightRig w14:rig="threePt" w14:dir="t">
                <w14:rot w14:lat="0" w14:lon="0" w14:rev="0"/>
              </w14:lightRig>
            </w14:scene3d>
          </w:rPr>
          <w:t>7.2</w:t>
        </w:r>
        <w:r w:rsidR="00DF17E9">
          <w:rPr>
            <w:rFonts w:eastAsiaTheme="minorEastAsia"/>
            <w:noProof/>
            <w:sz w:val="22"/>
            <w:lang w:eastAsia="en-AU"/>
          </w:rPr>
          <w:tab/>
        </w:r>
        <w:r w:rsidR="00DF17E9" w:rsidRPr="00C96C28">
          <w:rPr>
            <w:rStyle w:val="Hyperlink"/>
            <w:noProof/>
          </w:rPr>
          <w:t>Contingent assets and contingent liabilities (State of Victoria)</w:t>
        </w:r>
        <w:r w:rsidR="00DF17E9">
          <w:rPr>
            <w:noProof/>
            <w:webHidden/>
          </w:rPr>
          <w:tab/>
        </w:r>
        <w:r w:rsidR="00DF17E9">
          <w:rPr>
            <w:noProof/>
            <w:webHidden/>
          </w:rPr>
          <w:fldChar w:fldCharType="begin"/>
        </w:r>
        <w:r w:rsidR="00DF17E9">
          <w:rPr>
            <w:noProof/>
            <w:webHidden/>
          </w:rPr>
          <w:instrText xml:space="preserve"> PAGEREF _Toc459976624 \h </w:instrText>
        </w:r>
        <w:r w:rsidR="00DF17E9">
          <w:rPr>
            <w:noProof/>
            <w:webHidden/>
          </w:rPr>
        </w:r>
        <w:r w:rsidR="00DF17E9">
          <w:rPr>
            <w:noProof/>
            <w:webHidden/>
          </w:rPr>
          <w:fldChar w:fldCharType="separate"/>
        </w:r>
        <w:r w:rsidR="00E3704D">
          <w:rPr>
            <w:noProof/>
            <w:webHidden/>
          </w:rPr>
          <w:t>93</w:t>
        </w:r>
        <w:r w:rsidR="00DF17E9">
          <w:rPr>
            <w:noProof/>
            <w:webHidden/>
          </w:rPr>
          <w:fldChar w:fldCharType="end"/>
        </w:r>
      </w:hyperlink>
    </w:p>
    <w:p w:rsidR="00DF17E9" w:rsidRDefault="003A3C3D">
      <w:pPr>
        <w:pStyle w:val="TOC9"/>
        <w:rPr>
          <w:rFonts w:eastAsiaTheme="minorEastAsia"/>
          <w:noProof/>
          <w:sz w:val="22"/>
          <w:lang w:eastAsia="en-AU"/>
        </w:rPr>
      </w:pPr>
      <w:hyperlink w:anchor="_Toc459976625" w:history="1">
        <w:r w:rsidR="00DF17E9" w:rsidRPr="00C96C28">
          <w:rPr>
            <w:rStyle w:val="Hyperlink"/>
            <w:noProof/>
            <w14:scene3d>
              <w14:camera w14:prst="orthographicFront"/>
              <w14:lightRig w14:rig="threePt" w14:dir="t">
                <w14:rot w14:lat="0" w14:lon="0" w14:rev="0"/>
              </w14:lightRig>
            </w14:scene3d>
          </w:rPr>
          <w:t>7.3</w:t>
        </w:r>
        <w:r w:rsidR="00DF17E9">
          <w:rPr>
            <w:rFonts w:eastAsiaTheme="minorEastAsia"/>
            <w:noProof/>
            <w:sz w:val="22"/>
            <w:lang w:eastAsia="en-AU"/>
          </w:rPr>
          <w:tab/>
        </w:r>
        <w:r w:rsidR="00DF17E9" w:rsidRPr="00C96C28">
          <w:rPr>
            <w:rStyle w:val="Hyperlink"/>
            <w:noProof/>
          </w:rPr>
          <w:t>Fair value determination</w:t>
        </w:r>
        <w:r w:rsidR="00DF17E9">
          <w:rPr>
            <w:noProof/>
            <w:webHidden/>
          </w:rPr>
          <w:tab/>
        </w:r>
        <w:r w:rsidR="00DF17E9">
          <w:rPr>
            <w:noProof/>
            <w:webHidden/>
          </w:rPr>
          <w:fldChar w:fldCharType="begin"/>
        </w:r>
        <w:r w:rsidR="00DF17E9">
          <w:rPr>
            <w:noProof/>
            <w:webHidden/>
          </w:rPr>
          <w:instrText xml:space="preserve"> PAGEREF _Toc459976625 \h </w:instrText>
        </w:r>
        <w:r w:rsidR="00DF17E9">
          <w:rPr>
            <w:noProof/>
            <w:webHidden/>
          </w:rPr>
        </w:r>
        <w:r w:rsidR="00DF17E9">
          <w:rPr>
            <w:noProof/>
            <w:webHidden/>
          </w:rPr>
          <w:fldChar w:fldCharType="separate"/>
        </w:r>
        <w:r w:rsidR="00E3704D">
          <w:rPr>
            <w:noProof/>
            <w:webHidden/>
          </w:rPr>
          <w:t>98</w:t>
        </w:r>
        <w:r w:rsidR="00DF17E9">
          <w:rPr>
            <w:noProof/>
            <w:webHidden/>
          </w:rPr>
          <w:fldChar w:fldCharType="end"/>
        </w:r>
      </w:hyperlink>
    </w:p>
    <w:p w:rsidR="00DF17E9" w:rsidRDefault="003A3C3D">
      <w:pPr>
        <w:pStyle w:val="TOC9"/>
        <w:rPr>
          <w:rFonts w:eastAsiaTheme="minorEastAsia"/>
          <w:noProof/>
          <w:sz w:val="22"/>
          <w:lang w:eastAsia="en-AU"/>
        </w:rPr>
      </w:pPr>
      <w:hyperlink w:anchor="_Toc459976626" w:history="1">
        <w:r w:rsidR="00DF17E9" w:rsidRPr="00C96C28">
          <w:rPr>
            <w:rStyle w:val="Hyperlink"/>
            <w:noProof/>
            <w14:scene3d>
              <w14:camera w14:prst="orthographicFront"/>
              <w14:lightRig w14:rig="threePt" w14:dir="t">
                <w14:rot w14:lat="0" w14:lon="0" w14:rev="0"/>
              </w14:lightRig>
            </w14:scene3d>
          </w:rPr>
          <w:t>7.4</w:t>
        </w:r>
        <w:r w:rsidR="00DF17E9">
          <w:rPr>
            <w:rFonts w:eastAsiaTheme="minorEastAsia"/>
            <w:noProof/>
            <w:sz w:val="22"/>
            <w:lang w:eastAsia="en-AU"/>
          </w:rPr>
          <w:tab/>
        </w:r>
        <w:r w:rsidR="00DF17E9" w:rsidRPr="00C96C28">
          <w:rPr>
            <w:rStyle w:val="Hyperlink"/>
            <w:noProof/>
          </w:rPr>
          <w:t>Fair value determination of financial assets and liabilities</w:t>
        </w:r>
        <w:r w:rsidR="00DF17E9">
          <w:rPr>
            <w:noProof/>
            <w:webHidden/>
          </w:rPr>
          <w:tab/>
        </w:r>
        <w:r w:rsidR="00DF17E9">
          <w:rPr>
            <w:noProof/>
            <w:webHidden/>
          </w:rPr>
          <w:fldChar w:fldCharType="begin"/>
        </w:r>
        <w:r w:rsidR="00DF17E9">
          <w:rPr>
            <w:noProof/>
            <w:webHidden/>
          </w:rPr>
          <w:instrText xml:space="preserve"> PAGEREF _Toc459976626 \h </w:instrText>
        </w:r>
        <w:r w:rsidR="00DF17E9">
          <w:rPr>
            <w:noProof/>
            <w:webHidden/>
          </w:rPr>
        </w:r>
        <w:r w:rsidR="00DF17E9">
          <w:rPr>
            <w:noProof/>
            <w:webHidden/>
          </w:rPr>
          <w:fldChar w:fldCharType="separate"/>
        </w:r>
        <w:r w:rsidR="00E3704D">
          <w:rPr>
            <w:noProof/>
            <w:webHidden/>
          </w:rPr>
          <w:t>98</w:t>
        </w:r>
        <w:r w:rsidR="00DF17E9">
          <w:rPr>
            <w:noProof/>
            <w:webHidden/>
          </w:rPr>
          <w:fldChar w:fldCharType="end"/>
        </w:r>
      </w:hyperlink>
    </w:p>
    <w:p w:rsidR="00DF17E9" w:rsidRDefault="003A3C3D" w:rsidP="00044843">
      <w:pPr>
        <w:pStyle w:val="TOC9"/>
      </w:pPr>
      <w:hyperlink w:anchor="_Toc459976627" w:history="1">
        <w:r w:rsidR="00DF17E9" w:rsidRPr="00C96C28">
          <w:rPr>
            <w:rStyle w:val="Hyperlink"/>
            <w:noProof/>
            <w14:scene3d>
              <w14:camera w14:prst="orthographicFront"/>
              <w14:lightRig w14:rig="threePt" w14:dir="t">
                <w14:rot w14:lat="0" w14:lon="0" w14:rev="0"/>
              </w14:lightRig>
            </w14:scene3d>
          </w:rPr>
          <w:t>7.5</w:t>
        </w:r>
        <w:r w:rsidR="00DF17E9">
          <w:rPr>
            <w:rFonts w:eastAsiaTheme="minorEastAsia"/>
            <w:noProof/>
            <w:sz w:val="22"/>
            <w:lang w:eastAsia="en-AU"/>
          </w:rPr>
          <w:tab/>
        </w:r>
        <w:r w:rsidR="00DF17E9" w:rsidRPr="00C96C28">
          <w:rPr>
            <w:rStyle w:val="Hyperlink"/>
            <w:noProof/>
          </w:rPr>
          <w:t>Fair value determination of non</w:t>
        </w:r>
        <w:r w:rsidR="00DF17E9" w:rsidRPr="00C96C28">
          <w:rPr>
            <w:rStyle w:val="Hyperlink"/>
            <w:noProof/>
          </w:rPr>
          <w:noBreakHyphen/>
          <w:t>financial assets</w:t>
        </w:r>
        <w:r w:rsidR="00DF17E9">
          <w:rPr>
            <w:noProof/>
            <w:webHidden/>
          </w:rPr>
          <w:tab/>
        </w:r>
        <w:r w:rsidR="00DF17E9">
          <w:rPr>
            <w:noProof/>
            <w:webHidden/>
          </w:rPr>
          <w:fldChar w:fldCharType="begin"/>
        </w:r>
        <w:r w:rsidR="00DF17E9">
          <w:rPr>
            <w:noProof/>
            <w:webHidden/>
          </w:rPr>
          <w:instrText xml:space="preserve"> PAGEREF _Toc459976627 \h </w:instrText>
        </w:r>
        <w:r w:rsidR="00DF17E9">
          <w:rPr>
            <w:noProof/>
            <w:webHidden/>
          </w:rPr>
        </w:r>
        <w:r w:rsidR="00DF17E9">
          <w:rPr>
            <w:noProof/>
            <w:webHidden/>
          </w:rPr>
          <w:fldChar w:fldCharType="separate"/>
        </w:r>
        <w:r w:rsidR="00E3704D">
          <w:rPr>
            <w:noProof/>
            <w:webHidden/>
          </w:rPr>
          <w:t>102</w:t>
        </w:r>
        <w:r w:rsidR="00DF17E9">
          <w:rPr>
            <w:noProof/>
            <w:webHidden/>
          </w:rPr>
          <w:fldChar w:fldCharType="end"/>
        </w:r>
      </w:hyperlink>
      <w:r w:rsidR="00DF17E9">
        <w:rPr>
          <w:b/>
          <w:noProof/>
          <w:spacing w:val="-2"/>
          <w:szCs w:val="19"/>
        </w:rPr>
        <w:fldChar w:fldCharType="end"/>
      </w:r>
    </w:p>
    <w:p w:rsidR="00DF17E9" w:rsidRPr="00333BD8" w:rsidRDefault="00DF17E9" w:rsidP="00044843">
      <w:pPr>
        <w:sectPr w:rsidR="00DF17E9" w:rsidRPr="00333BD8" w:rsidSect="00044843">
          <w:headerReference w:type="even" r:id="rId196"/>
          <w:headerReference w:type="default" r:id="rId197"/>
          <w:footerReference w:type="even" r:id="rId198"/>
          <w:footerReference w:type="default" r:id="rId199"/>
          <w:type w:val="continuous"/>
          <w:pgSz w:w="11906" w:h="16838" w:code="9"/>
          <w:pgMar w:top="1134" w:right="1134" w:bottom="1134" w:left="1134" w:header="624" w:footer="567" w:gutter="0"/>
          <w:cols w:num="2" w:space="708"/>
          <w:docGrid w:linePitch="360"/>
        </w:sectPr>
      </w:pPr>
    </w:p>
    <w:p w:rsidR="00DF17E9" w:rsidRDefault="00DF17E9" w:rsidP="00044843">
      <w:pPr>
        <w:pBdr>
          <w:top w:val="single" w:sz="6" w:space="0" w:color="0063A6" w:themeColor="accent1"/>
        </w:pBdr>
      </w:pPr>
    </w:p>
    <w:p w:rsidR="00DF17E9" w:rsidRPr="00333BD8" w:rsidRDefault="00DF17E9" w:rsidP="00044843">
      <w:pPr>
        <w:sectPr w:rsidR="00DF17E9" w:rsidRPr="00333BD8" w:rsidSect="00044843">
          <w:headerReference w:type="even" r:id="rId200"/>
          <w:headerReference w:type="default" r:id="rId201"/>
          <w:footerReference w:type="even" r:id="rId202"/>
          <w:footerReference w:type="default" r:id="rId203"/>
          <w:type w:val="continuous"/>
          <w:pgSz w:w="11906" w:h="16838" w:code="9"/>
          <w:pgMar w:top="1134" w:right="1134" w:bottom="1134" w:left="1134" w:header="624" w:footer="567" w:gutter="0"/>
          <w:cols w:space="708"/>
          <w:docGrid w:linePitch="360"/>
        </w:sectPr>
      </w:pPr>
    </w:p>
    <w:p w:rsidR="00DF17E9" w:rsidRPr="00BC7006" w:rsidRDefault="00DF17E9" w:rsidP="002F70BC">
      <w:pPr>
        <w:pStyle w:val="Heading2"/>
        <w:spacing w:before="0"/>
        <w:ind w:left="578" w:hanging="578"/>
      </w:pPr>
      <w:bookmarkStart w:id="61" w:name="_Toc459976623"/>
      <w:r w:rsidRPr="00BC7006">
        <w:lastRenderedPageBreak/>
        <w:t>Financial instruments</w:t>
      </w:r>
      <w:bookmarkEnd w:id="61"/>
    </w:p>
    <w:p w:rsidR="00DF17E9" w:rsidRDefault="00DF17E9" w:rsidP="003936D1">
      <w:pPr>
        <w:pStyle w:val="Subheadingunderline"/>
      </w:pPr>
      <w:r>
        <w:t>Introduction</w:t>
      </w:r>
    </w:p>
    <w:p w:rsidR="00DF17E9" w:rsidRDefault="00DF17E9" w:rsidP="003936D1">
      <w:pPr>
        <w:rPr>
          <w:i/>
        </w:rPr>
      </w:pPr>
      <w:r w:rsidRPr="00E26103">
        <w:t xml:space="preserve">Financial instruments arise out of contractual agreements that give rise to a financial asset of one entity and a financial liability or equity instrument of another entity. Due to the nature of the State’s activities, certain financial assets and financial liabilities arise under statute rather than a contract (for example, taxes, fines and penalties). Such assets and liabilities do not meet the definition of financial instruments in AASB 132 </w:t>
      </w:r>
      <w:r w:rsidRPr="008B61E2">
        <w:rPr>
          <w:i/>
        </w:rPr>
        <w:t xml:space="preserve">Financial Instruments: Presentation. </w:t>
      </w:r>
    </w:p>
    <w:p w:rsidR="00DF17E9" w:rsidRPr="00E26103" w:rsidRDefault="00DF17E9" w:rsidP="003936D1">
      <w:r w:rsidRPr="00E26103">
        <w:lastRenderedPageBreak/>
        <w:t>Guarantees issued on behalf of the State are financial instruments because although authorised under statute, the terms and conditions for each financial guarantee may vary and are subject to an agreement.</w:t>
      </w:r>
    </w:p>
    <w:p w:rsidR="00DF17E9" w:rsidRPr="00E26103" w:rsidRDefault="00DF17E9" w:rsidP="003936D1">
      <w:r w:rsidRPr="00E26103">
        <w:t>The main purposes for the State to hold financial instruments are:</w:t>
      </w:r>
    </w:p>
    <w:p w:rsidR="00DF17E9" w:rsidRPr="00140FD6" w:rsidRDefault="00DF17E9" w:rsidP="00044843">
      <w:pPr>
        <w:pStyle w:val="ListBullet"/>
        <w:numPr>
          <w:ilvl w:val="0"/>
          <w:numId w:val="9"/>
        </w:numPr>
        <w:ind w:left="397" w:hanging="397"/>
      </w:pPr>
      <w:r w:rsidRPr="00E26103">
        <w:t>fo</w:t>
      </w:r>
      <w:r w:rsidRPr="00140FD6">
        <w:t xml:space="preserve">r liquidity management purposes; </w:t>
      </w:r>
    </w:p>
    <w:p w:rsidR="00DF17E9" w:rsidRPr="00140FD6" w:rsidRDefault="00DF17E9" w:rsidP="00044843">
      <w:pPr>
        <w:pStyle w:val="ListBullet"/>
        <w:numPr>
          <w:ilvl w:val="0"/>
          <w:numId w:val="9"/>
        </w:numPr>
        <w:ind w:left="397" w:hanging="397"/>
      </w:pPr>
      <w:r w:rsidRPr="00140FD6">
        <w:t xml:space="preserve">to manage financial risk; </w:t>
      </w:r>
    </w:p>
    <w:p w:rsidR="00DF17E9" w:rsidRPr="00140FD6" w:rsidRDefault="00DF17E9" w:rsidP="00044843">
      <w:pPr>
        <w:pStyle w:val="ListBullet"/>
        <w:numPr>
          <w:ilvl w:val="0"/>
          <w:numId w:val="9"/>
        </w:numPr>
        <w:ind w:left="397" w:hanging="397"/>
      </w:pPr>
      <w:r w:rsidRPr="00140FD6">
        <w:t>to fund the State’s capital expenditure program; and</w:t>
      </w:r>
    </w:p>
    <w:p w:rsidR="00DF17E9" w:rsidRDefault="00DF17E9" w:rsidP="00044843">
      <w:pPr>
        <w:pStyle w:val="ListBullet"/>
        <w:numPr>
          <w:ilvl w:val="0"/>
          <w:numId w:val="9"/>
        </w:numPr>
        <w:ind w:left="397" w:hanging="397"/>
      </w:pPr>
      <w:r w:rsidRPr="00140FD6">
        <w:t>to m</w:t>
      </w:r>
      <w:r w:rsidRPr="00E26103">
        <w:t>eet long</w:t>
      </w:r>
      <w:r>
        <w:t>-</w:t>
      </w:r>
      <w:r w:rsidRPr="00E26103">
        <w:t>term insurance</w:t>
      </w:r>
      <w:r>
        <w:t xml:space="preserve"> and superannuation liabilities.</w:t>
      </w:r>
    </w:p>
    <w:p w:rsidR="00DF17E9" w:rsidRPr="0003025F" w:rsidRDefault="00DF17E9" w:rsidP="00044843">
      <w:pPr>
        <w:sectPr w:rsidR="00DF17E9" w:rsidRPr="0003025F" w:rsidSect="00044843">
          <w:headerReference w:type="even" r:id="rId204"/>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bCs/>
          <w:lang w:val="en-US"/>
        </w:rPr>
      </w:pPr>
      <w:r>
        <w:lastRenderedPageBreak/>
        <w:t>Categories of financial instruments</w:t>
      </w:r>
      <w:r>
        <w:tab/>
      </w:r>
      <w:r w:rsidRPr="00CC1AA1">
        <w:rPr>
          <w:rStyle w:val="TableUnitsChar"/>
        </w:rPr>
        <w:t>($ million)</w:t>
      </w:r>
    </w:p>
    <w:tbl>
      <w:tblPr>
        <w:tblStyle w:val="TableDTFGeneral"/>
        <w:tblW w:w="9668" w:type="dxa"/>
        <w:tblLayout w:type="fixed"/>
        <w:tblLook w:val="02A0" w:firstRow="1" w:lastRow="0" w:firstColumn="1" w:lastColumn="0" w:noHBand="1" w:noVBand="0"/>
      </w:tblPr>
      <w:tblGrid>
        <w:gridCol w:w="5983"/>
        <w:gridCol w:w="921"/>
        <w:gridCol w:w="921"/>
        <w:gridCol w:w="921"/>
        <w:gridCol w:w="922"/>
      </w:tblGrid>
      <w:tr w:rsidR="0031570E"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31570E" w:rsidRPr="00092971" w:rsidRDefault="0031570E" w:rsidP="00044843">
            <w:pPr>
              <w:spacing w:after="0"/>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42" w:type="dxa"/>
            <w:gridSpan w:val="2"/>
            <w:tcBorders>
              <w:bottom w:val="nil"/>
            </w:tcBorders>
          </w:tcPr>
          <w:p w:rsidR="0031570E" w:rsidRPr="00092971" w:rsidRDefault="0031570E" w:rsidP="00044843">
            <w:pPr>
              <w:spacing w:after="0"/>
              <w:jc w:val="center"/>
              <w:rPr>
                <w:i w:val="0"/>
                <w:color w:val="FFFFFF"/>
              </w:rPr>
            </w:pPr>
            <w:r w:rsidRPr="00092971">
              <w:rPr>
                <w:color w:val="FFFFFF"/>
              </w:rPr>
              <w:t xml:space="preserve"> </w:t>
            </w:r>
          </w:p>
          <w:p w:rsidR="0031570E" w:rsidRPr="00092971" w:rsidRDefault="0031570E" w:rsidP="00044843">
            <w:pPr>
              <w:spacing w:after="0"/>
              <w:jc w:val="center"/>
              <w:rPr>
                <w:color w:val="FFFFFF"/>
              </w:rPr>
            </w:pPr>
            <w:r w:rsidRPr="00092971">
              <w:rPr>
                <w:color w:val="FFFFFF"/>
              </w:rPr>
              <w:t>State of Victoria</w:t>
            </w:r>
          </w:p>
        </w:tc>
        <w:tc>
          <w:tcPr>
            <w:tcW w:w="1843" w:type="dxa"/>
            <w:gridSpan w:val="2"/>
            <w:tcBorders>
              <w:bottom w:val="nil"/>
            </w:tcBorders>
          </w:tcPr>
          <w:p w:rsidR="0031570E" w:rsidRPr="00092971" w:rsidRDefault="0031570E" w:rsidP="00044843">
            <w:pPr>
              <w:spacing w:after="0"/>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r>
              <w:rPr>
                <w:color w:val="FFFFFF"/>
              </w:rPr>
              <w:t>G</w:t>
            </w:r>
            <w:r w:rsidRPr="00092971">
              <w:rPr>
                <w:color w:val="FFFFFF"/>
              </w:rPr>
              <w:t xml:space="preserve">eneral </w:t>
            </w:r>
          </w:p>
          <w:p w:rsidR="0031570E" w:rsidRPr="00092971" w:rsidRDefault="0031570E" w:rsidP="00044843">
            <w:pPr>
              <w:spacing w:after="0"/>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spacing w:after="0"/>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spacing w:after="0"/>
              <w:rPr>
                <w:color w:val="FFFFFF"/>
              </w:rPr>
            </w:pPr>
            <w:r w:rsidRPr="00092971">
              <w:rPr>
                <w:color w:val="FFFFFF"/>
              </w:rPr>
              <w:t>2016</w:t>
            </w:r>
          </w:p>
        </w:tc>
        <w:tc>
          <w:tcPr>
            <w:tcW w:w="921" w:type="dxa"/>
            <w:tcBorders>
              <w:bottom w:val="single" w:sz="6" w:space="0" w:color="auto"/>
            </w:tcBorders>
          </w:tcPr>
          <w:p w:rsidR="00DF17E9" w:rsidRPr="00092971"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spacing w:after="0"/>
              <w:rPr>
                <w:color w:val="FFFFFF"/>
              </w:rPr>
            </w:pPr>
            <w:r w:rsidRPr="00092971">
              <w:rPr>
                <w:color w:val="FFFFFF"/>
              </w:rPr>
              <w:t>2016</w:t>
            </w:r>
          </w:p>
        </w:tc>
        <w:tc>
          <w:tcPr>
            <w:tcW w:w="922" w:type="dxa"/>
            <w:tcBorders>
              <w:bottom w:val="single" w:sz="6" w:space="0" w:color="auto"/>
            </w:tcBorders>
          </w:tcPr>
          <w:p w:rsidR="00DF17E9" w:rsidRPr="00092971"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spacing w:after="0"/>
              <w:ind w:left="0" w:firstLine="0"/>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spacing w:after="0"/>
              <w:jc w:val="left"/>
              <w:rPr>
                <w:color w:val="000000"/>
              </w:rPr>
            </w:pPr>
            <w:r w:rsidRPr="00092971">
              <w:rPr>
                <w:color w:val="000000"/>
              </w:rPr>
              <w:t xml:space="preserve">  </w:t>
            </w:r>
          </w:p>
        </w:tc>
        <w:tc>
          <w:tcPr>
            <w:tcW w:w="921" w:type="dxa"/>
            <w:tcBorders>
              <w:top w:val="single" w:sz="6" w:space="0" w:color="auto"/>
            </w:tcBorders>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spacing w:after="0"/>
              <w:jc w:val="left"/>
              <w:rPr>
                <w:color w:val="000000"/>
              </w:rPr>
            </w:pPr>
            <w:r w:rsidRPr="00092971">
              <w:rPr>
                <w:i/>
                <w:color w:val="000000"/>
              </w:rPr>
              <w:t xml:space="preserve">  </w:t>
            </w:r>
          </w:p>
        </w:tc>
        <w:tc>
          <w:tcPr>
            <w:tcW w:w="922" w:type="dxa"/>
            <w:tcBorders>
              <w:top w:val="single" w:sz="6" w:space="0" w:color="auto"/>
            </w:tcBorders>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spacing w:after="0"/>
              <w:ind w:left="0" w:firstLine="0"/>
              <w:rPr>
                <w:color w:val="000000"/>
              </w:rPr>
            </w:pPr>
            <w:r w:rsidRPr="00092971">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6 676</w:t>
            </w:r>
          </w:p>
        </w:tc>
        <w:tc>
          <w:tcPr>
            <w:tcW w:w="9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6 521</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4 772</w:t>
            </w:r>
          </w:p>
        </w:tc>
        <w:tc>
          <w:tcPr>
            <w:tcW w:w="92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4 282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spacing w:after="0"/>
              <w:ind w:left="0" w:firstLine="0"/>
              <w:rPr>
                <w:color w:val="000000"/>
              </w:rPr>
            </w:pPr>
            <w:r w:rsidRPr="00092971">
              <w:rPr>
                <w:color w:val="000000"/>
              </w:rPr>
              <w:t>Designated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33 975</w:t>
            </w:r>
          </w:p>
        </w:tc>
        <w:tc>
          <w:tcPr>
            <w:tcW w:w="9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32 672</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1 063</w:t>
            </w:r>
          </w:p>
        </w:tc>
        <w:tc>
          <w:tcPr>
            <w:tcW w:w="92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spacing w:after="0"/>
              <w:ind w:left="0" w:firstLine="0"/>
              <w:rPr>
                <w:color w:val="000000"/>
              </w:rPr>
            </w:pPr>
            <w:r w:rsidRPr="00092971">
              <w:rPr>
                <w:color w:val="000000"/>
              </w:rPr>
              <w:t>Held-for-trading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pPr>
            <w:r w:rsidRPr="00092971">
              <w:rPr>
                <w:color w:val="000000"/>
              </w:rPr>
              <w:t>533</w:t>
            </w:r>
          </w:p>
        </w:tc>
        <w:tc>
          <w:tcPr>
            <w:tcW w:w="9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358</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pPr>
            <w:r w:rsidRPr="00092971">
              <w:rPr>
                <w:color w:val="000000"/>
              </w:rPr>
              <w:t>18</w:t>
            </w:r>
          </w:p>
        </w:tc>
        <w:tc>
          <w:tcPr>
            <w:tcW w:w="92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spacing w:after="0"/>
              <w:ind w:left="0" w:firstLine="0"/>
              <w:rPr>
                <w:color w:val="000000"/>
              </w:rPr>
            </w:pPr>
            <w:r w:rsidRPr="00092971">
              <w:rPr>
                <w:color w:val="000000"/>
              </w:rPr>
              <w:t>Loans and receivables</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3 513</w:t>
            </w:r>
          </w:p>
        </w:tc>
        <w:tc>
          <w:tcPr>
            <w:tcW w:w="9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2 461</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6 779</w:t>
            </w:r>
          </w:p>
        </w:tc>
        <w:tc>
          <w:tcPr>
            <w:tcW w:w="92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7 415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spacing w:after="0"/>
              <w:ind w:left="0" w:firstLine="0"/>
              <w:rPr>
                <w:color w:val="000000"/>
              </w:rPr>
            </w:pPr>
            <w:r w:rsidRPr="00092971">
              <w:rPr>
                <w:color w:val="000000"/>
              </w:rPr>
              <w:t>Available-for-sale</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spacing w:after="0"/>
            </w:pPr>
            <w:r w:rsidRPr="00092971">
              <w:rPr>
                <w:color w:val="000000"/>
              </w:rPr>
              <w:t>509</w:t>
            </w:r>
          </w:p>
        </w:tc>
        <w:tc>
          <w:tcPr>
            <w:tcW w:w="92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722</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spacing w:after="0"/>
            </w:pPr>
            <w:r w:rsidRPr="00092971">
              <w:rPr>
                <w:color w:val="000000"/>
              </w:rPr>
              <w:t>303</w:t>
            </w:r>
          </w:p>
        </w:tc>
        <w:tc>
          <w:tcPr>
            <w:tcW w:w="92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308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spacing w:after="0"/>
              <w:ind w:left="0" w:firstLine="0"/>
              <w:rPr>
                <w:color w:val="000000"/>
              </w:rPr>
            </w:pPr>
            <w:r w:rsidRPr="00092971">
              <w:rPr>
                <w:color w:val="000000"/>
              </w:rPr>
              <w:t>Held-to-maturity</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spacing w:after="0"/>
            </w:pPr>
            <w:r w:rsidRPr="00092971">
              <w:rPr>
                <w:color w:val="000000"/>
              </w:rPr>
              <w:t>220</w:t>
            </w:r>
          </w:p>
        </w:tc>
        <w:tc>
          <w:tcPr>
            <w:tcW w:w="92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621</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spacing w:after="0"/>
            </w:pPr>
            <w:r w:rsidRPr="00092971">
              <w:rPr>
                <w:color w:val="000000"/>
              </w:rPr>
              <w:t>961</w:t>
            </w:r>
          </w:p>
        </w:tc>
        <w:tc>
          <w:tcPr>
            <w:tcW w:w="92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1 164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rsidR="00DF17E9" w:rsidRPr="00092971" w:rsidRDefault="00DF17E9" w:rsidP="00044843">
            <w:pPr>
              <w:spacing w:after="0"/>
              <w:ind w:left="0" w:firstLine="0"/>
              <w:rPr>
                <w:color w:val="000000"/>
              </w:rPr>
            </w:pPr>
            <w:r w:rsidRPr="00092971">
              <w:rPr>
                <w:b/>
                <w:color w:val="000000"/>
              </w:rPr>
              <w:t>Total financial assets</w:t>
            </w:r>
            <w:r w:rsidRPr="00092971">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6" w:space="0" w:color="auto"/>
            </w:tcBorders>
          </w:tcPr>
          <w:p w:rsidR="00DF17E9" w:rsidRPr="00092971" w:rsidRDefault="00DF17E9" w:rsidP="00044843">
            <w:pPr>
              <w:spacing w:after="0"/>
              <w:rPr>
                <w:color w:val="000000"/>
              </w:rPr>
            </w:pPr>
            <w:r w:rsidRPr="00092971">
              <w:rPr>
                <w:b/>
                <w:color w:val="000000"/>
              </w:rPr>
              <w:t>45 426</w:t>
            </w:r>
          </w:p>
        </w:tc>
        <w:tc>
          <w:tcPr>
            <w:tcW w:w="921"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43 355</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6" w:space="0" w:color="auto"/>
            </w:tcBorders>
          </w:tcPr>
          <w:p w:rsidR="00DF17E9" w:rsidRPr="00092971" w:rsidRDefault="00DF17E9" w:rsidP="00044843">
            <w:pPr>
              <w:spacing w:after="0"/>
              <w:rPr>
                <w:color w:val="000000"/>
              </w:rPr>
            </w:pPr>
            <w:r w:rsidRPr="00092971">
              <w:rPr>
                <w:b/>
                <w:color w:val="000000"/>
              </w:rPr>
              <w:t>13 896</w:t>
            </w:r>
          </w:p>
        </w:tc>
        <w:tc>
          <w:tcPr>
            <w:tcW w:w="922"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14 143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spacing w:after="0"/>
              <w:ind w:left="0" w:firstLine="0"/>
              <w:rPr>
                <w:color w:val="000000"/>
              </w:rPr>
            </w:pPr>
            <w:r w:rsidRPr="00092971">
              <w:rPr>
                <w:b/>
                <w:color w:val="000000"/>
              </w:rPr>
              <w:t xml:space="preserve">Financial liabilities </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spacing w:after="0"/>
              <w:rPr>
                <w:color w:val="000000"/>
              </w:rPr>
            </w:pPr>
            <w:r w:rsidRPr="00092971">
              <w:rPr>
                <w:color w:val="000000"/>
              </w:rPr>
              <w:t xml:space="preserve"> </w:t>
            </w:r>
          </w:p>
        </w:tc>
        <w:tc>
          <w:tcPr>
            <w:tcW w:w="921"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tcBorders>
          </w:tcPr>
          <w:p w:rsidR="00DF17E9" w:rsidRPr="00092971" w:rsidRDefault="00DF17E9" w:rsidP="00044843">
            <w:pPr>
              <w:spacing w:after="0"/>
              <w:rPr>
                <w:color w:val="000000"/>
              </w:rPr>
            </w:pPr>
            <w:r w:rsidRPr="00092971">
              <w:rPr>
                <w:color w:val="000000"/>
              </w:rPr>
              <w:t xml:space="preserve"> </w:t>
            </w:r>
          </w:p>
        </w:tc>
        <w:tc>
          <w:tcPr>
            <w:tcW w:w="922"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spacing w:after="0"/>
              <w:ind w:left="0" w:firstLine="0"/>
              <w:rPr>
                <w:color w:val="000000"/>
              </w:rPr>
            </w:pPr>
            <w:r w:rsidRPr="00092971">
              <w:rPr>
                <w:color w:val="000000"/>
              </w:rPr>
              <w:t>Designated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rPr>
                <w:color w:val="000000"/>
              </w:rPr>
            </w:pPr>
            <w:r w:rsidRPr="00092971">
              <w:rPr>
                <w:color w:val="000000"/>
              </w:rPr>
              <w:t>45 079</w:t>
            </w:r>
          </w:p>
        </w:tc>
        <w:tc>
          <w:tcPr>
            <w:tcW w:w="9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43 831</w:t>
            </w:r>
          </w:p>
        </w:tc>
        <w:tc>
          <w:tcPr>
            <w:cnfStyle w:val="000010000000" w:firstRow="0" w:lastRow="0" w:firstColumn="0" w:lastColumn="0" w:oddVBand="1" w:evenVBand="0" w:oddHBand="0" w:evenHBand="0" w:firstRowFirstColumn="0" w:firstRowLastColumn="0" w:lastRowFirstColumn="0" w:lastRowLastColumn="0"/>
            <w:tcW w:w="921" w:type="dxa"/>
          </w:tcPr>
          <w:p w:rsidR="00DF17E9" w:rsidRPr="00092971" w:rsidRDefault="00DF17E9" w:rsidP="00044843">
            <w:pPr>
              <w:spacing w:after="0"/>
            </w:pPr>
            <w:r w:rsidRPr="00092971">
              <w:rPr>
                <w:color w:val="000000"/>
              </w:rPr>
              <w:t>436</w:t>
            </w:r>
          </w:p>
        </w:tc>
        <w:tc>
          <w:tcPr>
            <w:tcW w:w="92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453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spacing w:after="0"/>
              <w:ind w:left="0" w:firstLine="0"/>
              <w:rPr>
                <w:color w:val="000000"/>
              </w:rPr>
            </w:pPr>
            <w:r w:rsidRPr="00092971">
              <w:rPr>
                <w:color w:val="000000"/>
              </w:rPr>
              <w:t>Held-for-trading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spacing w:after="0"/>
              <w:rPr>
                <w:color w:val="000000"/>
              </w:rPr>
            </w:pPr>
            <w:r w:rsidRPr="00092971">
              <w:rPr>
                <w:color w:val="000000"/>
              </w:rPr>
              <w:t>1 033</w:t>
            </w:r>
          </w:p>
        </w:tc>
        <w:tc>
          <w:tcPr>
            <w:tcW w:w="92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641</w:t>
            </w:r>
          </w:p>
        </w:tc>
        <w:tc>
          <w:tcPr>
            <w:cnfStyle w:val="000010000000" w:firstRow="0" w:lastRow="0" w:firstColumn="0" w:lastColumn="0" w:oddVBand="1" w:evenVBand="0" w:oddHBand="0" w:evenHBand="0" w:firstRowFirstColumn="0" w:firstRowLastColumn="0" w:lastRowFirstColumn="0" w:lastRowLastColumn="0"/>
            <w:tcW w:w="921" w:type="dxa"/>
            <w:tcBorders>
              <w:bottom w:val="nil"/>
            </w:tcBorders>
          </w:tcPr>
          <w:p w:rsidR="00DF17E9" w:rsidRPr="00092971" w:rsidRDefault="00DF17E9" w:rsidP="00044843">
            <w:pPr>
              <w:spacing w:after="0"/>
            </w:pPr>
            <w:r w:rsidRPr="00092971">
              <w:rPr>
                <w:color w:val="000000"/>
              </w:rPr>
              <w:t>150</w:t>
            </w:r>
          </w:p>
        </w:tc>
        <w:tc>
          <w:tcPr>
            <w:tcW w:w="92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spacing w:after="0"/>
              <w:ind w:left="0" w:firstLine="0"/>
              <w:rPr>
                <w:color w:val="000000"/>
              </w:rPr>
            </w:pPr>
            <w:r w:rsidRPr="00092971">
              <w:rPr>
                <w:color w:val="000000"/>
              </w:rPr>
              <w:t>At amortised cost</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spacing w:after="0"/>
              <w:rPr>
                <w:color w:val="000000"/>
              </w:rPr>
            </w:pPr>
            <w:r w:rsidRPr="00092971">
              <w:rPr>
                <w:color w:val="000000"/>
              </w:rPr>
              <w:t>14 907</w:t>
            </w:r>
          </w:p>
        </w:tc>
        <w:tc>
          <w:tcPr>
            <w:tcW w:w="92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13 775</w:t>
            </w:r>
          </w:p>
        </w:tc>
        <w:tc>
          <w:tcPr>
            <w:cnfStyle w:val="000010000000" w:firstRow="0" w:lastRow="0" w:firstColumn="0" w:lastColumn="0" w:oddVBand="1" w:evenVBand="0" w:oddHBand="0" w:evenHBand="0" w:firstRowFirstColumn="0" w:firstRowLastColumn="0" w:lastRowFirstColumn="0" w:lastRowLastColumn="0"/>
            <w:tcW w:w="921" w:type="dxa"/>
            <w:tcBorders>
              <w:bottom w:val="single" w:sz="6" w:space="0" w:color="auto"/>
            </w:tcBorders>
          </w:tcPr>
          <w:p w:rsidR="00DF17E9" w:rsidRPr="00092971" w:rsidRDefault="00DF17E9" w:rsidP="00044843">
            <w:pPr>
              <w:spacing w:after="0"/>
              <w:rPr>
                <w:color w:val="000000"/>
              </w:rPr>
            </w:pPr>
            <w:r w:rsidRPr="00092971">
              <w:rPr>
                <w:color w:val="000000"/>
              </w:rPr>
              <w:t>37 408</w:t>
            </w:r>
          </w:p>
        </w:tc>
        <w:tc>
          <w:tcPr>
            <w:tcW w:w="92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37 413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spacing w:after="0"/>
              <w:ind w:left="0" w:firstLine="0"/>
              <w:rPr>
                <w:color w:val="000000"/>
              </w:rPr>
            </w:pPr>
            <w:r w:rsidRPr="00092971">
              <w:rPr>
                <w:b/>
                <w:color w:val="000000"/>
              </w:rPr>
              <w:t>Total financial liabilities</w:t>
            </w:r>
            <w:r w:rsidRPr="00092971">
              <w:rPr>
                <w:b/>
                <w:color w:val="000000"/>
                <w:vertAlign w:val="superscript"/>
              </w:rPr>
              <w:t xml:space="preserve">(c) </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61 019</w:t>
            </w:r>
          </w:p>
        </w:tc>
        <w:tc>
          <w:tcPr>
            <w:tcW w:w="921"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58 246</w:t>
            </w:r>
          </w:p>
        </w:tc>
        <w:tc>
          <w:tcPr>
            <w:cnfStyle w:val="000010000000" w:firstRow="0" w:lastRow="0" w:firstColumn="0" w:lastColumn="0" w:oddVBand="1" w:evenVBand="0" w:oddHBand="0" w:evenHBand="0" w:firstRowFirstColumn="0" w:firstRowLastColumn="0" w:lastRowFirstColumn="0" w:lastRowLastColumn="0"/>
            <w:tcW w:w="921"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37 993</w:t>
            </w:r>
          </w:p>
        </w:tc>
        <w:tc>
          <w:tcPr>
            <w:tcW w:w="922"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37 917</w:t>
            </w:r>
          </w:p>
        </w:tc>
      </w:tr>
    </w:tbl>
    <w:p w:rsidR="00DF17E9" w:rsidRDefault="00DF17E9" w:rsidP="003D6D89">
      <w:pPr>
        <w:pStyle w:val="Note"/>
      </w:pPr>
      <w:r>
        <w:t>Notes:</w:t>
      </w:r>
    </w:p>
    <w:p w:rsidR="00DF17E9" w:rsidRPr="0015499E" w:rsidRDefault="00DF17E9" w:rsidP="003D6D89">
      <w:pPr>
        <w:pStyle w:val="Note"/>
      </w:pPr>
      <w:r>
        <w:t>(a)</w:t>
      </w:r>
      <w:r>
        <w:tab/>
      </w:r>
      <w:r w:rsidRPr="00D01011">
        <w:rPr>
          <w:iCs/>
        </w:rPr>
        <w:t xml:space="preserve">June 2015 comparative figures have been restated to reflect an adjustment to </w:t>
      </w:r>
      <w:r w:rsidRPr="0015499E">
        <w:rPr>
          <w:iCs/>
        </w:rPr>
        <w:t>Coliban Water’s deferred tax liability balances in the PNFC sector attributable to a change in valuation policy in 2015-16.</w:t>
      </w:r>
    </w:p>
    <w:p w:rsidR="00DF17E9" w:rsidRPr="0015499E" w:rsidRDefault="00DF17E9" w:rsidP="003D6D89">
      <w:pPr>
        <w:pStyle w:val="Note"/>
      </w:pPr>
      <w:r w:rsidRPr="0015499E">
        <w:t>(b)</w:t>
      </w:r>
      <w:r w:rsidRPr="0015499E">
        <w:tab/>
        <w:t xml:space="preserve">The State’s total financial assets in this table exclude statutory and other receivables of $4 730 million ($4 475 million in 2015) while the general government’s total financial assets exclude statutory receivables of $3 </w:t>
      </w:r>
      <w:r w:rsidR="002B3922">
        <w:t>879</w:t>
      </w:r>
      <w:r w:rsidRPr="0015499E">
        <w:t xml:space="preserve"> million ($3 671 million in 2015). </w:t>
      </w:r>
    </w:p>
    <w:p w:rsidR="00DF17E9" w:rsidRDefault="00DF17E9" w:rsidP="0031570E">
      <w:pPr>
        <w:pStyle w:val="Note"/>
        <w:rPr>
          <w:b/>
        </w:rPr>
        <w:sectPr w:rsidR="00DF17E9" w:rsidSect="00044843">
          <w:type w:val="continuous"/>
          <w:pgSz w:w="11906" w:h="16838" w:code="9"/>
          <w:pgMar w:top="1134" w:right="1134" w:bottom="1134" w:left="1134" w:header="624" w:footer="567" w:gutter="0"/>
          <w:cols w:space="708"/>
          <w:docGrid w:linePitch="360"/>
        </w:sectPr>
      </w:pPr>
      <w:r w:rsidRPr="0015499E">
        <w:t>(c)</w:t>
      </w:r>
      <w:r w:rsidRPr="0015499E">
        <w:tab/>
        <w:t xml:space="preserve">The State’s total financial liabilities exclude statutory taxes payable, unearned income and advance premiums of $3 </w:t>
      </w:r>
      <w:r w:rsidR="002B3922">
        <w:t>505 million ($3 353</w:t>
      </w:r>
      <w:r w:rsidRPr="0015499E">
        <w:t xml:space="preserve"> million in 2015) while the general government’s total financial liabilities exclude statutory taxes payab</w:t>
      </w:r>
      <w:r w:rsidR="002B3922">
        <w:t>le and unearned income of $2 297</w:t>
      </w:r>
      <w:r w:rsidRPr="0015499E">
        <w:t xml:space="preserve"> million</w:t>
      </w:r>
      <w:r>
        <w:t xml:space="preserve"> ($2 374 million in 2015).</w:t>
      </w:r>
    </w:p>
    <w:p w:rsidR="00DF17E9" w:rsidRDefault="00DF17E9" w:rsidP="00044843">
      <w:pPr>
        <w:pStyle w:val="Subheadingunderline"/>
        <w:pBdr>
          <w:bottom w:val="none" w:sz="0" w:space="0" w:color="auto"/>
        </w:pBdr>
      </w:pPr>
      <w:r>
        <w:lastRenderedPageBreak/>
        <w:t>Categories of financial instruments</w:t>
      </w:r>
    </w:p>
    <w:p w:rsidR="00DF17E9" w:rsidRPr="00E26103" w:rsidRDefault="00DF17E9" w:rsidP="00B66E90">
      <w:r w:rsidRPr="009A2307">
        <w:rPr>
          <w:b/>
        </w:rPr>
        <w:t>Loans and receivables</w:t>
      </w:r>
      <w:r w:rsidRPr="00E26103">
        <w:t xml:space="preserve">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(and for assets, less any impairment). </w:t>
      </w:r>
    </w:p>
    <w:p w:rsidR="00DF17E9" w:rsidRPr="00D965E2" w:rsidRDefault="00DF17E9" w:rsidP="00B66E90">
      <w:r w:rsidRPr="009A2307">
        <w:rPr>
          <w:b/>
        </w:rPr>
        <w:t>Available-for-sale financial instrument assets</w:t>
      </w:r>
      <w:r w:rsidRPr="00E26103">
        <w:t xml:space="preserve"> are those designated as available-for-sale or not classified in any other category of financial </w:t>
      </w:r>
      <w:r w:rsidRPr="00D965E2">
        <w:t>instrument asset. Such assets are initially recognised at fair value. Subsequent to initial recognition, they are measured at fair value with gains and losses arising from changes in fair value, recognised in ‘Other economic flows – other comprehensive income’ until the investment is disposed. Movements resulting from impairment and foreign currency changes are recognised in the net result as other economic flows. On disposal, the cumulative gain or loss previously recognised in ‘Other economic flows – other comprehensive income’ is transferred to other economic flows in the net result.</w:t>
      </w:r>
    </w:p>
    <w:p w:rsidR="00DF17E9" w:rsidRPr="00D965E2" w:rsidRDefault="00DF17E9" w:rsidP="00B66E90">
      <w:r w:rsidRPr="00D965E2">
        <w:rPr>
          <w:b/>
        </w:rPr>
        <w:t>Held to maturity financial assets</w:t>
      </w:r>
      <w:r w:rsidRPr="00D965E2">
        <w:t>: If the State has the positive intent and ability to hold nominated investments to maturity, then such financial assets may be classified as held to maturity. Held to maturity financial assets are recognised initially at fair value plus any directly attributable transaction costs. Subsequent to initial recognition, held to maturity financial assets are measured at amortised cost using the effective interest method, less any impairment losses. The State makes limited use of this classification because any sale or reclassification of more than an insignificant amount of held to maturity investments not close to their maturity, would result in the whole category being reclassified as available-for-sale. The held to maturity category includes certain term deposits and debt securities for which the State intends to hold to maturity.</w:t>
      </w:r>
    </w:p>
    <w:p w:rsidR="00DF17E9" w:rsidRPr="00D965E2" w:rsidRDefault="00DF17E9" w:rsidP="00044843">
      <w:r w:rsidRPr="00D965E2">
        <w:rPr>
          <w:b/>
        </w:rPr>
        <w:t>Financial assets and liabilities at fair value through the operating statement</w:t>
      </w:r>
      <w:r w:rsidRPr="00D965E2">
        <w:rPr>
          <w:color w:val="0063A6" w:themeColor="accent1"/>
        </w:rPr>
        <w:t xml:space="preserve"> </w:t>
      </w:r>
      <w:r w:rsidRPr="00D965E2">
        <w:t xml:space="preserve">are categorised as such at trade date, or if they are classified as held for trading or designated as such upon initial recognition. Financial instrument assets are designated at fair value through profit or loss on the basis that the financial assets form part of a group of financial assets that are managed by the State based on their fair values, and have their </w:t>
      </w:r>
      <w:r w:rsidRPr="00D965E2">
        <w:lastRenderedPageBreak/>
        <w:t xml:space="preserve">performance evaluated in accordance with documented risk management and investment strategies. </w:t>
      </w:r>
    </w:p>
    <w:p w:rsidR="00DF17E9" w:rsidRPr="00D965E2" w:rsidRDefault="00DF17E9" w:rsidP="00044843">
      <w:r w:rsidRPr="00D965E2">
        <w:t xml:space="preserve">Financial instruments at fair value through the operating statement are initially measured at fair value and attributable transaction costs are expensed as incurred. Subsequently, any changes in fair value are recognised in the net result as other economic flows. </w:t>
      </w:r>
    </w:p>
    <w:p w:rsidR="00DF17E9" w:rsidRPr="00BC7006" w:rsidRDefault="00DF17E9" w:rsidP="00044843">
      <w:r w:rsidRPr="00D965E2">
        <w:rPr>
          <w:b/>
        </w:rPr>
        <w:t>Financial liabilities at amortised cost</w:t>
      </w:r>
      <w:r w:rsidRPr="00D965E2">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(refer to Borrowings Note 5.1).</w:t>
      </w:r>
    </w:p>
    <w:p w:rsidR="00DF17E9" w:rsidRDefault="00DF17E9" w:rsidP="00B66E90">
      <w:r w:rsidRPr="006A75A2">
        <w:t>Financial instrument liabilities measured at amortised cost include all of the State</w:t>
      </w:r>
      <w:r>
        <w:t>’</w:t>
      </w:r>
      <w:r w:rsidRPr="006A75A2">
        <w:t>s payables, deposits held and advances received, and interest bearing arrangements other than those designated at fair value through profit or loss.</w:t>
      </w:r>
    </w:p>
    <w:p w:rsidR="00DF17E9" w:rsidRDefault="00DF17E9" w:rsidP="00044843">
      <w:pPr>
        <w:pStyle w:val="Subheadingunderline"/>
        <w:pBdr>
          <w:bottom w:val="none" w:sz="0" w:space="0" w:color="auto"/>
        </w:pBdr>
      </w:pPr>
      <w:r>
        <w:t>Derecognition of financial assets and liabilities</w:t>
      </w:r>
    </w:p>
    <w:p w:rsidR="00DF17E9" w:rsidRPr="008848BF" w:rsidRDefault="00DF17E9" w:rsidP="00B66E90">
      <w:r w:rsidRPr="008848BF">
        <w:t xml:space="preserve">A financial asset (or, where applicable, a part of a financial asset or part of a group of similar financial assets) is derecognised when: </w:t>
      </w:r>
    </w:p>
    <w:p w:rsidR="00DF17E9" w:rsidRPr="00140FD6" w:rsidRDefault="00DF17E9" w:rsidP="00044843">
      <w:pPr>
        <w:pStyle w:val="ListBullet"/>
        <w:numPr>
          <w:ilvl w:val="0"/>
          <w:numId w:val="9"/>
        </w:numPr>
        <w:ind w:left="397" w:hanging="397"/>
      </w:pPr>
      <w:r w:rsidRPr="008848BF">
        <w:t>the rig</w:t>
      </w:r>
      <w:r w:rsidRPr="00140FD6">
        <w:t>hts to receive cash flows from the asset have expired; or</w:t>
      </w:r>
    </w:p>
    <w:p w:rsidR="00DF17E9" w:rsidRPr="00140FD6" w:rsidRDefault="00DF17E9" w:rsidP="00044843">
      <w:pPr>
        <w:pStyle w:val="ListBullet"/>
        <w:numPr>
          <w:ilvl w:val="0"/>
          <w:numId w:val="9"/>
        </w:numPr>
        <w:ind w:left="397" w:hanging="397"/>
      </w:pPr>
      <w:r w:rsidRPr="00140FD6">
        <w:t>the State retains the right to receive cash flows from the asset, but has assumed an obligation to pay them in full without material delay to a third party under a ‘pass through’ arrangement; or</w:t>
      </w:r>
    </w:p>
    <w:p w:rsidR="00DF17E9" w:rsidRPr="008848BF" w:rsidRDefault="00DF17E9" w:rsidP="00044843">
      <w:pPr>
        <w:pStyle w:val="ListBullet"/>
        <w:numPr>
          <w:ilvl w:val="0"/>
          <w:numId w:val="9"/>
        </w:numPr>
        <w:ind w:left="397" w:hanging="397"/>
      </w:pPr>
      <w:r w:rsidRPr="00140FD6">
        <w:t>the State</w:t>
      </w:r>
      <w:r w:rsidRPr="008848BF">
        <w:t xml:space="preserve"> has transferred its rights to receive cash flows from the asset and either:</w:t>
      </w:r>
    </w:p>
    <w:p w:rsidR="00DF17E9" w:rsidRPr="008848BF" w:rsidRDefault="00DF17E9" w:rsidP="00044843">
      <w:pPr>
        <w:pStyle w:val="ListBullet2"/>
        <w:numPr>
          <w:ilvl w:val="1"/>
          <w:numId w:val="16"/>
        </w:numPr>
        <w:ind w:left="794" w:hanging="397"/>
      </w:pPr>
      <w:r w:rsidRPr="008848BF">
        <w:t>has transferred substantially all the risks and rewards of the asset; or</w:t>
      </w:r>
    </w:p>
    <w:p w:rsidR="00DF17E9" w:rsidRPr="008848BF" w:rsidRDefault="00DF17E9" w:rsidP="00044843">
      <w:pPr>
        <w:pStyle w:val="ListBullet2"/>
        <w:numPr>
          <w:ilvl w:val="1"/>
          <w:numId w:val="16"/>
        </w:numPr>
        <w:ind w:left="794" w:hanging="397"/>
      </w:pPr>
      <w:r w:rsidRPr="008848BF">
        <w:t>has neither transferred nor retained substantially all the risks and rewards of the asset, but has transferred control of the asset.</w:t>
      </w:r>
    </w:p>
    <w:p w:rsidR="00DF17E9" w:rsidRPr="008848BF" w:rsidRDefault="00DF17E9" w:rsidP="00B66E90">
      <w:r w:rsidRPr="008848BF">
        <w:t>Where the State has retained substantially all the risks and rewards and not transferred control, the asset is recognised to the extent of the State’s continuing involvement in the asset.</w:t>
      </w:r>
    </w:p>
    <w:p w:rsidR="00DF17E9" w:rsidRDefault="00DF17E9" w:rsidP="00B66E90">
      <w:r w:rsidRPr="008848BF">
        <w:lastRenderedPageBreak/>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w:t>
      </w:r>
      <w:r>
        <w:t xml:space="preserve"> </w:t>
      </w:r>
      <w:r w:rsidRPr="008848BF">
        <w:t>exchange or modification is</w:t>
      </w:r>
      <w:r>
        <w:t xml:space="preserve"> </w:t>
      </w:r>
      <w:r w:rsidRPr="008848BF">
        <w:t>treated as a derecognition of the original liability and the recognition of a new liability. The difference in the respective carrying amounts is recognised as an ‘Other economic flow’ in the consolidated comprehensive operating statement.</w:t>
      </w:r>
    </w:p>
    <w:p w:rsidR="00DF17E9" w:rsidRPr="00373259" w:rsidRDefault="00DF17E9" w:rsidP="00044843">
      <w:pPr>
        <w:pStyle w:val="Subheadingunderline"/>
        <w:pBdr>
          <w:bottom w:val="none" w:sz="0" w:space="0" w:color="auto"/>
        </w:pBdr>
      </w:pPr>
      <w:r w:rsidRPr="00373259">
        <w:t>Impairment of financial assets</w:t>
      </w:r>
    </w:p>
    <w:p w:rsidR="00DF17E9" w:rsidRPr="00B30DF2" w:rsidRDefault="00DF17E9" w:rsidP="00B66E90">
      <w:r w:rsidRPr="00B30DF2">
        <w:t>At the end of each reporting period, the State assesses whether there is objective evidence that a financial asset or group of financial assets is impaired. All financial instrument assets, except those measured at fair value through profit or loss, are subject to annual review for impairment.</w:t>
      </w:r>
    </w:p>
    <w:p w:rsidR="00DF17E9" w:rsidRPr="001B75CC" w:rsidRDefault="00DF17E9" w:rsidP="00B66E90">
      <w:r w:rsidRPr="00B30DF2">
        <w:t>The amount of the allowance is the difference between the financial asset’s carrying amount and the present value of estimated future cash flows, discounted at the effective interest rate. In assessing impairment of statutory (non</w:t>
      </w:r>
      <w:r w:rsidRPr="00B30DF2">
        <w:noBreakHyphen/>
        <w:t xml:space="preserve">contractual) financial assets, which are not financial instruments, professional judgement is applied in assessing materiality using estimates, averages and other computational methods in accordance with AASB 136 </w:t>
      </w:r>
      <w:r w:rsidRPr="00B30DF2">
        <w:rPr>
          <w:i/>
        </w:rPr>
        <w:t>Impairment of Assets</w:t>
      </w:r>
      <w:r>
        <w:t>.</w:t>
      </w:r>
    </w:p>
    <w:p w:rsidR="00DF17E9" w:rsidRDefault="00DF17E9" w:rsidP="00044843">
      <w:pPr>
        <w:pStyle w:val="Subheadingunderline"/>
        <w:pBdr>
          <w:bottom w:val="none" w:sz="0" w:space="0" w:color="auto"/>
        </w:pBdr>
      </w:pPr>
      <w:r w:rsidRPr="001B75CC">
        <w:t>Reclassification of financial instruments</w:t>
      </w:r>
    </w:p>
    <w:p w:rsidR="00DF17E9" w:rsidRDefault="00DF17E9" w:rsidP="00187B09">
      <w:r>
        <w:t>Subsequent to initial recognition and under rare circumstances, non-derivative financial instruments assets that have been designated at fair value through profit or loss upon recognition, may be reclassified out of the fair value through profit or loss category, if they are no longer held for the purpose of selling or repurchasing in the near term.</w:t>
      </w:r>
    </w:p>
    <w:p w:rsidR="00DF17E9" w:rsidRDefault="00DF17E9" w:rsidP="00187B09">
      <w:r>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DF17E9" w:rsidRDefault="00DF17E9" w:rsidP="00187B09">
      <w:r>
        <w:lastRenderedPageBreak/>
        <w:t>Available for sale financial instrument assets that meet the definition of loans and receivables may be reclassified into the loans and receivables category if there is the intention and ability to hold them for the foreseeable future or until maturity.</w:t>
      </w:r>
    </w:p>
    <w:p w:rsidR="00DF17E9" w:rsidRDefault="00DF17E9" w:rsidP="00DD16DA">
      <w:pPr>
        <w:pStyle w:val="Subheadingunderline"/>
      </w:pPr>
      <w:r w:rsidRPr="00E26103">
        <w:t>Financial risk management</w:t>
      </w:r>
    </w:p>
    <w:p w:rsidR="00DF17E9" w:rsidRDefault="00DF17E9" w:rsidP="00DD16DA">
      <w:pPr>
        <w:rPr>
          <w:noProof/>
          <w:lang w:eastAsia="en-AU"/>
        </w:rPr>
      </w:pPr>
      <w:r w:rsidRPr="00E26103">
        <w:t>The State is exposed to a number of financial risks, including:</w:t>
      </w:r>
      <w:r w:rsidRPr="00E26103">
        <w:rPr>
          <w:noProof/>
          <w:lang w:eastAsia="en-AU"/>
        </w:rPr>
        <w:t xml:space="preserve"> </w:t>
      </w:r>
    </w:p>
    <w:p w:rsidR="00DF17E9" w:rsidRDefault="00DF17E9" w:rsidP="00DD16DA">
      <w:pPr>
        <w:rPr>
          <w:noProof/>
          <w:lang w:eastAsia="en-AU"/>
        </w:rPr>
      </w:pPr>
      <w:r>
        <w:rPr>
          <w:noProof/>
          <w:lang w:eastAsia="en-AU"/>
        </w:rPr>
        <w:drawing>
          <wp:inline distT="0" distB="0" distL="0" distR="0" wp14:anchorId="6490B182" wp14:editId="1DF6A8F6">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DF17E9" w:rsidRPr="00E26103" w:rsidRDefault="00DF17E9" w:rsidP="00DD16DA">
      <w:r w:rsidRPr="00E26103">
        <w:t>As a whole, the State’s financial risk management program seeks to manage these risks and the associated volatility on its financial performance.</w:t>
      </w:r>
    </w:p>
    <w:p w:rsidR="00DF17E9" w:rsidRPr="00187B09" w:rsidRDefault="00DF17E9" w:rsidP="00DD16DA">
      <w:r w:rsidRPr="00187B09">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rsidR="00DF17E9" w:rsidRPr="00140FD6" w:rsidRDefault="00DF17E9" w:rsidP="00044843">
      <w:pPr>
        <w:pStyle w:val="ListBullet"/>
        <w:numPr>
          <w:ilvl w:val="0"/>
          <w:numId w:val="9"/>
        </w:numPr>
        <w:ind w:left="397" w:hanging="397"/>
      </w:pPr>
      <w:r w:rsidRPr="00C65781">
        <w:t>the Treasurer is responsible for approving and establishing the prudential framework containi</w:t>
      </w:r>
      <w:r w:rsidRPr="00140FD6">
        <w:t>ng policies and guidelines on financial risk management;</w:t>
      </w:r>
    </w:p>
    <w:p w:rsidR="00DF17E9" w:rsidRPr="00140FD6" w:rsidRDefault="00DF17E9" w:rsidP="00044843">
      <w:pPr>
        <w:pStyle w:val="ListBullet"/>
        <w:numPr>
          <w:ilvl w:val="0"/>
          <w:numId w:val="9"/>
        </w:numPr>
        <w:ind w:left="397" w:hanging="397"/>
      </w:pPr>
      <w:r w:rsidRPr="00140FD6">
        <w:t>the Senior Executive Group of DTF is responsible for advising the Government on the management of the State’s financial risks;</w:t>
      </w:r>
    </w:p>
    <w:p w:rsidR="00DF17E9" w:rsidRPr="00C65781" w:rsidRDefault="00DF17E9" w:rsidP="00044843">
      <w:pPr>
        <w:pStyle w:val="ListBullet"/>
        <w:numPr>
          <w:ilvl w:val="0"/>
          <w:numId w:val="9"/>
        </w:numPr>
        <w:ind w:left="397" w:hanging="397"/>
      </w:pPr>
      <w:r w:rsidRPr="00140FD6">
        <w:t>DTF’s Balance Sheet Management Committee provides oversight of the State’s key financial balance sh</w:t>
      </w:r>
      <w:r w:rsidRPr="00C65781">
        <w:t>eet and financial market risks. These risks relate to the State’s investments, borrowings, superannuation and insurance claims liabilities, as well as exposures to interest rate, foreign exchange and commodity price volatility and liquidity position;</w:t>
      </w:r>
    </w:p>
    <w:p w:rsidR="00DF17E9" w:rsidRDefault="00DF17E9">
      <w:r>
        <w:br w:type="page"/>
      </w:r>
    </w:p>
    <w:p w:rsidR="00DF17E9" w:rsidRPr="00C65781" w:rsidRDefault="00DF17E9" w:rsidP="00044843">
      <w:pPr>
        <w:pStyle w:val="ListBullet"/>
        <w:numPr>
          <w:ilvl w:val="0"/>
          <w:numId w:val="9"/>
        </w:numPr>
        <w:ind w:left="397" w:hanging="397"/>
      </w:pPr>
      <w:r w:rsidRPr="00C65781">
        <w:lastRenderedPageBreak/>
        <w:t>the TCV is the State’s central borrowing authority and financing advisor. An independent prudential supervisor is appointed by the Treasurer to monitor TCV’s compliance with its prudential framework;</w:t>
      </w:r>
    </w:p>
    <w:p w:rsidR="00DF17E9" w:rsidRPr="00C65781" w:rsidRDefault="00DF17E9" w:rsidP="00044843">
      <w:pPr>
        <w:pStyle w:val="ListBullet"/>
        <w:numPr>
          <w:ilvl w:val="0"/>
          <w:numId w:val="9"/>
        </w:numPr>
        <w:ind w:left="397" w:hanging="397"/>
      </w:pPr>
      <w:r w:rsidRPr="00C65781">
        <w:t xml:space="preserve">the Victorian Funds Management Corporation (VFMC) acts as the State’s central investment fund manager providing expertise in developing investment strategy and </w:t>
      </w:r>
      <w:r>
        <w:t>providing</w:t>
      </w:r>
      <w:r w:rsidRPr="00C65781">
        <w:t xml:space="preserve"> funds management services in accordance with each entity’s investment objectives. An independent prudential supervisor is appointed by the Treasurer to monitor VFMC’s compliance with its prudential framework; and</w:t>
      </w:r>
    </w:p>
    <w:p w:rsidR="00DF17E9" w:rsidRPr="00C65781" w:rsidRDefault="00DF17E9" w:rsidP="00044843">
      <w:pPr>
        <w:pStyle w:val="ListBullet"/>
        <w:numPr>
          <w:ilvl w:val="0"/>
          <w:numId w:val="9"/>
        </w:numPr>
        <w:ind w:left="397" w:hanging="397"/>
      </w:pPr>
      <w:r w:rsidRPr="00C65781">
        <w:t>the State’s entities with gross debt or investmen</w:t>
      </w:r>
      <w:r>
        <w:t>ts equal to or greater than $20 </w:t>
      </w:r>
      <w:r w:rsidRPr="00C65781">
        <w:t>million, are responsible for setting their own financial risk policy and objectives in accordance with the Treasurer’s prudential framework. All entities are responsible for the day</w:t>
      </w:r>
      <w:r w:rsidRPr="00C65781">
        <w:noBreakHyphen/>
        <w:t>to</w:t>
      </w:r>
      <w:r w:rsidRPr="00C65781">
        <w:noBreakHyphen/>
        <w:t>day operational management of their financial instruments and associated risks in accordance with the treasury management guidelines.</w:t>
      </w:r>
    </w:p>
    <w:p w:rsidR="00DF17E9" w:rsidRPr="00E26103" w:rsidRDefault="00DF17E9" w:rsidP="00DD16DA">
      <w:r w:rsidRPr="00E26103">
        <w:t>The prudential framework covers areas such as financial management objectives, responsibility structure and delegation, and policies and guidance on market risk, credit risk, liquidity risk and operational risk. The Chief Executive Officers and executives of the State’s entities are responsible for advising their boards, who in turn notify DTF and other stakeholders of any breach by the entities of the prudential standards set by the Treasurer or policies set by their respective boards, including the strategy to remediate the breach.</w:t>
      </w:r>
    </w:p>
    <w:p w:rsidR="00DF17E9" w:rsidRPr="00E26103" w:rsidRDefault="00DF17E9" w:rsidP="00DD16DA">
      <w:r w:rsidRPr="00E26103">
        <w:t>A number of the State’s entities enter into derivative financial instruments in accordance with the Treasurer’s prudential and financial management framework, in order to manage their exposure to movements in interest rates, foreign currency exchange rates and commodity related exposures.</w:t>
      </w:r>
    </w:p>
    <w:p w:rsidR="00DF17E9" w:rsidRDefault="00DF17E9" w:rsidP="00DD16DA">
      <w:r w:rsidRPr="00E26103">
        <w:t>These derivative financial instruments, which include interest rate swaps</w:t>
      </w:r>
      <w:r>
        <w:t>,</w:t>
      </w:r>
      <w:r w:rsidRPr="00E26103">
        <w:t xml:space="preserve"> </w:t>
      </w:r>
      <w:r>
        <w:t>f</w:t>
      </w:r>
      <w:r w:rsidRPr="00E26103">
        <w:t>utures and forward foreign exchange contracts, are used to manage the risks inherent in either borrowings, financial asset investments or cash flow denominated in foreign currency. Derivative financial instruments are not used to add leverage to the State’s financial position.</w:t>
      </w:r>
    </w:p>
    <w:p w:rsidR="00DF17E9" w:rsidRPr="00187B09" w:rsidRDefault="00DF17E9" w:rsidP="00044843">
      <w:pPr>
        <w:pStyle w:val="Heading3"/>
        <w:tabs>
          <w:tab w:val="right" w:pos="14742"/>
        </w:tabs>
      </w:pPr>
      <w:r>
        <w:br w:type="column"/>
      </w:r>
      <w:r w:rsidRPr="00187B09">
        <w:lastRenderedPageBreak/>
        <w:t>Interest rate risk</w:t>
      </w:r>
    </w:p>
    <w:p w:rsidR="00DF17E9" w:rsidRPr="00187B09" w:rsidRDefault="00DF17E9" w:rsidP="00DD16DA">
      <w:r w:rsidRPr="00187B09">
        <w:t>The State is exposed to interest rate risk through borrowings and investments in interest bearing financial assets, such as deposits and debt securities. Interest rate risk could be in the form of fair value risk or cash flow risk:</w:t>
      </w:r>
    </w:p>
    <w:p w:rsidR="00DF17E9" w:rsidRPr="00187B09" w:rsidRDefault="00DF17E9" w:rsidP="00044843">
      <w:pPr>
        <w:pStyle w:val="ListBullet"/>
        <w:numPr>
          <w:ilvl w:val="0"/>
          <w:numId w:val="9"/>
        </w:numPr>
        <w:ind w:left="397" w:hanging="397"/>
      </w:pPr>
      <w:r w:rsidRPr="00187B09">
        <w:t>Fair value interest rate risk is the risk that the value of a financial instrument will fluctuate because of chang</w:t>
      </w:r>
      <w:r>
        <w:t>es in market interest rates. It </w:t>
      </w:r>
      <w:r w:rsidRPr="00187B09">
        <w:t>relates to financial instruments with fixed interest rates, measured at fair value and represents the most significant interest rate risk for the State.</w:t>
      </w:r>
    </w:p>
    <w:p w:rsidR="00DF17E9" w:rsidRPr="00187B09" w:rsidRDefault="00DF17E9" w:rsidP="00044843">
      <w:pPr>
        <w:pStyle w:val="ListBullet"/>
        <w:numPr>
          <w:ilvl w:val="0"/>
          <w:numId w:val="9"/>
        </w:numPr>
        <w:ind w:left="397" w:hanging="397"/>
      </w:pPr>
      <w:r w:rsidRPr="00187B09">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rsidR="00DF17E9" w:rsidRPr="00E378C0" w:rsidRDefault="00DF17E9" w:rsidP="00044843">
      <w:pPr>
        <w:pStyle w:val="ListBullet"/>
        <w:numPr>
          <w:ilvl w:val="0"/>
          <w:numId w:val="0"/>
        </w:numPr>
      </w:pPr>
      <w:r w:rsidRPr="005C7237">
        <w:t>The interest rate exposure table provides details of the carrying amounts of financial assets and</w:t>
      </w:r>
      <w:r w:rsidRPr="00187B09">
        <w:t xml:space="preserve"> liabilities that expose the State to either interest rate fair value risk or interest rate cash flow risk.</w:t>
      </w:r>
    </w:p>
    <w:p w:rsidR="00DF17E9" w:rsidRDefault="00DF17E9" w:rsidP="00DD16DA"/>
    <w:p w:rsidR="00DF17E9" w:rsidRDefault="00DF17E9" w:rsidP="00412D1E">
      <w:pPr>
        <w:sectPr w:rsidR="00DF17E9" w:rsidSect="00044843">
          <w:headerReference w:type="even" r:id="rId210"/>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bCs/>
          <w:lang w:val="en-US"/>
        </w:rPr>
      </w:pPr>
      <w:r w:rsidRPr="002F05DE">
        <w:lastRenderedPageBreak/>
        <w:t>Inter</w:t>
      </w:r>
      <w:r>
        <w:t>est rate exposure as at 30 June</w:t>
      </w:r>
      <w:r>
        <w:tab/>
      </w:r>
      <w:r>
        <w:tab/>
      </w:r>
      <w:r w:rsidRPr="004114FA">
        <w:rPr>
          <w:rStyle w:val="TableUnitsChar"/>
        </w:rPr>
        <w:t>($ million)</w:t>
      </w:r>
    </w:p>
    <w:tbl>
      <w:tblPr>
        <w:tblStyle w:val="TableDTFGeneral"/>
        <w:tblW w:w="14771" w:type="dxa"/>
        <w:tblLayout w:type="fixed"/>
        <w:tblLook w:val="06A0" w:firstRow="1" w:lastRow="0" w:firstColumn="1" w:lastColumn="0" w:noHBand="1" w:noVBand="1"/>
      </w:tblPr>
      <w:tblGrid>
        <w:gridCol w:w="7117"/>
        <w:gridCol w:w="992"/>
        <w:gridCol w:w="851"/>
        <w:gridCol w:w="1134"/>
        <w:gridCol w:w="850"/>
        <w:gridCol w:w="851"/>
        <w:gridCol w:w="1014"/>
        <w:gridCol w:w="1112"/>
        <w:gridCol w:w="850"/>
      </w:tblGrid>
      <w:tr w:rsidR="0031570E"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rsidR="0031570E" w:rsidRPr="00092971" w:rsidRDefault="0031570E" w:rsidP="00044843">
            <w:pPr>
              <w:ind w:left="0" w:firstLine="0"/>
              <w:rPr>
                <w:color w:val="FFFFFF"/>
              </w:rPr>
            </w:pPr>
            <w:r w:rsidRPr="00092971">
              <w:rPr>
                <w:color w:val="FFFFFF"/>
              </w:rPr>
              <w:t xml:space="preserve"> </w:t>
            </w:r>
          </w:p>
        </w:tc>
        <w:tc>
          <w:tcPr>
            <w:tcW w:w="3827" w:type="dxa"/>
            <w:gridSpan w:val="4"/>
          </w:tcPr>
          <w:p w:rsidR="0031570E" w:rsidRPr="00092971" w:rsidRDefault="0031570E" w:rsidP="0031570E">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State of Victoria </w:t>
            </w:r>
          </w:p>
        </w:tc>
        <w:tc>
          <w:tcPr>
            <w:tcW w:w="3827" w:type="dxa"/>
            <w:gridSpan w:val="4"/>
          </w:tcPr>
          <w:p w:rsidR="0031570E" w:rsidRPr="00092971" w:rsidRDefault="0031570E" w:rsidP="0031570E">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government sector </w:t>
            </w:r>
          </w:p>
        </w:tc>
      </w:tr>
      <w:tr w:rsidR="0031570E" w:rsidRPr="00092971" w:rsidTr="0031570E">
        <w:trPr>
          <w:cnfStyle w:val="100000000000" w:firstRow="1" w:lastRow="0" w:firstColumn="0" w:lastColumn="0" w:oddVBand="0" w:evenVBand="0" w:oddHBand="0" w:evenHBand="0" w:firstRowFirstColumn="0" w:firstRowLastColumn="0" w:lastRowFirstColumn="0" w:lastRowLastColumn="0"/>
          <w:trHeight w:val="209"/>
          <w:tblHeader/>
        </w:trPr>
        <w:tc>
          <w:tcPr>
            <w:cnfStyle w:val="001000000000" w:firstRow="0" w:lastRow="0" w:firstColumn="1" w:lastColumn="0" w:oddVBand="0" w:evenVBand="0" w:oddHBand="0" w:evenHBand="0" w:firstRowFirstColumn="0" w:firstRowLastColumn="0" w:lastRowFirstColumn="0" w:lastRowLastColumn="0"/>
            <w:tcW w:w="7117" w:type="dxa"/>
          </w:tcPr>
          <w:p w:rsidR="0031570E" w:rsidRPr="00092971" w:rsidRDefault="0031570E" w:rsidP="0031570E">
            <w:pPr>
              <w:ind w:left="0" w:firstLine="0"/>
              <w:rPr>
                <w:color w:val="FFFFFF"/>
              </w:rPr>
            </w:pPr>
            <w:r w:rsidRPr="00092971">
              <w:rPr>
                <w:color w:val="FFFFFF"/>
              </w:rPr>
              <w:t>2016</w:t>
            </w:r>
          </w:p>
        </w:tc>
        <w:tc>
          <w:tcPr>
            <w:tcW w:w="992"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Floating rate</w:t>
            </w:r>
          </w:p>
        </w:tc>
        <w:tc>
          <w:tcPr>
            <w:tcW w:w="851"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Fixed rate </w:t>
            </w:r>
          </w:p>
        </w:tc>
        <w:tc>
          <w:tcPr>
            <w:tcW w:w="1134"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Non-interest bearing </w:t>
            </w:r>
          </w:p>
        </w:tc>
        <w:tc>
          <w:tcPr>
            <w:tcW w:w="850"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Total</w:t>
            </w:r>
          </w:p>
        </w:tc>
        <w:tc>
          <w:tcPr>
            <w:tcW w:w="851"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Floating rat</w:t>
            </w:r>
            <w:r>
              <w:rPr>
                <w:color w:val="FFFFFF"/>
              </w:rPr>
              <w:t>e</w:t>
            </w:r>
            <w:r w:rsidRPr="00092971">
              <w:rPr>
                <w:color w:val="FFFFFF"/>
              </w:rPr>
              <w:t xml:space="preserve"> </w:t>
            </w:r>
          </w:p>
        </w:tc>
        <w:tc>
          <w:tcPr>
            <w:tcW w:w="1014"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Fixed rate</w:t>
            </w:r>
          </w:p>
        </w:tc>
        <w:tc>
          <w:tcPr>
            <w:tcW w:w="1112"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Non-interest bearing</w:t>
            </w:r>
          </w:p>
        </w:tc>
        <w:tc>
          <w:tcPr>
            <w:tcW w:w="850" w:type="dxa"/>
          </w:tcPr>
          <w:p w:rsidR="0031570E" w:rsidRPr="00092971" w:rsidRDefault="0031570E" w:rsidP="0031570E">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Total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b/>
                <w:color w:val="000000"/>
              </w:rPr>
              <w:t>Financial assets</w:t>
            </w:r>
          </w:p>
        </w:tc>
        <w:tc>
          <w:tcPr>
            <w:tcW w:w="992"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1"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tcW w:w="1134"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tcW w:w="850"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tcW w:w="851"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1014"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1112"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0"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Cash and deposits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3 631</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2 919</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126</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6 676</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3 715</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919</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138</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4 772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Receivables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151</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116</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2 797</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3 063</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133</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50</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1 504</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1 688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Advances paid</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62</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29</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62</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153</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59</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4 467</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57</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4 582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Term deposits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502</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w:t>
            </w:r>
            <w:r w:rsidRPr="00092971">
              <w:t>.</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512</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66</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1 396</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1 462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Derivative financial instruments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427</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459</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236</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1 122</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18</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bottom w:val="nil"/>
            </w:tcBorders>
          </w:tcPr>
          <w:p w:rsidR="00DF17E9" w:rsidRPr="00092971" w:rsidRDefault="00DF17E9" w:rsidP="00044843">
            <w:pPr>
              <w:spacing w:after="0"/>
              <w:ind w:left="0" w:firstLine="0"/>
              <w:rPr>
                <w:color w:val="000000"/>
              </w:rPr>
            </w:pPr>
            <w:r w:rsidRPr="00092971">
              <w:rPr>
                <w:color w:val="000000"/>
              </w:rPr>
              <w:t>Equities and managed investment schemes</w:t>
            </w:r>
          </w:p>
        </w:tc>
        <w:tc>
          <w:tcPr>
            <w:tcW w:w="992"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859</w:t>
            </w:r>
          </w:p>
        </w:tc>
        <w:tc>
          <w:tcPr>
            <w:tcW w:w="851"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412</w:t>
            </w:r>
          </w:p>
        </w:tc>
        <w:tc>
          <w:tcPr>
            <w:tcW w:w="1134"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23 146</w:t>
            </w:r>
          </w:p>
        </w:tc>
        <w:tc>
          <w:tcPr>
            <w:tcW w:w="850"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24 416</w:t>
            </w:r>
          </w:p>
        </w:tc>
        <w:tc>
          <w:tcPr>
            <w:tcW w:w="85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644</w:t>
            </w:r>
          </w:p>
        </w:tc>
        <w:tc>
          <w:tcPr>
            <w:tcW w:w="1014"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409</w:t>
            </w:r>
          </w:p>
        </w:tc>
        <w:tc>
          <w:tcPr>
            <w:tcW w:w="111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254</w:t>
            </w:r>
          </w:p>
        </w:tc>
        <w:tc>
          <w:tcPr>
            <w:tcW w:w="850"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1 307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rsidR="00DF17E9" w:rsidRPr="00092971" w:rsidRDefault="00DF17E9" w:rsidP="00044843">
            <w:pPr>
              <w:spacing w:after="0"/>
              <w:ind w:left="0" w:firstLine="0"/>
              <w:rPr>
                <w:color w:val="000000"/>
              </w:rPr>
            </w:pPr>
            <w:r w:rsidRPr="00092971">
              <w:rPr>
                <w:color w:val="000000"/>
              </w:rPr>
              <w:t>Debt securities</w:t>
            </w:r>
          </w:p>
        </w:tc>
        <w:tc>
          <w:tcPr>
            <w:tcW w:w="992"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1 238</w:t>
            </w:r>
          </w:p>
        </w:tc>
        <w:tc>
          <w:tcPr>
            <w:tcW w:w="851"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8 246</w:t>
            </w:r>
          </w:p>
        </w:tc>
        <w:tc>
          <w:tcPr>
            <w:tcW w:w="1134"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9 484</w:t>
            </w:r>
          </w:p>
        </w:tc>
        <w:tc>
          <w:tcPr>
            <w:tcW w:w="85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66</w:t>
            </w:r>
          </w:p>
        </w:tc>
        <w:tc>
          <w:tcPr>
            <w:tcW w:w="1014"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tcW w:w="111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rsidR="00DF17E9" w:rsidRPr="00092971" w:rsidRDefault="00DF17E9" w:rsidP="00044843">
            <w:pPr>
              <w:spacing w:after="0"/>
              <w:ind w:left="0" w:firstLine="0"/>
              <w:rPr>
                <w:color w:val="000000"/>
              </w:rPr>
            </w:pPr>
            <w:r w:rsidRPr="00092971">
              <w:rPr>
                <w:b/>
                <w:color w:val="000000"/>
              </w:rPr>
              <w:t>Total financial assets</w:t>
            </w:r>
          </w:p>
        </w:tc>
        <w:tc>
          <w:tcPr>
            <w:tcW w:w="992"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6 378</w:t>
            </w:r>
          </w:p>
        </w:tc>
        <w:tc>
          <w:tcPr>
            <w:tcW w:w="851"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12 682</w:t>
            </w:r>
          </w:p>
        </w:tc>
        <w:tc>
          <w:tcPr>
            <w:tcW w:w="1134"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26 367</w:t>
            </w:r>
          </w:p>
        </w:tc>
        <w:tc>
          <w:tcPr>
            <w:tcW w:w="850"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45 426</w:t>
            </w:r>
          </w:p>
        </w:tc>
        <w:tc>
          <w:tcPr>
            <w:tcW w:w="851"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4 683</w:t>
            </w:r>
          </w:p>
        </w:tc>
        <w:tc>
          <w:tcPr>
            <w:tcW w:w="1014"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7 260</w:t>
            </w:r>
          </w:p>
        </w:tc>
        <w:tc>
          <w:tcPr>
            <w:tcW w:w="1112"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1 953</w:t>
            </w:r>
          </w:p>
        </w:tc>
        <w:tc>
          <w:tcPr>
            <w:tcW w:w="850"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13 896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tcBorders>
          </w:tcPr>
          <w:p w:rsidR="00DF17E9" w:rsidRPr="00092971" w:rsidRDefault="00DF17E9" w:rsidP="00044843">
            <w:pPr>
              <w:spacing w:after="0"/>
              <w:ind w:left="0" w:firstLine="0"/>
              <w:rPr>
                <w:color w:val="000000"/>
              </w:rPr>
            </w:pPr>
            <w:r w:rsidRPr="00092971">
              <w:rPr>
                <w:b/>
                <w:color w:val="000000"/>
              </w:rPr>
              <w:t>Financial liabilities</w:t>
            </w:r>
          </w:p>
        </w:tc>
        <w:tc>
          <w:tcPr>
            <w:tcW w:w="992"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1"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1134"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0"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1"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1014"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1112"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850"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Payables, deposits held and advances received</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1 995</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404</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4 660</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7 059</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26</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485</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3 672</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4 183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Derivative financial instruments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62</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893</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250</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1 205</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131</w:t>
            </w:r>
          </w:p>
        </w:tc>
        <w:tc>
          <w:tcPr>
            <w:tcW w:w="850"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150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bottom w:val="nil"/>
            </w:tcBorders>
          </w:tcPr>
          <w:p w:rsidR="00DF17E9" w:rsidRPr="00092971" w:rsidRDefault="00DF17E9" w:rsidP="00044843">
            <w:pPr>
              <w:spacing w:after="0"/>
              <w:ind w:left="0" w:firstLine="0"/>
              <w:rPr>
                <w:color w:val="000000"/>
              </w:rPr>
            </w:pPr>
            <w:r w:rsidRPr="00092971">
              <w:rPr>
                <w:color w:val="000000"/>
              </w:rPr>
              <w:t>Interest-bearing liabilities</w:t>
            </w:r>
          </w:p>
        </w:tc>
        <w:tc>
          <w:tcPr>
            <w:tcW w:w="992"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43 114</w:t>
            </w:r>
          </w:p>
        </w:tc>
        <w:tc>
          <w:tcPr>
            <w:tcW w:w="1134"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43 115</w:t>
            </w:r>
          </w:p>
        </w:tc>
        <w:tc>
          <w:tcPr>
            <w:tcW w:w="85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24 651</w:t>
            </w:r>
          </w:p>
        </w:tc>
        <w:tc>
          <w:tcPr>
            <w:tcW w:w="111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24 652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rsidR="00DF17E9" w:rsidRPr="00092971" w:rsidRDefault="00DF17E9" w:rsidP="00044843">
            <w:pPr>
              <w:spacing w:after="0"/>
              <w:ind w:left="0" w:firstLine="0"/>
              <w:rPr>
                <w:color w:val="000000"/>
              </w:rPr>
            </w:pPr>
            <w:r w:rsidRPr="00092971">
              <w:rPr>
                <w:color w:val="000000"/>
              </w:rPr>
              <w:t>Finance lease liabilities</w:t>
            </w:r>
          </w:p>
        </w:tc>
        <w:tc>
          <w:tcPr>
            <w:tcW w:w="992"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9 638</w:t>
            </w:r>
          </w:p>
        </w:tc>
        <w:tc>
          <w:tcPr>
            <w:tcW w:w="1134"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tcW w:w="850"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9 640</w:t>
            </w:r>
          </w:p>
        </w:tc>
        <w:tc>
          <w:tcPr>
            <w:tcW w:w="85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9 007</w:t>
            </w:r>
          </w:p>
        </w:tc>
        <w:tc>
          <w:tcPr>
            <w:tcW w:w="111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tcW w:w="850"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9 009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12" w:space="0" w:color="auto"/>
            </w:tcBorders>
          </w:tcPr>
          <w:p w:rsidR="00DF17E9" w:rsidRPr="00092971" w:rsidRDefault="00DF17E9" w:rsidP="00044843">
            <w:pPr>
              <w:spacing w:after="0"/>
              <w:ind w:left="0" w:firstLine="0"/>
              <w:rPr>
                <w:color w:val="000000"/>
              </w:rPr>
            </w:pPr>
            <w:r w:rsidRPr="00092971">
              <w:rPr>
                <w:b/>
                <w:color w:val="000000"/>
              </w:rPr>
              <w:t>Total financial liabilities</w:t>
            </w:r>
          </w:p>
        </w:tc>
        <w:tc>
          <w:tcPr>
            <w:tcW w:w="992"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2 057</w:t>
            </w:r>
          </w:p>
        </w:tc>
        <w:tc>
          <w:tcPr>
            <w:tcW w:w="851"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54 049</w:t>
            </w:r>
          </w:p>
        </w:tc>
        <w:tc>
          <w:tcPr>
            <w:tcW w:w="1134"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4 912</w:t>
            </w:r>
          </w:p>
        </w:tc>
        <w:tc>
          <w:tcPr>
            <w:tcW w:w="850"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61 019</w:t>
            </w:r>
          </w:p>
        </w:tc>
        <w:tc>
          <w:tcPr>
            <w:tcW w:w="851"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26</w:t>
            </w:r>
          </w:p>
        </w:tc>
        <w:tc>
          <w:tcPr>
            <w:tcW w:w="1014"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34 162</w:t>
            </w:r>
          </w:p>
        </w:tc>
        <w:tc>
          <w:tcPr>
            <w:tcW w:w="1112"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3 805</w:t>
            </w:r>
          </w:p>
        </w:tc>
        <w:tc>
          <w:tcPr>
            <w:tcW w:w="850"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37 993</w:t>
            </w:r>
          </w:p>
        </w:tc>
      </w:tr>
    </w:tbl>
    <w:p w:rsidR="00DF17E9" w:rsidRPr="00092971" w:rsidRDefault="00DF17E9" w:rsidP="00044843">
      <w:pPr>
        <w:pStyle w:val="Note"/>
        <w:rPr>
          <w:b/>
          <w:bCs/>
          <w:i w:val="0"/>
          <w:color w:val="000000"/>
          <w:spacing w:val="4"/>
          <w:sz w:val="17"/>
          <w:lang w:val="en-US"/>
        </w:rPr>
      </w:pPr>
    </w:p>
    <w:tbl>
      <w:tblPr>
        <w:tblStyle w:val="TableDTFGeneral"/>
        <w:tblW w:w="14742" w:type="dxa"/>
        <w:tblLayout w:type="fixed"/>
        <w:tblLook w:val="06A0" w:firstRow="1" w:lastRow="0" w:firstColumn="1" w:lastColumn="0" w:noHBand="1" w:noVBand="1"/>
      </w:tblPr>
      <w:tblGrid>
        <w:gridCol w:w="7117"/>
        <w:gridCol w:w="992"/>
        <w:gridCol w:w="851"/>
        <w:gridCol w:w="1134"/>
        <w:gridCol w:w="850"/>
        <w:gridCol w:w="851"/>
        <w:gridCol w:w="1014"/>
        <w:gridCol w:w="1112"/>
        <w:gridCol w:w="821"/>
      </w:tblGrid>
      <w:tr w:rsidR="00DF17E9" w:rsidRPr="00092971" w:rsidTr="00315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ind w:left="0" w:firstLine="0"/>
              <w:rPr>
                <w:color w:val="FFFFFF"/>
              </w:rPr>
            </w:pPr>
            <w:r w:rsidRPr="00092971">
              <w:rPr>
                <w:color w:val="FFFFFF"/>
              </w:rPr>
              <w:t>2015</w:t>
            </w:r>
          </w:p>
        </w:tc>
        <w:tc>
          <w:tcPr>
            <w:tcW w:w="992"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51"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1134"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50"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51"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1014"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1112"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21"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b/>
                <w:color w:val="000000"/>
              </w:rPr>
              <w:t>Financial assets</w:t>
            </w:r>
          </w:p>
        </w:tc>
        <w:tc>
          <w:tcPr>
            <w:tcW w:w="992"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1"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tcW w:w="1134"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50" w:type="dxa"/>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tcW w:w="851"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1014"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1112"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tcW w:w="821" w:type="dxa"/>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Cash and deposits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3 613</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2 805</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103</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6 521</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3 341</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835</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105</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4 282</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 xml:space="preserve">Receivables </w:t>
            </w:r>
            <w:r w:rsidRPr="00092971">
              <w:rPr>
                <w:color w:val="000000"/>
                <w:vertAlign w:val="superscript"/>
              </w:rPr>
              <w:t>(a)</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177</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387</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1 832</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2 396</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154</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451</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1 278</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1 884</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Advances paid</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22</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48</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52</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121</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4 519</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51</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4 572</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Term deposits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18</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531</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549</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17</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2 113</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2 130</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Derivative financial instruments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237</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317</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101</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655</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bottom w:val="nil"/>
            </w:tcBorders>
          </w:tcPr>
          <w:p w:rsidR="00DF17E9" w:rsidRPr="00092971" w:rsidRDefault="00DF17E9" w:rsidP="00044843">
            <w:pPr>
              <w:spacing w:after="0"/>
              <w:ind w:left="0" w:firstLine="0"/>
              <w:rPr>
                <w:color w:val="000000"/>
              </w:rPr>
            </w:pPr>
            <w:r w:rsidRPr="00092971">
              <w:rPr>
                <w:color w:val="000000"/>
              </w:rPr>
              <w:t>Equities and managed investment schemes</w:t>
            </w:r>
          </w:p>
        </w:tc>
        <w:tc>
          <w:tcPr>
            <w:tcW w:w="992"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530</w:t>
            </w:r>
          </w:p>
        </w:tc>
        <w:tc>
          <w:tcPr>
            <w:tcW w:w="851"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204</w:t>
            </w:r>
          </w:p>
        </w:tc>
        <w:tc>
          <w:tcPr>
            <w:tcW w:w="1134"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23 463</w:t>
            </w:r>
          </w:p>
        </w:tc>
        <w:tc>
          <w:tcPr>
            <w:tcW w:w="850"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24 196</w:t>
            </w:r>
          </w:p>
        </w:tc>
        <w:tc>
          <w:tcPr>
            <w:tcW w:w="85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446</w:t>
            </w:r>
          </w:p>
        </w:tc>
        <w:tc>
          <w:tcPr>
            <w:tcW w:w="1014"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202</w:t>
            </w:r>
          </w:p>
        </w:tc>
        <w:tc>
          <w:tcPr>
            <w:tcW w:w="111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587</w:t>
            </w:r>
          </w:p>
        </w:tc>
        <w:tc>
          <w:tcPr>
            <w:tcW w:w="82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1 235</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rsidR="00DF17E9" w:rsidRPr="00092971" w:rsidRDefault="00DF17E9" w:rsidP="00044843">
            <w:pPr>
              <w:spacing w:after="0"/>
              <w:ind w:left="0" w:firstLine="0"/>
              <w:rPr>
                <w:color w:val="000000"/>
              </w:rPr>
            </w:pPr>
            <w:r w:rsidRPr="00092971">
              <w:rPr>
                <w:color w:val="000000"/>
              </w:rPr>
              <w:t>Debt securities</w:t>
            </w:r>
          </w:p>
        </w:tc>
        <w:tc>
          <w:tcPr>
            <w:tcW w:w="992"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1 518</w:t>
            </w:r>
          </w:p>
        </w:tc>
        <w:tc>
          <w:tcPr>
            <w:tcW w:w="851"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7 397</w:t>
            </w:r>
          </w:p>
        </w:tc>
        <w:tc>
          <w:tcPr>
            <w:tcW w:w="1134"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tcW w:w="850"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8 917</w:t>
            </w:r>
          </w:p>
        </w:tc>
        <w:tc>
          <w:tcPr>
            <w:tcW w:w="85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38</w:t>
            </w:r>
          </w:p>
        </w:tc>
        <w:tc>
          <w:tcPr>
            <w:tcW w:w="1014"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tcW w:w="111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2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41</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rsidR="00DF17E9" w:rsidRPr="00092971" w:rsidRDefault="00DF17E9" w:rsidP="00044843">
            <w:pPr>
              <w:spacing w:after="0"/>
              <w:ind w:left="0" w:firstLine="0"/>
              <w:rPr>
                <w:color w:val="000000"/>
              </w:rPr>
            </w:pPr>
            <w:r w:rsidRPr="00092971">
              <w:rPr>
                <w:b/>
                <w:color w:val="000000"/>
              </w:rPr>
              <w:t xml:space="preserve">Total financial assets </w:t>
            </w:r>
            <w:r w:rsidRPr="00092971">
              <w:rPr>
                <w:b/>
                <w:color w:val="000000"/>
                <w:vertAlign w:val="superscript"/>
              </w:rPr>
              <w:t>(a)</w:t>
            </w:r>
          </w:p>
        </w:tc>
        <w:tc>
          <w:tcPr>
            <w:tcW w:w="992"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6 114</w:t>
            </w:r>
          </w:p>
        </w:tc>
        <w:tc>
          <w:tcPr>
            <w:tcW w:w="851"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11 689</w:t>
            </w:r>
          </w:p>
        </w:tc>
        <w:tc>
          <w:tcPr>
            <w:tcW w:w="1134"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25 553</w:t>
            </w:r>
          </w:p>
        </w:tc>
        <w:tc>
          <w:tcPr>
            <w:tcW w:w="850" w:type="dxa"/>
            <w:tcBorders>
              <w:top w:val="single" w:sz="6" w:space="0" w:color="auto"/>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43 355</w:t>
            </w:r>
          </w:p>
        </w:tc>
        <w:tc>
          <w:tcPr>
            <w:tcW w:w="851"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3 998</w:t>
            </w:r>
          </w:p>
        </w:tc>
        <w:tc>
          <w:tcPr>
            <w:tcW w:w="1014"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8 122</w:t>
            </w:r>
          </w:p>
        </w:tc>
        <w:tc>
          <w:tcPr>
            <w:tcW w:w="1112"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2 022</w:t>
            </w:r>
          </w:p>
        </w:tc>
        <w:tc>
          <w:tcPr>
            <w:tcW w:w="821" w:type="dxa"/>
            <w:tcBorders>
              <w:top w:val="single" w:sz="6" w:space="0" w:color="auto"/>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14 143</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tcBorders>
          </w:tcPr>
          <w:p w:rsidR="00DF17E9" w:rsidRPr="00092971" w:rsidRDefault="00DF17E9" w:rsidP="00044843">
            <w:pPr>
              <w:spacing w:after="0"/>
              <w:ind w:left="0" w:firstLine="0"/>
              <w:rPr>
                <w:color w:val="000000"/>
              </w:rPr>
            </w:pPr>
            <w:r w:rsidRPr="00092971">
              <w:rPr>
                <w:b/>
                <w:color w:val="000000"/>
              </w:rPr>
              <w:t>Financial liabilities</w:t>
            </w:r>
          </w:p>
        </w:tc>
        <w:tc>
          <w:tcPr>
            <w:tcW w:w="992"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FF"/>
              </w:rPr>
            </w:pPr>
            <w:r w:rsidRPr="00092971">
              <w:rPr>
                <w:color w:val="0000FF"/>
              </w:rPr>
              <w:t xml:space="preserve"> </w:t>
            </w:r>
          </w:p>
        </w:tc>
        <w:tc>
          <w:tcPr>
            <w:tcW w:w="851"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FF"/>
              </w:rPr>
            </w:pPr>
            <w:r w:rsidRPr="00092971">
              <w:rPr>
                <w:color w:val="0000FF"/>
              </w:rPr>
              <w:t xml:space="preserve"> </w:t>
            </w:r>
          </w:p>
        </w:tc>
        <w:tc>
          <w:tcPr>
            <w:tcW w:w="1134" w:type="dxa"/>
            <w:tcBorders>
              <w:top w:val="single" w:sz="6" w:space="0" w:color="auto"/>
            </w:tcBorders>
            <w:shd w:val="clear" w:color="auto" w:fill="EBEBEB" w:themeFill="background2"/>
          </w:tcPr>
          <w:p w:rsidR="00DF17E9" w:rsidRPr="00092971"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FF"/>
              </w:rPr>
            </w:pPr>
            <w:r w:rsidRPr="00092971">
              <w:rPr>
                <w:color w:val="0000FF"/>
              </w:rPr>
              <w:t xml:space="preserve"> </w:t>
            </w:r>
          </w:p>
        </w:tc>
        <w:tc>
          <w:tcPr>
            <w:tcW w:w="850" w:type="dxa"/>
            <w:tcBorders>
              <w:top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FF"/>
              </w:rPr>
            </w:pPr>
          </w:p>
        </w:tc>
        <w:tc>
          <w:tcPr>
            <w:tcW w:w="851"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1014"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1112"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p>
        </w:tc>
        <w:tc>
          <w:tcPr>
            <w:tcW w:w="821" w:type="dxa"/>
            <w:tcBorders>
              <w:top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Payables, deposits held and advances received</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2 567</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418</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3 574</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6 559</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912</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175</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2 760</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3 848</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Pr>
          <w:p w:rsidR="00DF17E9" w:rsidRPr="00092971" w:rsidRDefault="00DF17E9" w:rsidP="00044843">
            <w:pPr>
              <w:spacing w:after="0"/>
              <w:ind w:left="0" w:firstLine="0"/>
              <w:rPr>
                <w:color w:val="000000"/>
              </w:rPr>
            </w:pPr>
            <w:r w:rsidRPr="00092971">
              <w:rPr>
                <w:color w:val="000000"/>
              </w:rPr>
              <w:t>Derivative financial instruments</w:t>
            </w:r>
          </w:p>
        </w:tc>
        <w:tc>
          <w:tcPr>
            <w:tcW w:w="992"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77</w:t>
            </w:r>
          </w:p>
        </w:tc>
        <w:tc>
          <w:tcPr>
            <w:tcW w:w="851"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543</w:t>
            </w:r>
          </w:p>
        </w:tc>
        <w:tc>
          <w:tcPr>
            <w:tcW w:w="1134"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228</w:t>
            </w:r>
          </w:p>
        </w:tc>
        <w:tc>
          <w:tcPr>
            <w:tcW w:w="850" w:type="dxa"/>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848</w:t>
            </w:r>
          </w:p>
        </w:tc>
        <w:tc>
          <w:tcPr>
            <w:tcW w:w="85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11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50</w:t>
            </w:r>
          </w:p>
        </w:tc>
        <w:tc>
          <w:tcPr>
            <w:tcW w:w="821"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50</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bottom w:val="nil"/>
            </w:tcBorders>
          </w:tcPr>
          <w:p w:rsidR="00DF17E9" w:rsidRPr="00092971" w:rsidRDefault="00DF17E9" w:rsidP="00044843">
            <w:pPr>
              <w:spacing w:after="0"/>
              <w:ind w:left="0" w:firstLine="0"/>
              <w:rPr>
                <w:color w:val="000000"/>
              </w:rPr>
            </w:pPr>
            <w:r w:rsidRPr="00092971">
              <w:rPr>
                <w:color w:val="000000"/>
              </w:rPr>
              <w:t>Interest-bearing liabilities</w:t>
            </w:r>
          </w:p>
        </w:tc>
        <w:tc>
          <w:tcPr>
            <w:tcW w:w="992"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tcW w:w="851"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42 079</w:t>
            </w:r>
          </w:p>
        </w:tc>
        <w:tc>
          <w:tcPr>
            <w:tcW w:w="1134"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nil"/>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42 080</w:t>
            </w:r>
          </w:p>
        </w:tc>
        <w:tc>
          <w:tcPr>
            <w:tcW w:w="85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tcW w:w="1014"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25 959</w:t>
            </w:r>
          </w:p>
        </w:tc>
        <w:tc>
          <w:tcPr>
            <w:tcW w:w="111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21"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25 960</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rsidR="00DF17E9" w:rsidRPr="00092971" w:rsidRDefault="00DF17E9" w:rsidP="00044843">
            <w:pPr>
              <w:spacing w:after="0"/>
              <w:ind w:left="0" w:firstLine="0"/>
              <w:rPr>
                <w:color w:val="000000"/>
              </w:rPr>
            </w:pPr>
            <w:r w:rsidRPr="00092971">
              <w:rPr>
                <w:color w:val="000000"/>
              </w:rPr>
              <w:t>Finance lease liabilities</w:t>
            </w:r>
          </w:p>
        </w:tc>
        <w:tc>
          <w:tcPr>
            <w:tcW w:w="992"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8 751</w:t>
            </w:r>
          </w:p>
        </w:tc>
        <w:tc>
          <w:tcPr>
            <w:tcW w:w="1134"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w:t>
            </w:r>
          </w:p>
        </w:tc>
        <w:tc>
          <w:tcPr>
            <w:tcW w:w="850" w:type="dxa"/>
            <w:tcBorders>
              <w:bottom w:val="single" w:sz="6"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8 760</w:t>
            </w:r>
          </w:p>
        </w:tc>
        <w:tc>
          <w:tcPr>
            <w:tcW w:w="85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1014"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8 049</w:t>
            </w:r>
          </w:p>
        </w:tc>
        <w:tc>
          <w:tcPr>
            <w:tcW w:w="111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w:t>
            </w:r>
          </w:p>
        </w:tc>
        <w:tc>
          <w:tcPr>
            <w:tcW w:w="821"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8 059</w:t>
            </w:r>
          </w:p>
        </w:tc>
      </w:tr>
      <w:tr w:rsidR="00DF17E9" w:rsidRPr="00092971" w:rsidTr="0031570E">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12" w:space="0" w:color="auto"/>
            </w:tcBorders>
          </w:tcPr>
          <w:p w:rsidR="00DF17E9" w:rsidRPr="00092971" w:rsidRDefault="00DF17E9" w:rsidP="00044843">
            <w:pPr>
              <w:spacing w:after="0"/>
              <w:ind w:left="0" w:firstLine="0"/>
              <w:rPr>
                <w:color w:val="000000"/>
              </w:rPr>
            </w:pPr>
            <w:r w:rsidRPr="00092971">
              <w:rPr>
                <w:b/>
                <w:color w:val="000000"/>
              </w:rPr>
              <w:t>Total financial liabilities</w:t>
            </w:r>
          </w:p>
        </w:tc>
        <w:tc>
          <w:tcPr>
            <w:tcW w:w="992"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2 645</w:t>
            </w:r>
          </w:p>
        </w:tc>
        <w:tc>
          <w:tcPr>
            <w:tcW w:w="851"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51 790</w:t>
            </w:r>
          </w:p>
        </w:tc>
        <w:tc>
          <w:tcPr>
            <w:tcW w:w="1134"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3 811</w:t>
            </w:r>
          </w:p>
        </w:tc>
        <w:tc>
          <w:tcPr>
            <w:tcW w:w="850" w:type="dxa"/>
            <w:tcBorders>
              <w:top w:val="single" w:sz="6" w:space="0" w:color="auto"/>
              <w:bottom w:val="single" w:sz="12" w:space="0" w:color="auto"/>
            </w:tcBorders>
            <w:shd w:val="clear" w:color="auto" w:fill="EBEBEB" w:themeFill="background2"/>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58 246</w:t>
            </w:r>
          </w:p>
        </w:tc>
        <w:tc>
          <w:tcPr>
            <w:tcW w:w="851"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913</w:t>
            </w:r>
          </w:p>
        </w:tc>
        <w:tc>
          <w:tcPr>
            <w:tcW w:w="1014"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34 183</w:t>
            </w:r>
          </w:p>
        </w:tc>
        <w:tc>
          <w:tcPr>
            <w:tcW w:w="1112"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2 820</w:t>
            </w:r>
          </w:p>
        </w:tc>
        <w:tc>
          <w:tcPr>
            <w:tcW w:w="821"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37 917</w:t>
            </w:r>
          </w:p>
        </w:tc>
      </w:tr>
    </w:tbl>
    <w:p w:rsidR="00DF17E9" w:rsidRPr="00571C22" w:rsidRDefault="00DF17E9" w:rsidP="00044843">
      <w:pPr>
        <w:pStyle w:val="Note"/>
      </w:pPr>
      <w:r w:rsidRPr="00571C22">
        <w:t>Note:</w:t>
      </w:r>
    </w:p>
    <w:p w:rsidR="00DF17E9" w:rsidRDefault="00DF17E9" w:rsidP="00044843">
      <w:pPr>
        <w:pStyle w:val="Note"/>
        <w:sectPr w:rsidR="00DF17E9" w:rsidSect="00044843">
          <w:headerReference w:type="default" r:id="rId211"/>
          <w:footerReference w:type="default" r:id="rId212"/>
          <w:pgSz w:w="16838" w:h="11906" w:orient="landscape" w:code="9"/>
          <w:pgMar w:top="1134" w:right="1134" w:bottom="1134" w:left="1134" w:header="624" w:footer="567" w:gutter="0"/>
          <w:cols w:space="708"/>
          <w:docGrid w:linePitch="360"/>
        </w:sectPr>
      </w:pPr>
      <w:r w:rsidRPr="00571C22">
        <w:t>(a)</w:t>
      </w:r>
      <w:r w:rsidRPr="00571C22">
        <w:tab/>
      </w:r>
      <w:r w:rsidRPr="00D01011">
        <w:t>June 2015 comparative figures have been restated to reflect an adjustment to Coliban Water’s deferred tax liability balances in the PNFC sector attributable to a change in valuation policy in 2015-16.</w:t>
      </w:r>
    </w:p>
    <w:p w:rsidR="00DF17E9" w:rsidRPr="00E26103" w:rsidRDefault="00DF17E9" w:rsidP="002F70BC">
      <w:pPr>
        <w:pStyle w:val="Subheadingunderline"/>
        <w:pBdr>
          <w:bottom w:val="none" w:sz="0" w:space="0" w:color="auto"/>
        </w:pBdr>
        <w:spacing w:before="0"/>
      </w:pPr>
      <w:r w:rsidRPr="00E26103">
        <w:lastRenderedPageBreak/>
        <w:t>Interest rate risk management</w:t>
      </w:r>
    </w:p>
    <w:p w:rsidR="00DF17E9" w:rsidRPr="00E26103" w:rsidRDefault="00DF17E9" w:rsidP="00187B09">
      <w:r w:rsidRPr="00E26103">
        <w:t>The State’s policy for managing interest rate risk on borrowings is to achieve relative certainty of cash interest cost while seeking to minimise net borrowing cost within portfolio risk management guidelines. Generally, this is achieved by undertaking fixed rate borrowings across a range of maturity profiles.</w:t>
      </w:r>
    </w:p>
    <w:p w:rsidR="00DF17E9" w:rsidRPr="00E26103" w:rsidRDefault="00DF17E9" w:rsidP="00187B09">
      <w:r w:rsidRPr="00E26103">
        <w:t>TCV manages the State’s interest risk exposure from borrowings through daily quantification of the risk</w:t>
      </w:r>
      <w:r>
        <w:t>,</w:t>
      </w:r>
      <w:r w:rsidRPr="00E26103">
        <w:t xml:space="preserve"> which assesses the potential loss that the State might incur under various market scenarios. Interest rate risk is managed within an approved limit structure in accordance with TCV’s prudential policy and risk management framework, which requires consistency with the </w:t>
      </w:r>
      <w:r w:rsidRPr="004114FA">
        <w:t xml:space="preserve">Australian Prudential Regulation Authority </w:t>
      </w:r>
      <w:r w:rsidRPr="00E26103">
        <w:t>prudential statements for banks.</w:t>
      </w:r>
    </w:p>
    <w:p w:rsidR="00DF17E9" w:rsidRPr="00E26103" w:rsidRDefault="00DF17E9" w:rsidP="00187B09">
      <w:r w:rsidRPr="00E26103">
        <w:t>Derivative instruments such as interest rate swaps and futures contracts are used to either change the interest rate between fixed and floating rates of interest or between differ</w:t>
      </w:r>
      <w:r>
        <w:t>ent floating rates of interest.</w:t>
      </w:r>
    </w:p>
    <w:p w:rsidR="00DF17E9" w:rsidRPr="00E26103" w:rsidRDefault="00DF17E9" w:rsidP="00187B09">
      <w:r>
        <w:t xml:space="preserve">At 30 June </w:t>
      </w:r>
      <w:r w:rsidRPr="0015499E">
        <w:t>2016, approximately 97 per cent</w:t>
      </w:r>
      <w:r w:rsidRPr="00E26103">
        <w:t xml:space="preserve"> (9</w:t>
      </w:r>
      <w:r>
        <w:t>6 </w:t>
      </w:r>
      <w:r w:rsidRPr="00E26103">
        <w:t>per cent in 201</w:t>
      </w:r>
      <w:r>
        <w:t>5</w:t>
      </w:r>
      <w:r w:rsidRPr="00E26103">
        <w:t>) of the State’s borrowings are at fixed rates of interest. There has been no change in the State’s exposure to interest rate risk or the manner in which it manages and measures the risk from the previous reporting period.</w:t>
      </w:r>
    </w:p>
    <w:p w:rsidR="00DF17E9" w:rsidRPr="00E26103" w:rsidRDefault="00DF17E9" w:rsidP="00044843">
      <w:pPr>
        <w:pStyle w:val="Subheadingunderline"/>
        <w:pBdr>
          <w:bottom w:val="none" w:sz="0" w:space="0" w:color="auto"/>
        </w:pBdr>
      </w:pPr>
      <w:r w:rsidRPr="00E26103">
        <w:t>Interest rate sensitivity analysis</w:t>
      </w:r>
    </w:p>
    <w:p w:rsidR="00DF17E9" w:rsidRPr="00E26103" w:rsidRDefault="00DF17E9" w:rsidP="00F62FCA">
      <w:r w:rsidRPr="00E26103">
        <w:t>The State has analysed the possible effects of feasible changes in interest rates on its financial position and result using the following assumptions:</w:t>
      </w:r>
    </w:p>
    <w:p w:rsidR="00DF17E9" w:rsidRPr="00140FD6" w:rsidRDefault="00DF17E9" w:rsidP="00044843">
      <w:pPr>
        <w:pStyle w:val="ListBullet"/>
        <w:numPr>
          <w:ilvl w:val="0"/>
          <w:numId w:val="9"/>
        </w:numPr>
        <w:ind w:left="397" w:hanging="397"/>
      </w:pPr>
      <w:r w:rsidRPr="00E26103">
        <w:t xml:space="preserve">the exposure to interest rates for both derivative and non-derivative instruments at the reporting date, and the stipulated change taking </w:t>
      </w:r>
      <w:r w:rsidRPr="00140FD6">
        <w:t>place at the beginning of the financial year, are held constant throughout the reporting period; and</w:t>
      </w:r>
    </w:p>
    <w:p w:rsidR="00DF17E9" w:rsidRDefault="00DF17E9" w:rsidP="00044843">
      <w:pPr>
        <w:pStyle w:val="ListBullet"/>
        <w:numPr>
          <w:ilvl w:val="0"/>
          <w:numId w:val="9"/>
        </w:numPr>
        <w:ind w:left="397" w:hanging="397"/>
      </w:pPr>
      <w:r w:rsidRPr="00140FD6">
        <w:t xml:space="preserve">based on historic movements, and in particular, management’s knowledge and experience of the recent </w:t>
      </w:r>
      <w:r w:rsidRPr="00E26103">
        <w:t>volatility in global financial markets, the State has assessed that it may be exposed to a reasonably possible increase or decrease of</w:t>
      </w:r>
      <w:r w:rsidRPr="006A7103">
        <w:t xml:space="preserve"> 100</w:t>
      </w:r>
      <w:r>
        <w:t> </w:t>
      </w:r>
      <w:r w:rsidRPr="00E26103">
        <w:t>basis</w:t>
      </w:r>
      <w:r>
        <w:t xml:space="preserve"> </w:t>
      </w:r>
      <w:r w:rsidRPr="00E26103">
        <w:t>points in interest</w:t>
      </w:r>
      <w:r>
        <w:t xml:space="preserve"> rates (100 basis points in 2015</w:t>
      </w:r>
      <w:r w:rsidRPr="00E26103">
        <w:t>).</w:t>
      </w:r>
      <w:r>
        <w:t xml:space="preserve"> </w:t>
      </w:r>
    </w:p>
    <w:p w:rsidR="00DF17E9" w:rsidRPr="00E26103" w:rsidRDefault="00DF17E9" w:rsidP="002F70BC">
      <w:r>
        <w:br w:type="column"/>
      </w:r>
      <w:r w:rsidRPr="00E26103">
        <w:lastRenderedPageBreak/>
        <w:t>With all other variables held constant, the impact of a 100 basis point increase or decrease on the net resul</w:t>
      </w:r>
      <w:r>
        <w:t xml:space="preserve">t and net assets at 30 June 2016 is a </w:t>
      </w:r>
      <w:r w:rsidRPr="0015499E">
        <w:t>$1 654 million increase/$1 805 million decrease</w:t>
      </w:r>
      <w:r w:rsidRPr="00E26103">
        <w:t xml:space="preserve"> ($</w:t>
      </w:r>
      <w:r w:rsidRPr="00140FD6">
        <w:rPr>
          <w:rFonts w:cs="Garamond"/>
        </w:rPr>
        <w:t>1 789 </w:t>
      </w:r>
      <w:r w:rsidRPr="00E26103">
        <w:t>million increase/$</w:t>
      </w:r>
      <w:r w:rsidRPr="00140FD6">
        <w:rPr>
          <w:rFonts w:cs="Garamond"/>
        </w:rPr>
        <w:t>1 939 </w:t>
      </w:r>
      <w:r>
        <w:t>million decrease in 2015</w:t>
      </w:r>
      <w:r w:rsidRPr="00E26103">
        <w:t>).</w:t>
      </w:r>
    </w:p>
    <w:p w:rsidR="00DF17E9" w:rsidRPr="00E26103" w:rsidRDefault="00DF17E9" w:rsidP="00187B09">
      <w:r w:rsidRPr="00E26103">
        <w:t>The State’s sensitivity to interest rates is mainly attributable to the revaluation of fixed interest borrowings at fair value and the revaluation of the insurance and superannuation liabilities, however this does not impact on th</w:t>
      </w:r>
      <w:r>
        <w:t>e net result from transactions.</w:t>
      </w:r>
    </w:p>
    <w:p w:rsidR="00DF17E9" w:rsidRPr="00E26103" w:rsidRDefault="00DF17E9" w:rsidP="00044843">
      <w:pPr>
        <w:pStyle w:val="Heading3"/>
        <w:tabs>
          <w:tab w:val="right" w:pos="14742"/>
        </w:tabs>
      </w:pPr>
      <w:r w:rsidRPr="00E26103">
        <w:t>Foreign currency risk</w:t>
      </w:r>
    </w:p>
    <w:p w:rsidR="00DF17E9" w:rsidRDefault="00DF17E9" w:rsidP="00044843">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rsidR="00DF17E9" w:rsidRDefault="00DF17E9" w:rsidP="00187B09">
      <w:r>
        <w:t>Foreign currency translation differences are recognised in other economic flows in the consolidated comprehensive operating statement and accumulated in a separate component of equity, in the period in which they arise.</w:t>
      </w:r>
    </w:p>
    <w:p w:rsidR="00DF17E9" w:rsidRPr="00E26103" w:rsidRDefault="00DF17E9" w:rsidP="00187B09">
      <w:r w:rsidRPr="00E26103">
        <w:t>The State is also exposed to foreign currency risk through investments in foreign currency denominated financial assets, primarily international equities. This exposure is mainly via the major currencies such as United States dollar, Canadian dollar, Japanese yen, Swiss franc, the euro, British pound and the New Zealand dollar.</w:t>
      </w:r>
    </w:p>
    <w:p w:rsidR="00DF17E9" w:rsidRDefault="00DF17E9">
      <w:r>
        <w:br w:type="page"/>
      </w:r>
    </w:p>
    <w:p w:rsidR="00DF17E9" w:rsidRDefault="00DF17E9" w:rsidP="00187B09">
      <w:r w:rsidRPr="00E26103">
        <w:lastRenderedPageBreak/>
        <w:t>The carrying amount of the State’s foreign currency denominated monetary assets and monetary liabilities at the reporting date is as follows:</w:t>
      </w:r>
    </w:p>
    <w:p w:rsidR="002F70BC" w:rsidRDefault="002F70BC" w:rsidP="00187B09"/>
    <w:p w:rsidR="002F70BC" w:rsidRDefault="002F70BC" w:rsidP="00187B09"/>
    <w:p w:rsidR="002F70BC" w:rsidRDefault="002F70BC" w:rsidP="00187B09">
      <w:pPr>
        <w:sectPr w:rsidR="002F70BC" w:rsidSect="00044843">
          <w:headerReference w:type="even" r:id="rId213"/>
          <w:headerReference w:type="default" r:id="rId214"/>
          <w:footerReference w:type="even" r:id="rId215"/>
          <w:footerReference w:type="default" r:id="rId216"/>
          <w:pgSz w:w="11906" w:h="16838" w:code="9"/>
          <w:pgMar w:top="1134" w:right="1134" w:bottom="1134" w:left="1134" w:header="624" w:footer="567" w:gutter="0"/>
          <w:cols w:num="2" w:space="708"/>
          <w:docGrid w:linePitch="360"/>
        </w:sectPr>
      </w:pPr>
    </w:p>
    <w:p w:rsidR="00DF17E9" w:rsidRPr="00092971" w:rsidRDefault="00DF17E9" w:rsidP="00044843">
      <w:pPr>
        <w:pStyle w:val="Subheading"/>
        <w:rPr>
          <w:rStyle w:val="TableUnitsChar"/>
          <w:bCs/>
          <w:lang w:val="en-US"/>
        </w:rPr>
      </w:pPr>
      <w:r w:rsidRPr="002F05DE">
        <w:lastRenderedPageBreak/>
        <w:t xml:space="preserve">Australian dollar </w:t>
      </w:r>
      <w:r w:rsidRPr="00703386">
        <w:t>equivalent</w:t>
      </w:r>
      <w:r w:rsidRPr="002F05DE">
        <w:t xml:space="preserve"> of foreign currency denominated monetary assets and liabilities</w:t>
      </w:r>
      <w:r w:rsidRPr="00E26103">
        <w:tab/>
      </w:r>
      <w:r w:rsidRPr="00E26103">
        <w:rPr>
          <w:rStyle w:val="TableUnitsChar"/>
        </w:rPr>
        <w:t>($ million)</w:t>
      </w:r>
    </w:p>
    <w:tbl>
      <w:tblPr>
        <w:tblStyle w:val="TableDTFGeneral"/>
        <w:tblW w:w="9637" w:type="dxa"/>
        <w:tblLayout w:type="fixed"/>
        <w:tblLook w:val="02A0" w:firstRow="1" w:lastRow="0" w:firstColumn="1" w:lastColumn="0" w:noHBand="1" w:noVBand="0"/>
      </w:tblPr>
      <w:tblGrid>
        <w:gridCol w:w="5978"/>
        <w:gridCol w:w="914"/>
        <w:gridCol w:w="915"/>
        <w:gridCol w:w="915"/>
        <w:gridCol w:w="915"/>
      </w:tblGrid>
      <w:tr w:rsidR="0031570E"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8" w:type="dxa"/>
            <w:tcBorders>
              <w:bottom w:val="nil"/>
            </w:tcBorders>
          </w:tcPr>
          <w:p w:rsidR="0031570E" w:rsidRPr="00092971" w:rsidRDefault="0031570E"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29" w:type="dxa"/>
            <w:gridSpan w:val="2"/>
            <w:tcBorders>
              <w:bottom w:val="nil"/>
            </w:tcBorders>
          </w:tcPr>
          <w:p w:rsidR="0031570E" w:rsidRPr="00092971" w:rsidRDefault="0031570E" w:rsidP="00044843">
            <w:pPr>
              <w:jc w:val="center"/>
              <w:rPr>
                <w:color w:val="FFFFFF"/>
              </w:rPr>
            </w:pPr>
            <w:r w:rsidRPr="00092971">
              <w:rPr>
                <w:color w:val="FFFFFF"/>
              </w:rPr>
              <w:t>State of Victoria</w:t>
            </w:r>
          </w:p>
        </w:tc>
        <w:tc>
          <w:tcPr>
            <w:tcW w:w="1830" w:type="dxa"/>
            <w:gridSpan w:val="2"/>
            <w:tcBorders>
              <w:bottom w:val="nil"/>
            </w:tcBorders>
          </w:tcPr>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General </w:t>
            </w:r>
          </w:p>
          <w:p w:rsidR="0031570E" w:rsidRPr="00092971" w:rsidRDefault="0031570E"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8" w:type="dxa"/>
            <w:tcBorders>
              <w:bottom w:val="single" w:sz="6" w:space="0" w:color="auto"/>
            </w:tcBorders>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4"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tcBorders>
          </w:tcPr>
          <w:p w:rsidR="00DF17E9" w:rsidRPr="00092971" w:rsidRDefault="00DF17E9" w:rsidP="00044843">
            <w:pPr>
              <w:ind w:left="0" w:firstLine="0"/>
              <w:rPr>
                <w:color w:val="000000"/>
              </w:rPr>
            </w:pPr>
            <w:r w:rsidRPr="00092971">
              <w:rPr>
                <w:b/>
                <w:color w:val="000000"/>
              </w:rPr>
              <w:t>Monetary assets</w:t>
            </w:r>
          </w:p>
        </w:tc>
        <w:tc>
          <w:tcPr>
            <w:cnfStyle w:val="000010000000" w:firstRow="0" w:lastRow="0" w:firstColumn="0" w:lastColumn="0" w:oddVBand="1" w:evenVBand="0" w:oddHBand="0" w:evenHBand="0" w:firstRowFirstColumn="0" w:firstRowLastColumn="0" w:lastRowFirstColumn="0" w:lastRowLastColumn="0"/>
            <w:tcW w:w="914" w:type="dxa"/>
            <w:tcBorders>
              <w:top w:val="single" w:sz="6" w:space="0" w:color="auto"/>
            </w:tcBorders>
          </w:tcPr>
          <w:p w:rsidR="00DF17E9" w:rsidRPr="00092971" w:rsidRDefault="00DF17E9" w:rsidP="00044843">
            <w:r w:rsidRPr="00092971">
              <w:t xml:space="preserve"> </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b/>
              </w:rPr>
              <w:t xml:space="preserve"> </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bottom w:val="nil"/>
            </w:tcBorders>
          </w:tcPr>
          <w:p w:rsidR="00DF17E9" w:rsidRPr="00092971" w:rsidRDefault="00DF17E9" w:rsidP="00044843">
            <w:pPr>
              <w:ind w:left="0" w:firstLine="0"/>
              <w:rPr>
                <w:color w:val="000000"/>
              </w:rPr>
            </w:pPr>
            <w:r w:rsidRPr="00092971">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914" w:type="dxa"/>
            <w:tcBorders>
              <w:bottom w:val="nil"/>
            </w:tcBorders>
          </w:tcPr>
          <w:p w:rsidR="00DF17E9" w:rsidRPr="00092971" w:rsidRDefault="00DF17E9" w:rsidP="00044843">
            <w:r w:rsidRPr="00092971">
              <w:rPr>
                <w:color w:val="000000"/>
              </w:rPr>
              <w:t>14</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pPr>
              <w:rPr>
                <w:color w:val="000000"/>
              </w:rPr>
            </w:pPr>
            <w:r w:rsidRPr="00092971">
              <w:rPr>
                <w:color w:val="000000"/>
              </w:rPr>
              <w:t>..</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bottom w:val="single" w:sz="6" w:space="0" w:color="auto"/>
            </w:tcBorders>
          </w:tcPr>
          <w:p w:rsidR="00DF17E9" w:rsidRPr="00092971" w:rsidRDefault="00DF17E9" w:rsidP="00044843">
            <w:pPr>
              <w:ind w:left="0" w:firstLine="0"/>
              <w:rPr>
                <w:color w:val="000000"/>
              </w:rPr>
            </w:pPr>
            <w:r w:rsidRPr="00092971">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914" w:type="dxa"/>
            <w:tcBorders>
              <w:bottom w:val="single" w:sz="6" w:space="0" w:color="auto"/>
            </w:tcBorders>
          </w:tcPr>
          <w:p w:rsidR="00DF17E9" w:rsidRPr="00092971" w:rsidRDefault="00DF17E9" w:rsidP="00044843">
            <w:r w:rsidRPr="00092971">
              <w:rPr>
                <w:color w:val="000000"/>
              </w:rPr>
              <w:t>20</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Total monetary assets</w:t>
            </w:r>
            <w:r w:rsidRPr="00092971">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14" w:type="dxa"/>
            <w:tcBorders>
              <w:top w:val="single" w:sz="6" w:space="0" w:color="auto"/>
              <w:bottom w:val="single" w:sz="6" w:space="0" w:color="auto"/>
            </w:tcBorders>
          </w:tcPr>
          <w:p w:rsidR="00DF17E9" w:rsidRPr="00092971" w:rsidRDefault="00DF17E9" w:rsidP="00044843">
            <w:r w:rsidRPr="00092971">
              <w:rPr>
                <w:b/>
                <w:color w:val="000000"/>
              </w:rPr>
              <w:t>33</w:t>
            </w:r>
          </w:p>
        </w:tc>
        <w:tc>
          <w:tcPr>
            <w:tcW w:w="915"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31</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w:t>
            </w:r>
          </w:p>
        </w:tc>
        <w:tc>
          <w:tcPr>
            <w:tcW w:w="915"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bottom w:val="nil"/>
            </w:tcBorders>
          </w:tcPr>
          <w:p w:rsidR="00DF17E9" w:rsidRPr="00092971" w:rsidRDefault="00DF17E9" w:rsidP="00044843">
            <w:pPr>
              <w:ind w:left="0" w:firstLine="0"/>
              <w:rPr>
                <w:color w:val="000000"/>
              </w:rPr>
            </w:pPr>
            <w:r w:rsidRPr="00092971">
              <w:rPr>
                <w:b/>
                <w:color w:val="000000"/>
              </w:rPr>
              <w:t>Monetary liabilities</w:t>
            </w:r>
          </w:p>
        </w:tc>
        <w:tc>
          <w:tcPr>
            <w:cnfStyle w:val="000010000000" w:firstRow="0" w:lastRow="0" w:firstColumn="0" w:lastColumn="0" w:oddVBand="1" w:evenVBand="0" w:oddHBand="0" w:evenHBand="0" w:firstRowFirstColumn="0" w:firstRowLastColumn="0" w:lastRowFirstColumn="0" w:lastRowLastColumn="0"/>
            <w:tcW w:w="914" w:type="dxa"/>
            <w:tcBorders>
              <w:top w:val="single" w:sz="6" w:space="0" w:color="auto"/>
              <w:bottom w:val="nil"/>
            </w:tcBorders>
          </w:tcPr>
          <w:p w:rsidR="00DF17E9" w:rsidRPr="00092971" w:rsidRDefault="00DF17E9" w:rsidP="00044843">
            <w:pPr>
              <w:rPr>
                <w:color w:val="000000"/>
              </w:rPr>
            </w:pPr>
            <w:r w:rsidRPr="00092971">
              <w:rPr>
                <w:color w:val="000000"/>
              </w:rPr>
              <w:t xml:space="preserve"> </w:t>
            </w:r>
          </w:p>
        </w:tc>
        <w:tc>
          <w:tcPr>
            <w:tcW w:w="915" w:type="dxa"/>
            <w:tcBorders>
              <w:top w:val="single" w:sz="6" w:space="0" w:color="auto"/>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nil"/>
            </w:tcBorders>
          </w:tcPr>
          <w:p w:rsidR="00DF17E9" w:rsidRPr="00092971" w:rsidRDefault="00DF17E9" w:rsidP="00044843">
            <w:pPr>
              <w:rPr>
                <w:color w:val="000000"/>
              </w:rPr>
            </w:pPr>
            <w:r w:rsidRPr="00092971">
              <w:rPr>
                <w:color w:val="000000"/>
              </w:rPr>
              <w:t xml:space="preserve"> </w:t>
            </w:r>
          </w:p>
        </w:tc>
        <w:tc>
          <w:tcPr>
            <w:tcW w:w="915" w:type="dxa"/>
            <w:tcBorders>
              <w:top w:val="single" w:sz="6" w:space="0" w:color="auto"/>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bottom w:val="single" w:sz="6" w:space="0" w:color="auto"/>
            </w:tcBorders>
          </w:tcPr>
          <w:p w:rsidR="00DF17E9" w:rsidRPr="00092971" w:rsidRDefault="00DF17E9" w:rsidP="00044843">
            <w:pPr>
              <w:ind w:left="0" w:firstLine="0"/>
              <w:rPr>
                <w:color w:val="000000"/>
              </w:rPr>
            </w:pPr>
            <w:r w:rsidRPr="00092971">
              <w:rPr>
                <w:color w:val="000000"/>
              </w:rPr>
              <w:t>Borrowings</w:t>
            </w:r>
          </w:p>
        </w:tc>
        <w:tc>
          <w:tcPr>
            <w:cnfStyle w:val="000010000000" w:firstRow="0" w:lastRow="0" w:firstColumn="0" w:lastColumn="0" w:oddVBand="1" w:evenVBand="0" w:oddHBand="0" w:evenHBand="0" w:firstRowFirstColumn="0" w:firstRowLastColumn="0" w:lastRowFirstColumn="0" w:lastRowLastColumn="0"/>
            <w:tcW w:w="914" w:type="dxa"/>
            <w:tcBorders>
              <w:bottom w:val="single" w:sz="6" w:space="0" w:color="auto"/>
            </w:tcBorders>
          </w:tcPr>
          <w:p w:rsidR="00DF17E9" w:rsidRPr="00092971" w:rsidRDefault="00DF17E9" w:rsidP="00044843">
            <w:r w:rsidRPr="00092971">
              <w:rPr>
                <w:color w:val="000000"/>
              </w:rPr>
              <w:t>242</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119</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monetary liabilities</w:t>
            </w:r>
          </w:p>
        </w:tc>
        <w:tc>
          <w:tcPr>
            <w:cnfStyle w:val="000010000000" w:firstRow="0" w:lastRow="0" w:firstColumn="0" w:lastColumn="0" w:oddVBand="1" w:evenVBand="0" w:oddHBand="0" w:evenHBand="0" w:firstRowFirstColumn="0" w:firstRowLastColumn="0" w:lastRowFirstColumn="0" w:lastRowLastColumn="0"/>
            <w:tcW w:w="914" w:type="dxa"/>
            <w:tcBorders>
              <w:top w:val="single" w:sz="6" w:space="0" w:color="auto"/>
              <w:bottom w:val="single" w:sz="12" w:space="0" w:color="auto"/>
            </w:tcBorders>
          </w:tcPr>
          <w:p w:rsidR="00DF17E9" w:rsidRPr="00092971" w:rsidRDefault="00DF17E9" w:rsidP="00044843">
            <w:r w:rsidRPr="00092971">
              <w:rPr>
                <w:b/>
                <w:color w:val="000000"/>
              </w:rPr>
              <w:t>242</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119</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Default="00DF17E9" w:rsidP="003E3AE2">
      <w:pPr>
        <w:pStyle w:val="Note"/>
      </w:pPr>
      <w:r>
        <w:t>Note:</w:t>
      </w:r>
    </w:p>
    <w:p w:rsidR="00DF17E9" w:rsidRPr="00E26103" w:rsidRDefault="00DF17E9" w:rsidP="003E3AE2">
      <w:pPr>
        <w:pStyle w:val="Note"/>
      </w:pPr>
      <w:r w:rsidRPr="0015499E">
        <w:t>(a)</w:t>
      </w:r>
      <w:r w:rsidRPr="0015499E">
        <w:tab/>
        <w:t>In addition, the State held $2 608 million ($2 745 million in</w:t>
      </w:r>
      <w:r>
        <w:t xml:space="preserve"> 2015) of equities and managed investment schemes denominated in foreign currencies.</w:t>
      </w:r>
    </w:p>
    <w:p w:rsidR="00DF17E9" w:rsidRDefault="00DF17E9" w:rsidP="00A17220">
      <w:pPr>
        <w:sectPr w:rsidR="00DF17E9" w:rsidSect="00044843">
          <w:type w:val="continuous"/>
          <w:pgSz w:w="11906" w:h="16838" w:code="9"/>
          <w:pgMar w:top="1151" w:right="1151" w:bottom="1151" w:left="1151" w:header="720" w:footer="720" w:gutter="0"/>
          <w:cols w:space="708"/>
          <w:docGrid w:linePitch="360"/>
        </w:sectPr>
      </w:pPr>
    </w:p>
    <w:p w:rsidR="00DF17E9" w:rsidRDefault="00DF17E9" w:rsidP="00044843"/>
    <w:p w:rsidR="00DF17E9" w:rsidRPr="00E26103" w:rsidRDefault="00DF17E9" w:rsidP="00A17220">
      <w:r w:rsidRPr="00E26103">
        <w:t xml:space="preserve">The </w:t>
      </w:r>
      <w:r w:rsidRPr="001B75CC">
        <w:t>VFMC</w:t>
      </w:r>
      <w:r w:rsidRPr="00E26103">
        <w:t>, the State’s fund manager, applies a consolidated approach in managing the foreign currency exposure in accordance with investment risk management plans as approved by the Treasurer. VFMC’s approach is to hedge approximately 50 per cent of the foreign currency exposure arising from international equities, and to fully hedge foreign currency exposures arising from other offshore assets such as infrastructure, property and hedge funds.</w:t>
      </w:r>
    </w:p>
    <w:p w:rsidR="00DF17E9" w:rsidRPr="00D24164" w:rsidRDefault="00DF17E9" w:rsidP="00A17220">
      <w:r w:rsidRPr="00E26103">
        <w:t xml:space="preserve">TCV is the State’s central borrowing authority and part of its funding program is comprised of foreign currency borrowings. The State’s policy is to hedge </w:t>
      </w:r>
      <w:r w:rsidRPr="00157821">
        <w:t xml:space="preserve">any material foreign currency exposures arising from borrowings. TCV uses foreign exchange options, spot and forward foreign exchange rate </w:t>
      </w:r>
      <w:r w:rsidRPr="00D24164">
        <w:t>contracts in the management of offshore borrowings.</w:t>
      </w:r>
    </w:p>
    <w:p w:rsidR="00DF17E9" w:rsidRPr="00D24164" w:rsidRDefault="00DF17E9" w:rsidP="00A17220">
      <w:r w:rsidRPr="00D24164">
        <w:t>There has been no material change in the State’s exposure to foreign currency risk or the manner in which it manages and measures the risk from the previous reporting period.</w:t>
      </w:r>
    </w:p>
    <w:p w:rsidR="00DF17E9" w:rsidRPr="00D24164" w:rsidRDefault="00DF17E9" w:rsidP="00044843">
      <w:pPr>
        <w:pStyle w:val="Subheadingunderline"/>
        <w:pBdr>
          <w:bottom w:val="none" w:sz="0" w:space="0" w:color="auto"/>
        </w:pBdr>
      </w:pPr>
      <w:r w:rsidRPr="00D24164">
        <w:t>Foreign currency sensitivity analysis</w:t>
      </w:r>
    </w:p>
    <w:p w:rsidR="00DF17E9" w:rsidRPr="00D24164" w:rsidRDefault="00DF17E9" w:rsidP="00A17220">
      <w:r w:rsidRPr="00D24164">
        <w:t>The State has analysed the possible effects of feasible change in exchange rates against the Australian dollar on its financial position and result using the following assumptions:</w:t>
      </w:r>
    </w:p>
    <w:p w:rsidR="00DF17E9" w:rsidRPr="00D24164" w:rsidRDefault="00DF17E9" w:rsidP="00044843">
      <w:pPr>
        <w:pStyle w:val="ListBullet"/>
        <w:numPr>
          <w:ilvl w:val="0"/>
          <w:numId w:val="9"/>
        </w:numPr>
        <w:ind w:left="397" w:hanging="397"/>
      </w:pPr>
      <w:r w:rsidRPr="00D24164">
        <w:t>exposure to the pool of foreign currencies for both derivative and non-derivative instruments at the reporting date, and the stipulated change taking place at the beginning of the financial year are held constant throughout the reporting period; and</w:t>
      </w:r>
    </w:p>
    <w:p w:rsidR="00DF17E9" w:rsidRDefault="00DF17E9" w:rsidP="00044843">
      <w:r>
        <w:br w:type="column"/>
      </w:r>
    </w:p>
    <w:p w:rsidR="00DF17E9" w:rsidRPr="0015499E" w:rsidRDefault="00DF17E9" w:rsidP="00044843">
      <w:pPr>
        <w:pStyle w:val="ListBullet"/>
        <w:numPr>
          <w:ilvl w:val="0"/>
          <w:numId w:val="9"/>
        </w:numPr>
        <w:ind w:left="397" w:hanging="397"/>
      </w:pPr>
      <w:r w:rsidRPr="00D24164">
        <w:t xml:space="preserve">based on historic movements, future expectations and management’s knowledge and experience of the foreign currency markets, the </w:t>
      </w:r>
      <w:r>
        <w:t xml:space="preserve">State has assessed that it may be exposed to an increase or </w:t>
      </w:r>
      <w:r w:rsidRPr="0015499E">
        <w:t>decrease of 15 per cent against the Australian dollar (15 per cent in 2015).</w:t>
      </w:r>
    </w:p>
    <w:p w:rsidR="00DF17E9" w:rsidRPr="001B75CC" w:rsidRDefault="00DF17E9" w:rsidP="00044843">
      <w:r w:rsidRPr="0015499E">
        <w:t>With all other variables held constant, the impact of a 15 per cent increase or decrease in exchange rates on economic flows and net assets at 30 June 2016 is $302 million decrease/$408 million increase ($267 million decrease/$361 million increase in</w:t>
      </w:r>
      <w:r w:rsidRPr="00394883">
        <w:t xml:space="preserve"> 2015</w:t>
      </w:r>
      <w:r w:rsidRPr="00D24164">
        <w:t>).</w:t>
      </w:r>
    </w:p>
    <w:p w:rsidR="00DF17E9" w:rsidRPr="006A75A2" w:rsidRDefault="00DF17E9" w:rsidP="00A17220">
      <w:r w:rsidRPr="006A75A2">
        <w:t>The State</w:t>
      </w:r>
      <w:r>
        <w:t>’</w:t>
      </w:r>
      <w:r w:rsidRPr="006A75A2">
        <w:t xml:space="preserve">s exposure to </w:t>
      </w:r>
      <w:r>
        <w:t>foreign currency risk</w:t>
      </w:r>
      <w:r w:rsidRPr="006A75A2">
        <w:t xml:space="preserve"> has no direct impact on the net result from transactions.</w:t>
      </w:r>
    </w:p>
    <w:p w:rsidR="00DF17E9" w:rsidRPr="00D24164" w:rsidRDefault="00DF17E9" w:rsidP="00044843">
      <w:pPr>
        <w:pStyle w:val="Heading3"/>
        <w:tabs>
          <w:tab w:val="right" w:pos="14742"/>
        </w:tabs>
      </w:pPr>
      <w:r w:rsidRPr="00D24164">
        <w:t>Equity price risk</w:t>
      </w:r>
    </w:p>
    <w:p w:rsidR="00DF17E9" w:rsidRPr="00D24164" w:rsidRDefault="00DF17E9" w:rsidP="00A17220">
      <w:r w:rsidRPr="00D24164">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through diversifying its investment portfolio. This is determined by VFMC and reflected in the Investment Risk Management Plan approved by the Treasurer, and in accordance with the </w:t>
      </w:r>
      <w:r w:rsidRPr="00D24164">
        <w:rPr>
          <w:i/>
        </w:rPr>
        <w:t>Borrowing and Investments Powers Act 1987</w:t>
      </w:r>
      <w:r w:rsidRPr="00D24164">
        <w:t xml:space="preserve"> (</w:t>
      </w:r>
      <w:r w:rsidRPr="001B75CC">
        <w:t>BIP Act</w:t>
      </w:r>
      <w:r w:rsidRPr="00D24164">
        <w:t>) and the prudential supervisory policies and framework of the State.</w:t>
      </w:r>
    </w:p>
    <w:p w:rsidR="00DF17E9" w:rsidRDefault="00DF17E9">
      <w:pPr>
        <w:rPr>
          <w:rFonts w:asciiTheme="majorHAnsi" w:hAnsiTheme="majorHAnsi"/>
          <w:b/>
          <w:spacing w:val="-2"/>
        </w:rPr>
      </w:pPr>
      <w:r>
        <w:t xml:space="preserve">There has been no material change in the State’s exposure to equity price risk or the manner in which it manages and measures the risk from the previous reporting period. </w:t>
      </w:r>
      <w:r>
        <w:br w:type="page"/>
      </w:r>
    </w:p>
    <w:p w:rsidR="00DF17E9" w:rsidRPr="00D24164" w:rsidRDefault="00DF17E9" w:rsidP="00044843">
      <w:pPr>
        <w:pStyle w:val="Subheadingunderline"/>
        <w:pBdr>
          <w:bottom w:val="none" w:sz="0" w:space="0" w:color="auto"/>
        </w:pBdr>
      </w:pPr>
      <w:r w:rsidRPr="00D24164">
        <w:lastRenderedPageBreak/>
        <w:t>Equity price sensitivity analysis</w:t>
      </w:r>
    </w:p>
    <w:p w:rsidR="00DF17E9" w:rsidRPr="00D24164" w:rsidRDefault="00DF17E9" w:rsidP="00A17220">
      <w:r w:rsidRPr="00D24164">
        <w:t>The State has analysed the possible effects of feasible changes in equity prices on its financial position and result using the following assumptions:</w:t>
      </w:r>
    </w:p>
    <w:p w:rsidR="00DF17E9" w:rsidRPr="00D24164" w:rsidRDefault="00DF17E9" w:rsidP="00044843">
      <w:pPr>
        <w:pStyle w:val="ListBullet"/>
        <w:numPr>
          <w:ilvl w:val="0"/>
          <w:numId w:val="9"/>
        </w:numPr>
        <w:ind w:left="397" w:hanging="397"/>
      </w:pPr>
      <w:r w:rsidRPr="00D24164">
        <w:t>exposure to equity securities for both derivative and non-derivative instruments at the reporting date, and the stipulated change taking place at the beginning of the financial year are held constant throughout the reporting period;</w:t>
      </w:r>
      <w:r>
        <w:t xml:space="preserve"> and</w:t>
      </w:r>
    </w:p>
    <w:p w:rsidR="00DF17E9" w:rsidRPr="0015499E" w:rsidRDefault="00DF17E9" w:rsidP="00044843">
      <w:pPr>
        <w:pStyle w:val="ListBullet"/>
        <w:numPr>
          <w:ilvl w:val="0"/>
          <w:numId w:val="9"/>
        </w:numPr>
        <w:ind w:left="397" w:hanging="397"/>
      </w:pPr>
      <w:r w:rsidRPr="00D24164">
        <w:t xml:space="preserve">based on historic movements, future expectations and management’s knowledge and experience of the volatility of the equity markets, the State has assessed that it may be exposed to a reasonably possible increase or </w:t>
      </w:r>
      <w:r w:rsidRPr="0015499E">
        <w:t>decrease of 15 per cent to equity prices (increase or decrease of 15 per cent in 2015).</w:t>
      </w:r>
    </w:p>
    <w:p w:rsidR="00DF17E9" w:rsidRPr="00D24164" w:rsidRDefault="00DF17E9" w:rsidP="00044843">
      <w:pPr>
        <w:pStyle w:val="ListBullet"/>
        <w:numPr>
          <w:ilvl w:val="0"/>
          <w:numId w:val="0"/>
        </w:numPr>
      </w:pPr>
      <w:r w:rsidRPr="0015499E">
        <w:t>With all other variables held constant, the impact of a 15 per cent increase or decrease in listed equities prices on economic flows and net assets at 30 June 2016 is $83 million increase/$83 million decrease ($46 million increase/$31 million decrease in 2015) and from unlisted equities is $2 288 million increase/$2 288 million decrease (</w:t>
      </w:r>
      <w:r w:rsidRPr="0015499E">
        <w:rPr>
          <w:rFonts w:cs="Garamond"/>
        </w:rPr>
        <w:t>$2 351</w:t>
      </w:r>
      <w:r>
        <w:rPr>
          <w:rFonts w:cs="Garamond"/>
        </w:rPr>
        <w:t> </w:t>
      </w:r>
      <w:r w:rsidRPr="00D24164">
        <w:t xml:space="preserve">million </w:t>
      </w:r>
      <w:r w:rsidRPr="00D24164">
        <w:rPr>
          <w:rFonts w:cs="Garamond"/>
        </w:rPr>
        <w:t>increase/$</w:t>
      </w:r>
      <w:r>
        <w:rPr>
          <w:rFonts w:cs="Garamond"/>
        </w:rPr>
        <w:t>2 351 </w:t>
      </w:r>
      <w:r w:rsidRPr="00D24164">
        <w:rPr>
          <w:rFonts w:cs="Garamond"/>
        </w:rPr>
        <w:t xml:space="preserve">million </w:t>
      </w:r>
      <w:r>
        <w:t>decrease in 2015</w:t>
      </w:r>
      <w:r w:rsidRPr="00D24164">
        <w:t>).</w:t>
      </w:r>
    </w:p>
    <w:p w:rsidR="00DF17E9" w:rsidRPr="00D24164" w:rsidRDefault="00DF17E9" w:rsidP="00A17220">
      <w:r w:rsidRPr="00D24164">
        <w:t xml:space="preserve">The State’s exposure to </w:t>
      </w:r>
      <w:r>
        <w:t>equity price sensitivity has no direct impact on the net result from transactions.</w:t>
      </w:r>
    </w:p>
    <w:p w:rsidR="00DF17E9" w:rsidRPr="00157821" w:rsidRDefault="00DF17E9" w:rsidP="00044843">
      <w:pPr>
        <w:pStyle w:val="Heading3"/>
        <w:tabs>
          <w:tab w:val="right" w:pos="14742"/>
        </w:tabs>
      </w:pPr>
      <w:r w:rsidRPr="00157821">
        <w:lastRenderedPageBreak/>
        <w:t>Credit risk</w:t>
      </w:r>
    </w:p>
    <w:p w:rsidR="00DF17E9" w:rsidRPr="00157821" w:rsidRDefault="00DF17E9" w:rsidP="007A0115">
      <w:r w:rsidRPr="00157821">
        <w:t>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TCV and VFMC. Limits are set both in terms of the quality and amount of credit exp</w:t>
      </w:r>
      <w:r>
        <w:t xml:space="preserve">osure in accordance with the </w:t>
      </w:r>
      <w:r w:rsidRPr="00BD06AE">
        <w:rPr>
          <w:i/>
        </w:rPr>
        <w:t xml:space="preserve">Borrowings and Investment Powers Act </w:t>
      </w:r>
      <w:r w:rsidRPr="00157821">
        <w:t>and the prudential supervisory policies and framework of the State.</w:t>
      </w:r>
    </w:p>
    <w:p w:rsidR="00DF17E9" w:rsidRPr="00157821" w:rsidRDefault="00DF17E9" w:rsidP="007A0115">
      <w:r w:rsidRPr="00157821">
        <w:t>The State does not have any significant credit risk exposure to any single counterparty or to any group of counterparties having similar characteristics.</w:t>
      </w:r>
    </w:p>
    <w:p w:rsidR="00DF17E9" w:rsidRPr="00157821" w:rsidRDefault="00DF17E9" w:rsidP="007A0115">
      <w:r w:rsidRPr="00157821">
        <w:t>The State’s maximum exposure to credit risk, without taking account of the value of any collateral obtained at the reporting date, in relation to each class of recognised financial asset, is the carrying amount of those assets as recognised in the balance sheet.</w:t>
      </w:r>
    </w:p>
    <w:p w:rsidR="00DF17E9" w:rsidRDefault="00DF17E9" w:rsidP="007A0115">
      <w:r w:rsidRPr="00763782">
        <w:t>There has been no material change to the Sta</w:t>
      </w:r>
      <w:r>
        <w:t>te’s credit risk profile in 2015-16</w:t>
      </w:r>
      <w:r w:rsidRPr="00763782">
        <w:t>.</w:t>
      </w:r>
      <w:r>
        <w:t xml:space="preserve"> </w:t>
      </w:r>
    </w:p>
    <w:p w:rsidR="00DF17E9" w:rsidRDefault="00DF17E9" w:rsidP="007A0115">
      <w:pPr>
        <w:sectPr w:rsidR="00DF17E9" w:rsidSect="00044843">
          <w:headerReference w:type="default" r:id="rId217"/>
          <w:type w:val="continuous"/>
          <w:pgSz w:w="11906" w:h="16838" w:code="9"/>
          <w:pgMar w:top="1134" w:right="1134" w:bottom="1134" w:left="1134" w:header="624" w:footer="567" w:gutter="0"/>
          <w:cols w:num="2" w:space="708"/>
          <w:docGrid w:linePitch="360"/>
        </w:sectPr>
      </w:pPr>
      <w:r>
        <w:t xml:space="preserve">The table below provides information on the credit quality of the State’s financial assets that are neither past due, nor </w:t>
      </w:r>
      <w:r w:rsidRPr="00FC5841">
        <w:t>impaired. Note 6.3 sets out the ageing of contractual receivables.</w:t>
      </w:r>
      <w:r>
        <w:t xml:space="preserve"> </w:t>
      </w:r>
    </w:p>
    <w:p w:rsidR="00DF17E9" w:rsidRPr="00092971" w:rsidRDefault="00DF17E9" w:rsidP="00044843">
      <w:pPr>
        <w:pStyle w:val="Subheading"/>
        <w:rPr>
          <w:bCs/>
          <w:lang w:val="en-US"/>
        </w:rPr>
      </w:pPr>
      <w:r w:rsidRPr="002F05DE">
        <w:lastRenderedPageBreak/>
        <w:t>Credit quality of financial assets that are neither past due nor impaired</w:t>
      </w:r>
      <w:r w:rsidRPr="007A0115">
        <w:tab/>
      </w:r>
      <w:r w:rsidRPr="007A0115">
        <w:rPr>
          <w:rStyle w:val="TableUnitsChar"/>
        </w:rPr>
        <w:t>($ million)</w:t>
      </w:r>
    </w:p>
    <w:tbl>
      <w:tblPr>
        <w:tblStyle w:val="TableDTFGeneral"/>
        <w:tblW w:w="9637" w:type="dxa"/>
        <w:tblLayout w:type="fixed"/>
        <w:tblLook w:val="02A0" w:firstRow="1" w:lastRow="0" w:firstColumn="1" w:lastColumn="0" w:noHBand="1" w:noVBand="0"/>
      </w:tblPr>
      <w:tblGrid>
        <w:gridCol w:w="5615"/>
        <w:gridCol w:w="1133"/>
        <w:gridCol w:w="1148"/>
        <w:gridCol w:w="966"/>
        <w:gridCol w:w="775"/>
      </w:tblGrid>
      <w:tr w:rsidR="00F7224A" w:rsidRPr="00092971" w:rsidTr="00F7224A">
        <w:trPr>
          <w:cnfStyle w:val="100000000000" w:firstRow="1" w:lastRow="0" w:firstColumn="0" w:lastColumn="0" w:oddVBand="0" w:evenVBand="0" w:oddHBand="0" w:evenHBand="0" w:firstRowFirstColumn="0" w:firstRowLastColumn="0" w:lastRowFirstColumn="0" w:lastRowLastColumn="0"/>
          <w:trHeight w:val="723"/>
          <w:tblHeader/>
        </w:trPr>
        <w:tc>
          <w:tcPr>
            <w:cnfStyle w:val="001000000000" w:firstRow="0" w:lastRow="0" w:firstColumn="1" w:lastColumn="0" w:oddVBand="0" w:evenVBand="0" w:oddHBand="0" w:evenHBand="0" w:firstRowFirstColumn="0" w:firstRowLastColumn="0" w:lastRowFirstColumn="0" w:lastRowLastColumn="0"/>
            <w:tcW w:w="5615" w:type="dxa"/>
          </w:tcPr>
          <w:p w:rsidR="00F7224A" w:rsidRDefault="00F7224A" w:rsidP="00F7224A">
            <w:pPr>
              <w:ind w:left="0" w:firstLine="0"/>
              <w:rPr>
                <w:color w:val="FFFFFF"/>
              </w:rPr>
            </w:pPr>
            <w:r w:rsidRPr="00092971">
              <w:rPr>
                <w:color w:val="FFFFFF"/>
              </w:rPr>
              <w:t>State of Victoria</w:t>
            </w:r>
          </w:p>
          <w:p w:rsidR="00F7224A" w:rsidRPr="00092971" w:rsidRDefault="00F7224A" w:rsidP="00F7224A">
            <w:pPr>
              <w:ind w:left="0" w:firstLine="0"/>
              <w:rPr>
                <w:i w:val="0"/>
                <w:color w:val="FFFFFF"/>
              </w:rPr>
            </w:pPr>
          </w:p>
          <w:p w:rsidR="00F7224A" w:rsidRPr="00092971" w:rsidRDefault="00F7224A" w:rsidP="00F7224A">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1133" w:type="dxa"/>
          </w:tcPr>
          <w:p w:rsidR="00F7224A" w:rsidRPr="00092971" w:rsidRDefault="00F7224A" w:rsidP="00044843">
            <w:pPr>
              <w:rPr>
                <w:color w:val="FFFFFF"/>
              </w:rPr>
            </w:pPr>
            <w:r w:rsidRPr="00092971">
              <w:rPr>
                <w:color w:val="FFFFFF"/>
              </w:rPr>
              <w:t>(triple-A credit rating)</w:t>
            </w:r>
          </w:p>
        </w:tc>
        <w:tc>
          <w:tcPr>
            <w:tcW w:w="1148" w:type="dxa"/>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Other</w:t>
            </w:r>
            <w:r>
              <w:rPr>
                <w:color w:val="FFFFFF"/>
              </w:rPr>
              <w:t xml:space="preserve"> </w:t>
            </w:r>
            <w:r>
              <w:rPr>
                <w:color w:val="FFFFFF"/>
              </w:rPr>
              <w:br/>
            </w:r>
            <w:r w:rsidRPr="00092971">
              <w:rPr>
                <w:color w:val="FFFFFF"/>
              </w:rPr>
              <w:t xml:space="preserve">(min triple-B </w:t>
            </w:r>
          </w:p>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credit rating)</w:t>
            </w:r>
          </w:p>
        </w:tc>
        <w:tc>
          <w:tcPr>
            <w:cnfStyle w:val="000010000000" w:firstRow="0" w:lastRow="0" w:firstColumn="0" w:lastColumn="0" w:oddVBand="1" w:evenVBand="0" w:oddHBand="0" w:evenHBand="0" w:firstRowFirstColumn="0" w:firstRowLastColumn="0" w:lastRowFirstColumn="0" w:lastRowLastColumn="0"/>
            <w:tcW w:w="966" w:type="dxa"/>
          </w:tcPr>
          <w:p w:rsidR="00F7224A" w:rsidRPr="00092971" w:rsidRDefault="00F7224A" w:rsidP="00044843">
            <w:pPr>
              <w:rPr>
                <w:i w:val="0"/>
                <w:color w:val="FFFFFF"/>
              </w:rPr>
            </w:pPr>
            <w:r w:rsidRPr="00092971">
              <w:rPr>
                <w:color w:val="FFFFFF"/>
              </w:rPr>
              <w:t xml:space="preserve"> </w:t>
            </w:r>
          </w:p>
          <w:p w:rsidR="00F7224A" w:rsidRPr="00092971" w:rsidRDefault="00F7224A" w:rsidP="00044843">
            <w:pPr>
              <w:rPr>
                <w:color w:val="FFFFFF"/>
              </w:rPr>
            </w:pPr>
            <w:r w:rsidRPr="00092971">
              <w:rPr>
                <w:color w:val="FFFFFF"/>
              </w:rPr>
              <w:t>Other</w:t>
            </w:r>
          </w:p>
          <w:p w:rsidR="00F7224A" w:rsidRPr="00092971" w:rsidRDefault="00F7224A" w:rsidP="00044843">
            <w:pPr>
              <w:rPr>
                <w:color w:val="FFFFFF"/>
              </w:rPr>
            </w:pPr>
            <w:r w:rsidRPr="00092971">
              <w:rPr>
                <w:color w:val="FFFFFF"/>
              </w:rPr>
              <w:t>(not rated)</w:t>
            </w:r>
          </w:p>
        </w:tc>
        <w:tc>
          <w:tcPr>
            <w:tcW w:w="775" w:type="dxa"/>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 xml:space="preserve"> </w:t>
            </w:r>
          </w:p>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p>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Total</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top w:val="single" w:sz="6" w:space="0" w:color="auto"/>
            </w:tcBorders>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33" w:type="dxa"/>
            <w:tcBorders>
              <w:top w:val="single" w:sz="6" w:space="0" w:color="auto"/>
            </w:tcBorders>
          </w:tcPr>
          <w:p w:rsidR="00DF17E9" w:rsidRPr="00092971" w:rsidRDefault="00DF17E9" w:rsidP="00044843">
            <w:pPr>
              <w:jc w:val="left"/>
              <w:rPr>
                <w:color w:val="FFFFFF"/>
              </w:rPr>
            </w:pPr>
            <w:r w:rsidRPr="00092971">
              <w:rPr>
                <w:color w:val="FFFFFF"/>
              </w:rPr>
              <w:t xml:space="preserve">  </w:t>
            </w:r>
          </w:p>
        </w:tc>
        <w:tc>
          <w:tcPr>
            <w:tcW w:w="1148"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auto"/>
            </w:tcBorders>
          </w:tcPr>
          <w:p w:rsidR="00DF17E9" w:rsidRPr="00092971" w:rsidRDefault="00DF17E9" w:rsidP="00044843">
            <w:pPr>
              <w:jc w:val="left"/>
              <w:rPr>
                <w:color w:val="FFFFFF"/>
              </w:rPr>
            </w:pPr>
            <w:r w:rsidRPr="00092971">
              <w:rPr>
                <w:color w:val="FFFFFF"/>
              </w:rPr>
              <w:t xml:space="preserve">  </w:t>
            </w:r>
          </w:p>
        </w:tc>
        <w:tc>
          <w:tcPr>
            <w:tcW w:w="775"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113" w:hanging="113"/>
              <w:rPr>
                <w:color w:val="000000"/>
              </w:rPr>
            </w:pPr>
            <w:r w:rsidRPr="00092971">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r w:rsidRPr="00092971">
              <w:rPr>
                <w:color w:val="000000"/>
              </w:rPr>
              <w:t>229</w:t>
            </w:r>
          </w:p>
        </w:tc>
        <w:tc>
          <w:tcPr>
            <w:tcW w:w="114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5 885</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r w:rsidRPr="00092971">
              <w:rPr>
                <w:color w:val="000000"/>
              </w:rPr>
              <w:t>562</w:t>
            </w:r>
          </w:p>
        </w:tc>
        <w:tc>
          <w:tcPr>
            <w:tcW w:w="77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6 676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113" w:hanging="113"/>
              <w:rPr>
                <w:color w:val="000000"/>
              </w:rPr>
            </w:pPr>
            <w:r w:rsidRPr="00092971">
              <w:rPr>
                <w:color w:val="000000"/>
              </w:rPr>
              <w:t>Receivables</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r w:rsidRPr="00092971">
              <w:rPr>
                <w:color w:val="000000"/>
              </w:rPr>
              <w:t>44</w:t>
            </w:r>
          </w:p>
        </w:tc>
        <w:tc>
          <w:tcPr>
            <w:tcW w:w="114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506</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pPr>
              <w:rPr>
                <w:color w:val="000000"/>
              </w:rPr>
            </w:pPr>
            <w:r w:rsidRPr="00092971">
              <w:rPr>
                <w:color w:val="000000"/>
              </w:rPr>
              <w:t>1 906</w:t>
            </w:r>
          </w:p>
        </w:tc>
        <w:tc>
          <w:tcPr>
            <w:tcW w:w="77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2 455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113" w:hanging="113"/>
              <w:rPr>
                <w:color w:val="000000"/>
              </w:rPr>
            </w:pPr>
            <w:r w:rsidRPr="00092971">
              <w:rPr>
                <w:color w:val="000000"/>
              </w:rPr>
              <w:t>Advances paid</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r w:rsidRPr="00092971">
              <w:rPr>
                <w:color w:val="000000"/>
              </w:rPr>
              <w:t>27</w:t>
            </w:r>
          </w:p>
        </w:tc>
        <w:tc>
          <w:tcPr>
            <w:tcW w:w="114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r w:rsidRPr="00092971">
              <w:rPr>
                <w:color w:val="000000"/>
              </w:rPr>
              <w:t>121</w:t>
            </w:r>
          </w:p>
        </w:tc>
        <w:tc>
          <w:tcPr>
            <w:tcW w:w="77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bottom w:val="nil"/>
            </w:tcBorders>
          </w:tcPr>
          <w:p w:rsidR="00DF17E9" w:rsidRPr="00092971" w:rsidRDefault="00DF17E9" w:rsidP="00044843">
            <w:pPr>
              <w:ind w:left="113" w:hanging="113"/>
              <w:rPr>
                <w:color w:val="000000"/>
              </w:rPr>
            </w:pPr>
            <w:r w:rsidRPr="00092971">
              <w:rPr>
                <w:color w:val="000000"/>
              </w:rPr>
              <w:t>Term deposits</w:t>
            </w:r>
          </w:p>
        </w:tc>
        <w:tc>
          <w:tcPr>
            <w:cnfStyle w:val="000010000000" w:firstRow="0" w:lastRow="0" w:firstColumn="0" w:lastColumn="0" w:oddVBand="1" w:evenVBand="0" w:oddHBand="0" w:evenHBand="0" w:firstRowFirstColumn="0" w:firstRowLastColumn="0" w:lastRowFirstColumn="0" w:lastRowLastColumn="0"/>
            <w:tcW w:w="1133" w:type="dxa"/>
            <w:tcBorders>
              <w:bottom w:val="nil"/>
            </w:tcBorders>
          </w:tcPr>
          <w:p w:rsidR="00DF17E9" w:rsidRPr="00092971" w:rsidRDefault="00DF17E9" w:rsidP="00044843">
            <w:r w:rsidRPr="00092971">
              <w:rPr>
                <w:color w:val="000000"/>
              </w:rPr>
              <w:t>100</w:t>
            </w:r>
          </w:p>
        </w:tc>
        <w:tc>
          <w:tcPr>
            <w:tcW w:w="114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406</w:t>
            </w:r>
          </w:p>
        </w:tc>
        <w:tc>
          <w:tcPr>
            <w:cnfStyle w:val="000010000000" w:firstRow="0" w:lastRow="0" w:firstColumn="0" w:lastColumn="0" w:oddVBand="1" w:evenVBand="0" w:oddHBand="0" w:evenHBand="0" w:firstRowFirstColumn="0" w:firstRowLastColumn="0" w:lastRowFirstColumn="0" w:lastRowLastColumn="0"/>
            <w:tcW w:w="966" w:type="dxa"/>
            <w:tcBorders>
              <w:bottom w:val="nil"/>
            </w:tcBorders>
          </w:tcPr>
          <w:p w:rsidR="00DF17E9" w:rsidRPr="00092971" w:rsidRDefault="00DF17E9" w:rsidP="00044843">
            <w:r w:rsidRPr="00092971">
              <w:rPr>
                <w:color w:val="000000"/>
              </w:rPr>
              <w:t>7</w:t>
            </w:r>
          </w:p>
        </w:tc>
        <w:tc>
          <w:tcPr>
            <w:tcW w:w="77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512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bottom w:val="single" w:sz="6" w:space="0" w:color="auto"/>
            </w:tcBorders>
          </w:tcPr>
          <w:p w:rsidR="00DF17E9" w:rsidRPr="00092971" w:rsidRDefault="00DF17E9" w:rsidP="00044843">
            <w:pPr>
              <w:ind w:left="113" w:hanging="113"/>
              <w:rPr>
                <w:color w:val="000000"/>
              </w:rPr>
            </w:pPr>
            <w:r w:rsidRPr="00092971">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1133" w:type="dxa"/>
            <w:tcBorders>
              <w:bottom w:val="single" w:sz="6" w:space="0" w:color="auto"/>
            </w:tcBorders>
          </w:tcPr>
          <w:p w:rsidR="00DF17E9" w:rsidRPr="00092971" w:rsidRDefault="00DF17E9" w:rsidP="00044843">
            <w:pPr>
              <w:rPr>
                <w:color w:val="000000"/>
              </w:rPr>
            </w:pPr>
            <w:r w:rsidRPr="00092971">
              <w:rPr>
                <w:color w:val="000000"/>
              </w:rPr>
              <w:t>1 533</w:t>
            </w:r>
          </w:p>
        </w:tc>
        <w:tc>
          <w:tcPr>
            <w:tcW w:w="114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7 784</w:t>
            </w:r>
          </w:p>
        </w:tc>
        <w:tc>
          <w:tcPr>
            <w:cnfStyle w:val="000010000000" w:firstRow="0" w:lastRow="0" w:firstColumn="0" w:lastColumn="0" w:oddVBand="1" w:evenVBand="0" w:oddHBand="0" w:evenHBand="0" w:firstRowFirstColumn="0" w:firstRowLastColumn="0" w:lastRowFirstColumn="0" w:lastRowLastColumn="0"/>
            <w:tcW w:w="966" w:type="dxa"/>
            <w:tcBorders>
              <w:bottom w:val="single" w:sz="6" w:space="0" w:color="auto"/>
            </w:tcBorders>
          </w:tcPr>
          <w:p w:rsidR="00DF17E9" w:rsidRPr="00092971" w:rsidRDefault="00DF17E9" w:rsidP="00044843">
            <w:r w:rsidRPr="00092971">
              <w:rPr>
                <w:color w:val="000000"/>
              </w:rPr>
              <w:t>166</w:t>
            </w:r>
          </w:p>
        </w:tc>
        <w:tc>
          <w:tcPr>
            <w:tcW w:w="77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9 484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1133"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1 932</w:t>
            </w:r>
          </w:p>
        </w:tc>
        <w:tc>
          <w:tcPr>
            <w:tcW w:w="114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14 585</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2 762</w:t>
            </w:r>
          </w:p>
        </w:tc>
        <w:tc>
          <w:tcPr>
            <w:tcW w:w="77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19 279</w:t>
            </w:r>
          </w:p>
        </w:tc>
      </w:tr>
    </w:tbl>
    <w:p w:rsidR="00DF17E9" w:rsidRPr="00092971" w:rsidRDefault="00DF17E9" w:rsidP="00044843">
      <w:pPr>
        <w:pStyle w:val="Note"/>
        <w:rPr>
          <w:b/>
          <w:bCs/>
          <w:i w:val="0"/>
          <w:color w:val="000000"/>
          <w:spacing w:val="4"/>
          <w:sz w:val="17"/>
          <w:lang w:val="en-US"/>
        </w:rPr>
      </w:pPr>
    </w:p>
    <w:tbl>
      <w:tblPr>
        <w:tblStyle w:val="TableDTFGeneral"/>
        <w:tblW w:w="9637" w:type="dxa"/>
        <w:tblLayout w:type="fixed"/>
        <w:tblLook w:val="02A0" w:firstRow="1" w:lastRow="0" w:firstColumn="1" w:lastColumn="0" w:noHBand="1" w:noVBand="0"/>
      </w:tblPr>
      <w:tblGrid>
        <w:gridCol w:w="5615"/>
        <w:gridCol w:w="1133"/>
        <w:gridCol w:w="1148"/>
        <w:gridCol w:w="966"/>
        <w:gridCol w:w="775"/>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pPr>
              <w:rPr>
                <w:color w:val="FFFFFF"/>
              </w:rPr>
            </w:pPr>
            <w:r w:rsidRPr="00092971">
              <w:rPr>
                <w:color w:val="FFFFFF"/>
              </w:rPr>
              <w:t xml:space="preserve">  </w:t>
            </w:r>
          </w:p>
        </w:tc>
        <w:tc>
          <w:tcPr>
            <w:tcW w:w="114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pPr>
              <w:rPr>
                <w:color w:val="FFFFFF"/>
              </w:rPr>
            </w:pPr>
            <w:r w:rsidRPr="00092971">
              <w:rPr>
                <w:color w:val="FFFFFF"/>
              </w:rPr>
              <w:t xml:space="preserve">  </w:t>
            </w:r>
          </w:p>
        </w:tc>
        <w:tc>
          <w:tcPr>
            <w:tcW w:w="775"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0" w:firstLine="0"/>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pPr>
              <w:jc w:val="left"/>
              <w:rPr>
                <w:color w:val="000000"/>
              </w:rPr>
            </w:pPr>
            <w:r w:rsidRPr="00092971">
              <w:rPr>
                <w:color w:val="000000"/>
              </w:rPr>
              <w:t xml:space="preserve">  </w:t>
            </w:r>
          </w:p>
        </w:tc>
        <w:tc>
          <w:tcPr>
            <w:tcW w:w="1148"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pPr>
              <w:jc w:val="left"/>
              <w:rPr>
                <w:color w:val="000000"/>
              </w:rPr>
            </w:pPr>
            <w:r w:rsidRPr="00092971">
              <w:rPr>
                <w:i/>
                <w:color w:val="000000"/>
              </w:rPr>
              <w:t xml:space="preserve">  </w:t>
            </w:r>
          </w:p>
        </w:tc>
        <w:tc>
          <w:tcPr>
            <w:tcW w:w="775"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0" w:firstLine="0"/>
              <w:rPr>
                <w:color w:val="000000"/>
              </w:rPr>
            </w:pPr>
            <w:r w:rsidRPr="00092971">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r w:rsidRPr="00092971">
              <w:rPr>
                <w:color w:val="000000"/>
              </w:rPr>
              <w:t>254</w:t>
            </w:r>
          </w:p>
        </w:tc>
        <w:tc>
          <w:tcPr>
            <w:tcW w:w="114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5 748</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r w:rsidRPr="00092971">
              <w:rPr>
                <w:color w:val="000000"/>
              </w:rPr>
              <w:t>519</w:t>
            </w:r>
          </w:p>
        </w:tc>
        <w:tc>
          <w:tcPr>
            <w:tcW w:w="77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6 521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0" w:firstLine="0"/>
            </w:pPr>
            <w:r w:rsidRPr="00092971">
              <w:rPr>
                <w:color w:val="000000"/>
              </w:rPr>
              <w:t>Receivables</w:t>
            </w:r>
            <w:r w:rsidRPr="00092971">
              <w:rPr>
                <w:color w:val="000000"/>
                <w:vertAlign w:val="superscript"/>
              </w:rPr>
              <w:t xml:space="preserve"> (a</w:t>
            </w: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r w:rsidRPr="00092971">
              <w:rPr>
                <w:color w:val="000000"/>
              </w:rPr>
              <w:t>55</w:t>
            </w:r>
          </w:p>
        </w:tc>
        <w:tc>
          <w:tcPr>
            <w:tcW w:w="114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197</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pPr>
              <w:rPr>
                <w:color w:val="000000"/>
              </w:rPr>
            </w:pPr>
            <w:r w:rsidRPr="00092971">
              <w:rPr>
                <w:color w:val="000000"/>
              </w:rPr>
              <w:t>1 514</w:t>
            </w:r>
          </w:p>
        </w:tc>
        <w:tc>
          <w:tcPr>
            <w:tcW w:w="77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1 766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Pr>
          <w:p w:rsidR="00DF17E9" w:rsidRPr="00092971" w:rsidRDefault="00DF17E9" w:rsidP="00044843">
            <w:pPr>
              <w:ind w:left="0" w:firstLine="0"/>
              <w:rPr>
                <w:color w:val="000000"/>
              </w:rPr>
            </w:pPr>
            <w:r w:rsidRPr="00092971">
              <w:rPr>
                <w:color w:val="000000"/>
              </w:rPr>
              <w:t>Advances paid</w:t>
            </w:r>
          </w:p>
        </w:tc>
        <w:tc>
          <w:tcPr>
            <w:cnfStyle w:val="000010000000" w:firstRow="0" w:lastRow="0" w:firstColumn="0" w:lastColumn="0" w:oddVBand="1" w:evenVBand="0" w:oddHBand="0" w:evenHBand="0" w:firstRowFirstColumn="0" w:firstRowLastColumn="0" w:lastRowFirstColumn="0" w:lastRowLastColumn="0"/>
            <w:tcW w:w="1133" w:type="dxa"/>
          </w:tcPr>
          <w:p w:rsidR="00DF17E9" w:rsidRPr="00092971" w:rsidRDefault="00DF17E9" w:rsidP="00044843">
            <w:r w:rsidRPr="00092971">
              <w:rPr>
                <w:color w:val="000000"/>
              </w:rPr>
              <w:t>41</w:t>
            </w:r>
          </w:p>
        </w:tc>
        <w:tc>
          <w:tcPr>
            <w:tcW w:w="114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66" w:type="dxa"/>
          </w:tcPr>
          <w:p w:rsidR="00DF17E9" w:rsidRPr="00092971" w:rsidRDefault="00DF17E9" w:rsidP="00044843">
            <w:r w:rsidRPr="00092971">
              <w:rPr>
                <w:color w:val="000000"/>
              </w:rPr>
              <w:t>80</w:t>
            </w:r>
          </w:p>
        </w:tc>
        <w:tc>
          <w:tcPr>
            <w:tcW w:w="77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bottom w:val="nil"/>
            </w:tcBorders>
          </w:tcPr>
          <w:p w:rsidR="00DF17E9" w:rsidRPr="00092971" w:rsidRDefault="00DF17E9" w:rsidP="00044843">
            <w:pPr>
              <w:ind w:left="0" w:firstLine="0"/>
              <w:rPr>
                <w:color w:val="000000"/>
              </w:rPr>
            </w:pPr>
            <w:r w:rsidRPr="00092971">
              <w:rPr>
                <w:color w:val="000000"/>
              </w:rPr>
              <w:t>Term deposits</w:t>
            </w:r>
          </w:p>
        </w:tc>
        <w:tc>
          <w:tcPr>
            <w:cnfStyle w:val="000010000000" w:firstRow="0" w:lastRow="0" w:firstColumn="0" w:lastColumn="0" w:oddVBand="1" w:evenVBand="0" w:oddHBand="0" w:evenHBand="0" w:firstRowFirstColumn="0" w:firstRowLastColumn="0" w:lastRowFirstColumn="0" w:lastRowLastColumn="0"/>
            <w:tcW w:w="1133" w:type="dxa"/>
            <w:tcBorders>
              <w:bottom w:val="nil"/>
            </w:tcBorders>
          </w:tcPr>
          <w:p w:rsidR="00DF17E9" w:rsidRPr="00092971" w:rsidRDefault="00DF17E9" w:rsidP="00044843">
            <w:r w:rsidRPr="00092971">
              <w:rPr>
                <w:color w:val="000000"/>
              </w:rPr>
              <w:t>139</w:t>
            </w:r>
          </w:p>
        </w:tc>
        <w:tc>
          <w:tcPr>
            <w:tcW w:w="114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369</w:t>
            </w:r>
          </w:p>
        </w:tc>
        <w:tc>
          <w:tcPr>
            <w:cnfStyle w:val="000010000000" w:firstRow="0" w:lastRow="0" w:firstColumn="0" w:lastColumn="0" w:oddVBand="1" w:evenVBand="0" w:oddHBand="0" w:evenHBand="0" w:firstRowFirstColumn="0" w:firstRowLastColumn="0" w:lastRowFirstColumn="0" w:lastRowLastColumn="0"/>
            <w:tcW w:w="966" w:type="dxa"/>
            <w:tcBorders>
              <w:bottom w:val="nil"/>
            </w:tcBorders>
          </w:tcPr>
          <w:p w:rsidR="00DF17E9" w:rsidRPr="00092971" w:rsidRDefault="00DF17E9" w:rsidP="00044843">
            <w:r w:rsidRPr="00092971">
              <w:rPr>
                <w:color w:val="000000"/>
              </w:rPr>
              <w:t>41</w:t>
            </w:r>
          </w:p>
        </w:tc>
        <w:tc>
          <w:tcPr>
            <w:tcW w:w="77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549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bottom w:val="single" w:sz="6" w:space="0" w:color="auto"/>
            </w:tcBorders>
          </w:tcPr>
          <w:p w:rsidR="00DF17E9" w:rsidRPr="00092971" w:rsidRDefault="00DF17E9" w:rsidP="00044843">
            <w:pPr>
              <w:ind w:left="0" w:firstLine="0"/>
              <w:rPr>
                <w:color w:val="000000"/>
              </w:rPr>
            </w:pPr>
            <w:r w:rsidRPr="00092971">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1133" w:type="dxa"/>
            <w:tcBorders>
              <w:bottom w:val="single" w:sz="6" w:space="0" w:color="auto"/>
            </w:tcBorders>
          </w:tcPr>
          <w:p w:rsidR="00DF17E9" w:rsidRPr="00092971" w:rsidRDefault="00DF17E9" w:rsidP="00044843">
            <w:pPr>
              <w:rPr>
                <w:color w:val="000000"/>
              </w:rPr>
            </w:pPr>
            <w:r w:rsidRPr="00092971">
              <w:rPr>
                <w:color w:val="000000"/>
              </w:rPr>
              <w:t>1 585</w:t>
            </w:r>
          </w:p>
        </w:tc>
        <w:tc>
          <w:tcPr>
            <w:tcW w:w="114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7 309</w:t>
            </w:r>
          </w:p>
        </w:tc>
        <w:tc>
          <w:tcPr>
            <w:cnfStyle w:val="000010000000" w:firstRow="0" w:lastRow="0" w:firstColumn="0" w:lastColumn="0" w:oddVBand="1" w:evenVBand="0" w:oddHBand="0" w:evenHBand="0" w:firstRowFirstColumn="0" w:firstRowLastColumn="0" w:lastRowFirstColumn="0" w:lastRowLastColumn="0"/>
            <w:tcW w:w="966" w:type="dxa"/>
            <w:tcBorders>
              <w:bottom w:val="single" w:sz="6" w:space="0" w:color="auto"/>
            </w:tcBorders>
          </w:tcPr>
          <w:p w:rsidR="00DF17E9" w:rsidRPr="00092971" w:rsidRDefault="00DF17E9" w:rsidP="00044843">
            <w:r w:rsidRPr="00092971">
              <w:rPr>
                <w:color w:val="000000"/>
              </w:rPr>
              <w:t>22</w:t>
            </w:r>
          </w:p>
        </w:tc>
        <w:tc>
          <w:tcPr>
            <w:tcW w:w="77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8 917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15"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 xml:space="preserve">Total financial assets </w:t>
            </w:r>
            <w:r w:rsidRPr="00092971">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33"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2 075</w:t>
            </w:r>
          </w:p>
        </w:tc>
        <w:tc>
          <w:tcPr>
            <w:tcW w:w="114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13 624</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2 177</w:t>
            </w:r>
          </w:p>
        </w:tc>
        <w:tc>
          <w:tcPr>
            <w:tcW w:w="77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17 875</w:t>
            </w:r>
          </w:p>
        </w:tc>
      </w:tr>
    </w:tbl>
    <w:p w:rsidR="00DF17E9" w:rsidRDefault="00DF17E9" w:rsidP="00044843">
      <w:pPr>
        <w:pStyle w:val="Note"/>
      </w:pPr>
      <w:r>
        <w:t>Note:</w:t>
      </w:r>
    </w:p>
    <w:p w:rsidR="00DF17E9" w:rsidRDefault="00DF17E9" w:rsidP="00044843">
      <w:pPr>
        <w:pStyle w:val="Note"/>
        <w:sectPr w:rsidR="00DF17E9" w:rsidSect="00044843">
          <w:type w:val="continuous"/>
          <w:pgSz w:w="11906" w:h="16838" w:code="9"/>
          <w:pgMar w:top="1151" w:right="1151" w:bottom="1151" w:left="1151" w:header="720" w:footer="720" w:gutter="0"/>
          <w:cols w:space="708"/>
          <w:docGrid w:linePitch="360"/>
        </w:sectPr>
      </w:pPr>
      <w:r>
        <w:t>(a)</w:t>
      </w:r>
      <w:r>
        <w:tab/>
      </w:r>
      <w:r w:rsidRPr="00D01011">
        <w:t>June 2015 comparative figures have been restated to reflect an adjustment to Coliban Water’s deferred tax liability balances in the PNFC sector attributable to a change in valuation policy in 2015-16.</w:t>
      </w:r>
    </w:p>
    <w:p w:rsidR="00DF17E9" w:rsidRDefault="00DF17E9" w:rsidP="00D61C6F"/>
    <w:p w:rsidR="00DF17E9" w:rsidRPr="00092971" w:rsidRDefault="00DF17E9" w:rsidP="00044843">
      <w:pPr>
        <w:pStyle w:val="Subheading"/>
        <w:rPr>
          <w:b w:val="0"/>
          <w:bCs/>
          <w:color w:val="000000"/>
          <w:spacing w:val="4"/>
          <w:sz w:val="17"/>
          <w:lang w:val="en-US"/>
        </w:rPr>
      </w:pPr>
      <w:r w:rsidRPr="002F05DE">
        <w:lastRenderedPageBreak/>
        <w:t>Credit quality of financial assets that are neither past due nor impaired</w:t>
      </w:r>
      <w:r>
        <w:t xml:space="preserve"> </w:t>
      </w:r>
      <w:r w:rsidRPr="00FB6390">
        <w:rPr>
          <w:i/>
        </w:rPr>
        <w:t>(continued)</w:t>
      </w:r>
      <w:r w:rsidRPr="007A0115">
        <w:tab/>
      </w:r>
      <w:r w:rsidRPr="007A0115">
        <w:rPr>
          <w:rStyle w:val="TableUnitsChar"/>
        </w:rPr>
        <w:t>($ million</w:t>
      </w:r>
      <w:r>
        <w:rPr>
          <w:rStyle w:val="TableUnitsChar"/>
        </w:rPr>
        <w:t>)</w:t>
      </w:r>
    </w:p>
    <w:tbl>
      <w:tblPr>
        <w:tblStyle w:val="TableDTFGeneral"/>
        <w:tblW w:w="9646" w:type="dxa"/>
        <w:tblLayout w:type="fixed"/>
        <w:tblLook w:val="02A0" w:firstRow="1" w:lastRow="0" w:firstColumn="1" w:lastColumn="0" w:noHBand="1" w:noVBand="0"/>
      </w:tblPr>
      <w:tblGrid>
        <w:gridCol w:w="3921"/>
        <w:gridCol w:w="568"/>
        <w:gridCol w:w="1123"/>
        <w:gridCol w:w="1134"/>
        <w:gridCol w:w="1146"/>
        <w:gridCol w:w="968"/>
        <w:gridCol w:w="786"/>
      </w:tblGrid>
      <w:tr w:rsidR="00F7224A" w:rsidRPr="00092971" w:rsidTr="00F7224A">
        <w:trPr>
          <w:cnfStyle w:val="100000000000" w:firstRow="1" w:lastRow="0" w:firstColumn="0" w:lastColumn="0" w:oddVBand="0" w:evenVBand="0" w:oddHBand="0" w:evenHBand="0" w:firstRowFirstColumn="0" w:firstRowLastColumn="0" w:lastRowFirstColumn="0" w:lastRowLastColumn="0"/>
          <w:trHeight w:val="544"/>
          <w:tblHeader/>
        </w:trPr>
        <w:tc>
          <w:tcPr>
            <w:cnfStyle w:val="001000000000" w:firstRow="0" w:lastRow="0" w:firstColumn="1" w:lastColumn="0" w:oddVBand="0" w:evenVBand="0" w:oddHBand="0" w:evenHBand="0" w:firstRowFirstColumn="0" w:firstRowLastColumn="0" w:lastRowFirstColumn="0" w:lastRowLastColumn="0"/>
            <w:tcW w:w="3921" w:type="dxa"/>
          </w:tcPr>
          <w:p w:rsidR="00F7224A" w:rsidRDefault="00F7224A" w:rsidP="00F7224A">
            <w:pPr>
              <w:ind w:left="0" w:firstLine="0"/>
              <w:rPr>
                <w:color w:val="FFFFFF"/>
              </w:rPr>
            </w:pPr>
            <w:r w:rsidRPr="00092971">
              <w:rPr>
                <w:color w:val="FFFFFF"/>
              </w:rPr>
              <w:t>General government sector</w:t>
            </w:r>
          </w:p>
          <w:p w:rsidR="00F7224A" w:rsidRPr="00092971" w:rsidRDefault="00F7224A" w:rsidP="00F7224A">
            <w:pPr>
              <w:ind w:left="0" w:firstLine="0"/>
              <w:rPr>
                <w:i w:val="0"/>
                <w:color w:val="FFFFFF"/>
              </w:rPr>
            </w:pPr>
          </w:p>
          <w:p w:rsidR="00F7224A" w:rsidRPr="00092971" w:rsidRDefault="00F7224A" w:rsidP="00F7224A">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1691" w:type="dxa"/>
            <w:gridSpan w:val="2"/>
          </w:tcPr>
          <w:p w:rsidR="00F7224A" w:rsidRPr="00092971" w:rsidRDefault="00F7224A" w:rsidP="00F7224A">
            <w:pPr>
              <w:rPr>
                <w:color w:val="FFFFFF"/>
              </w:rPr>
            </w:pPr>
            <w:r w:rsidRPr="00092971">
              <w:rPr>
                <w:color w:val="FFFFFF"/>
              </w:rPr>
              <w:t>Government</w:t>
            </w:r>
            <w:r>
              <w:rPr>
                <w:color w:val="FFFFFF"/>
              </w:rPr>
              <w:t xml:space="preserve"> </w:t>
            </w:r>
            <w:r w:rsidRPr="00092971">
              <w:rPr>
                <w:color w:val="FFFFFF"/>
              </w:rPr>
              <w:t>agencies</w:t>
            </w:r>
            <w:r>
              <w:rPr>
                <w:color w:val="FFFFFF"/>
              </w:rPr>
              <w:t xml:space="preserve"> </w:t>
            </w:r>
            <w:r>
              <w:rPr>
                <w:color w:val="FFFFFF"/>
              </w:rPr>
              <w:br/>
            </w:r>
            <w:r w:rsidRPr="00092971">
              <w:rPr>
                <w:color w:val="FFFFFF"/>
              </w:rPr>
              <w:t xml:space="preserve">(triple-A </w:t>
            </w:r>
            <w:r>
              <w:rPr>
                <w:color w:val="FFFFFF"/>
              </w:rPr>
              <w:br/>
            </w:r>
            <w:r w:rsidRPr="00092971">
              <w:rPr>
                <w:color w:val="FFFFFF"/>
              </w:rPr>
              <w:t>credit</w:t>
            </w:r>
            <w:r>
              <w:rPr>
                <w:color w:val="FFFFFF"/>
              </w:rPr>
              <w:t xml:space="preserve"> r</w:t>
            </w:r>
            <w:r w:rsidRPr="00092971">
              <w:rPr>
                <w:color w:val="FFFFFF"/>
              </w:rPr>
              <w:t>ating)</w:t>
            </w:r>
          </w:p>
        </w:tc>
        <w:tc>
          <w:tcPr>
            <w:tcW w:w="1134" w:type="dxa"/>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(triple-A credit rating)</w:t>
            </w:r>
          </w:p>
        </w:tc>
        <w:tc>
          <w:tcPr>
            <w:cnfStyle w:val="000010000000" w:firstRow="0" w:lastRow="0" w:firstColumn="0" w:lastColumn="0" w:oddVBand="1" w:evenVBand="0" w:oddHBand="0" w:evenHBand="0" w:firstRowFirstColumn="0" w:firstRowLastColumn="0" w:lastRowFirstColumn="0" w:lastRowLastColumn="0"/>
            <w:tcW w:w="1146" w:type="dxa"/>
          </w:tcPr>
          <w:p w:rsidR="00F7224A" w:rsidRPr="00092971" w:rsidRDefault="00F7224A" w:rsidP="00F7224A">
            <w:pPr>
              <w:rPr>
                <w:i w:val="0"/>
                <w:color w:val="FFFFFF"/>
              </w:rPr>
            </w:pPr>
            <w:r w:rsidRPr="00092971">
              <w:rPr>
                <w:color w:val="FFFFFF"/>
              </w:rPr>
              <w:t xml:space="preserve">Other  </w:t>
            </w:r>
          </w:p>
          <w:p w:rsidR="00F7224A" w:rsidRPr="00092971" w:rsidRDefault="00F7224A" w:rsidP="00044843">
            <w:pPr>
              <w:rPr>
                <w:color w:val="FFFFFF"/>
              </w:rPr>
            </w:pPr>
            <w:r w:rsidRPr="00092971">
              <w:rPr>
                <w:color w:val="FFFFFF"/>
              </w:rPr>
              <w:t>(min triple-B credit rating)</w:t>
            </w:r>
          </w:p>
        </w:tc>
        <w:tc>
          <w:tcPr>
            <w:tcW w:w="968" w:type="dxa"/>
          </w:tcPr>
          <w:p w:rsidR="00F7224A"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Pr>
                <w:color w:val="FFFFFF"/>
              </w:rPr>
              <w:t>Other</w:t>
            </w:r>
          </w:p>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(not rated)</w:t>
            </w:r>
          </w:p>
        </w:tc>
        <w:tc>
          <w:tcPr>
            <w:cnfStyle w:val="000010000000" w:firstRow="0" w:lastRow="0" w:firstColumn="0" w:lastColumn="0" w:oddVBand="1" w:evenVBand="0" w:oddHBand="0" w:evenHBand="0" w:firstRowFirstColumn="0" w:firstRowLastColumn="0" w:lastRowFirstColumn="0" w:lastRowLastColumn="0"/>
            <w:tcW w:w="786" w:type="dxa"/>
          </w:tcPr>
          <w:p w:rsidR="00F7224A" w:rsidRPr="00092971" w:rsidRDefault="00F7224A" w:rsidP="00044843">
            <w:pPr>
              <w:rPr>
                <w:color w:val="FFFFFF"/>
              </w:rPr>
            </w:pPr>
            <w:r w:rsidRPr="00092971">
              <w:rPr>
                <w:color w:val="FFFFFF"/>
              </w:rPr>
              <w:t xml:space="preserve">Total </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Borders>
              <w:top w:val="single" w:sz="6" w:space="0" w:color="auto"/>
            </w:tcBorders>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tcBorders>
          </w:tcPr>
          <w:p w:rsidR="00DF17E9" w:rsidRPr="00092971" w:rsidRDefault="00DF17E9" w:rsidP="00044843">
            <w:pPr>
              <w:jc w:val="left"/>
              <w:rPr>
                <w:color w:val="000000"/>
              </w:rPr>
            </w:pPr>
            <w:r w:rsidRPr="00092971">
              <w:rPr>
                <w:color w:val="000000"/>
              </w:rPr>
              <w:t xml:space="preserve">  </w:t>
            </w:r>
          </w:p>
        </w:tc>
        <w:tc>
          <w:tcPr>
            <w:tcW w:w="1134"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46" w:type="dxa"/>
            <w:tcBorders>
              <w:top w:val="single" w:sz="6" w:space="0" w:color="auto"/>
            </w:tcBorders>
          </w:tcPr>
          <w:p w:rsidR="00DF17E9" w:rsidRPr="00092971" w:rsidRDefault="00DF17E9" w:rsidP="00044843">
            <w:pPr>
              <w:jc w:val="left"/>
              <w:rPr>
                <w:color w:val="000000"/>
              </w:rPr>
            </w:pPr>
            <w:r w:rsidRPr="00092971">
              <w:rPr>
                <w:color w:val="000000"/>
              </w:rPr>
              <w:t xml:space="preserve">  </w:t>
            </w:r>
          </w:p>
        </w:tc>
        <w:tc>
          <w:tcPr>
            <w:tcW w:w="968"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786" w:type="dxa"/>
            <w:tcBorders>
              <w:top w:val="single" w:sz="6" w:space="0" w:color="auto"/>
            </w:tcBorders>
          </w:tcPr>
          <w:p w:rsidR="00DF17E9" w:rsidRPr="00092971" w:rsidRDefault="00DF17E9" w:rsidP="00044843">
            <w:pPr>
              <w:jc w:val="left"/>
              <w:rPr>
                <w:color w:val="000000"/>
              </w:rPr>
            </w:pPr>
            <w:r w:rsidRPr="00092971">
              <w:rPr>
                <w:color w:val="000000"/>
              </w:rPr>
              <w:t xml:space="preserve"> </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Pr>
          <w:p w:rsidR="00DF17E9" w:rsidRPr="00092971" w:rsidRDefault="00DF17E9" w:rsidP="00044843">
            <w:pPr>
              <w:ind w:left="113" w:hanging="113"/>
              <w:rPr>
                <w:color w:val="000000"/>
              </w:rPr>
            </w:pPr>
            <w:r w:rsidRPr="00092971">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092971" w:rsidRDefault="00DF17E9" w:rsidP="00044843">
            <w:pPr>
              <w:rPr>
                <w:color w:val="000000"/>
              </w:rPr>
            </w:pPr>
            <w:r w:rsidRPr="00092971">
              <w:rPr>
                <w:color w:val="000000"/>
              </w:rPr>
              <w:t>2 720</w:t>
            </w:r>
          </w:p>
        </w:tc>
        <w:tc>
          <w:tcPr>
            <w:tcW w:w="113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122</w:t>
            </w:r>
          </w:p>
        </w:tc>
        <w:tc>
          <w:tcPr>
            <w:cnfStyle w:val="000010000000" w:firstRow="0" w:lastRow="0" w:firstColumn="0" w:lastColumn="0" w:oddVBand="1" w:evenVBand="0" w:oddHBand="0" w:evenHBand="0" w:firstRowFirstColumn="0" w:firstRowLastColumn="0" w:lastRowFirstColumn="0" w:lastRowLastColumn="0"/>
            <w:tcW w:w="1146" w:type="dxa"/>
          </w:tcPr>
          <w:p w:rsidR="00DF17E9" w:rsidRPr="00092971" w:rsidRDefault="00DF17E9" w:rsidP="00044843">
            <w:pPr>
              <w:rPr>
                <w:color w:val="000000"/>
              </w:rPr>
            </w:pPr>
            <w:r w:rsidRPr="00092971">
              <w:rPr>
                <w:color w:val="000000"/>
              </w:rPr>
              <w:t>1 572</w:t>
            </w:r>
          </w:p>
        </w:tc>
        <w:tc>
          <w:tcPr>
            <w:tcW w:w="96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358</w:t>
            </w:r>
          </w:p>
        </w:tc>
        <w:tc>
          <w:tcPr>
            <w:cnfStyle w:val="000010000000" w:firstRow="0" w:lastRow="0" w:firstColumn="0" w:lastColumn="0" w:oddVBand="1" w:evenVBand="0" w:oddHBand="0" w:evenHBand="0" w:firstRowFirstColumn="0" w:firstRowLastColumn="0" w:lastRowFirstColumn="0" w:lastRowLastColumn="0"/>
            <w:tcW w:w="786" w:type="dxa"/>
          </w:tcPr>
          <w:p w:rsidR="00DF17E9" w:rsidRPr="00092971" w:rsidRDefault="00DF17E9" w:rsidP="00044843">
            <w:pPr>
              <w:rPr>
                <w:color w:val="000000"/>
              </w:rPr>
            </w:pPr>
            <w:r w:rsidRPr="00092971">
              <w:rPr>
                <w:color w:val="000000"/>
              </w:rPr>
              <w:t>4 772</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Pr>
          <w:p w:rsidR="00DF17E9" w:rsidRPr="00092971" w:rsidRDefault="00DF17E9" w:rsidP="00044843">
            <w:pPr>
              <w:ind w:left="113" w:hanging="113"/>
              <w:rPr>
                <w:color w:val="000000"/>
              </w:rPr>
            </w:pPr>
            <w:r w:rsidRPr="00092971">
              <w:rPr>
                <w:color w:val="000000"/>
              </w:rPr>
              <w:t>Receivables</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092971" w:rsidRDefault="00DF17E9" w:rsidP="00044843">
            <w:r w:rsidRPr="00092971">
              <w:rPr>
                <w:color w:val="000000"/>
              </w:rPr>
              <w:t>508</w:t>
            </w:r>
          </w:p>
        </w:tc>
        <w:tc>
          <w:tcPr>
            <w:tcW w:w="113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cnfStyle w:val="000010000000" w:firstRow="0" w:lastRow="0" w:firstColumn="0" w:lastColumn="0" w:oddVBand="1" w:evenVBand="0" w:oddHBand="0" w:evenHBand="0" w:firstRowFirstColumn="0" w:firstRowLastColumn="0" w:lastRowFirstColumn="0" w:lastRowLastColumn="0"/>
            <w:tcW w:w="1146" w:type="dxa"/>
          </w:tcPr>
          <w:p w:rsidR="00DF17E9" w:rsidRPr="00092971" w:rsidRDefault="00DF17E9" w:rsidP="00044843">
            <w:r w:rsidRPr="00092971">
              <w:rPr>
                <w:color w:val="000000"/>
              </w:rPr>
              <w:t>171</w:t>
            </w:r>
          </w:p>
        </w:tc>
        <w:tc>
          <w:tcPr>
            <w:tcW w:w="96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603</w:t>
            </w:r>
          </w:p>
        </w:tc>
        <w:tc>
          <w:tcPr>
            <w:cnfStyle w:val="000010000000" w:firstRow="0" w:lastRow="0" w:firstColumn="0" w:lastColumn="0" w:oddVBand="1" w:evenVBand="0" w:oddHBand="0" w:evenHBand="0" w:firstRowFirstColumn="0" w:firstRowLastColumn="0" w:lastRowFirstColumn="0" w:lastRowLastColumn="0"/>
            <w:tcW w:w="786" w:type="dxa"/>
          </w:tcPr>
          <w:p w:rsidR="00DF17E9" w:rsidRPr="00092971" w:rsidRDefault="00DF17E9" w:rsidP="00044843">
            <w:pPr>
              <w:rPr>
                <w:color w:val="000000"/>
              </w:rPr>
            </w:pPr>
            <w:r w:rsidRPr="00092971">
              <w:rPr>
                <w:color w:val="000000"/>
              </w:rPr>
              <w:t>1 284</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Pr>
          <w:p w:rsidR="00DF17E9" w:rsidRPr="00092971" w:rsidRDefault="00DF17E9" w:rsidP="00044843">
            <w:pPr>
              <w:ind w:left="113" w:hanging="113"/>
              <w:rPr>
                <w:color w:val="000000"/>
              </w:rPr>
            </w:pPr>
            <w:r w:rsidRPr="00092971">
              <w:rPr>
                <w:color w:val="000000"/>
              </w:rPr>
              <w:t>Advances paid</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092971" w:rsidRDefault="00DF17E9" w:rsidP="00044843">
            <w:pPr>
              <w:rPr>
                <w:color w:val="000000"/>
              </w:rPr>
            </w:pPr>
            <w:r w:rsidRPr="00092971">
              <w:rPr>
                <w:color w:val="000000"/>
              </w:rPr>
              <w:t>4 476</w:t>
            </w:r>
          </w:p>
        </w:tc>
        <w:tc>
          <w:tcPr>
            <w:tcW w:w="113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27</w:t>
            </w:r>
          </w:p>
        </w:tc>
        <w:tc>
          <w:tcPr>
            <w:cnfStyle w:val="000010000000" w:firstRow="0" w:lastRow="0" w:firstColumn="0" w:lastColumn="0" w:oddVBand="1" w:evenVBand="0" w:oddHBand="0" w:evenHBand="0" w:firstRowFirstColumn="0" w:firstRowLastColumn="0" w:lastRowFirstColumn="0" w:lastRowLastColumn="0"/>
            <w:tcW w:w="1146" w:type="dxa"/>
          </w:tcPr>
          <w:p w:rsidR="00DF17E9" w:rsidRPr="00092971" w:rsidRDefault="00DF17E9" w:rsidP="00044843">
            <w:r w:rsidRPr="00092971">
              <w:rPr>
                <w:color w:val="000000"/>
              </w:rPr>
              <w:t>5</w:t>
            </w:r>
          </w:p>
        </w:tc>
        <w:tc>
          <w:tcPr>
            <w:tcW w:w="96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75</w:t>
            </w:r>
          </w:p>
        </w:tc>
        <w:tc>
          <w:tcPr>
            <w:cnfStyle w:val="000010000000" w:firstRow="0" w:lastRow="0" w:firstColumn="0" w:lastColumn="0" w:oddVBand="1" w:evenVBand="0" w:oddHBand="0" w:evenHBand="0" w:firstRowFirstColumn="0" w:firstRowLastColumn="0" w:lastRowFirstColumn="0" w:lastRowLastColumn="0"/>
            <w:tcW w:w="786" w:type="dxa"/>
          </w:tcPr>
          <w:p w:rsidR="00DF17E9" w:rsidRPr="00092971" w:rsidRDefault="00DF17E9" w:rsidP="00044843">
            <w:pPr>
              <w:rPr>
                <w:color w:val="000000"/>
              </w:rPr>
            </w:pPr>
            <w:r w:rsidRPr="00092971">
              <w:rPr>
                <w:color w:val="000000"/>
              </w:rPr>
              <w:t>4 582</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Borders>
              <w:bottom w:val="nil"/>
            </w:tcBorders>
          </w:tcPr>
          <w:p w:rsidR="00DF17E9" w:rsidRPr="00092971" w:rsidRDefault="00DF17E9" w:rsidP="00044843">
            <w:pPr>
              <w:ind w:left="113" w:hanging="113"/>
              <w:rPr>
                <w:color w:val="000000"/>
              </w:rPr>
            </w:pPr>
            <w:r w:rsidRPr="00092971">
              <w:rPr>
                <w:color w:val="000000"/>
              </w:rPr>
              <w:t>Term deposits</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092971" w:rsidRDefault="00DF17E9" w:rsidP="00044843">
            <w:pPr>
              <w:rPr>
                <w:color w:val="000000"/>
              </w:rPr>
            </w:pPr>
            <w:r w:rsidRPr="00092971">
              <w:rPr>
                <w:color w:val="000000"/>
              </w:rPr>
              <w:t>1 017</w:t>
            </w:r>
          </w:p>
        </w:tc>
        <w:tc>
          <w:tcPr>
            <w:tcW w:w="1134"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46</w:t>
            </w:r>
          </w:p>
        </w:tc>
        <w:tc>
          <w:tcPr>
            <w:cnfStyle w:val="000010000000" w:firstRow="0" w:lastRow="0" w:firstColumn="0" w:lastColumn="0" w:oddVBand="1" w:evenVBand="0" w:oddHBand="0" w:evenHBand="0" w:firstRowFirstColumn="0" w:firstRowLastColumn="0" w:lastRowFirstColumn="0" w:lastRowLastColumn="0"/>
            <w:tcW w:w="1146" w:type="dxa"/>
            <w:tcBorders>
              <w:bottom w:val="nil"/>
            </w:tcBorders>
          </w:tcPr>
          <w:p w:rsidR="00DF17E9" w:rsidRPr="00092971" w:rsidRDefault="00DF17E9" w:rsidP="00044843">
            <w:r w:rsidRPr="00092971">
              <w:rPr>
                <w:color w:val="000000"/>
              </w:rPr>
              <w:t>394</w:t>
            </w:r>
          </w:p>
        </w:tc>
        <w:tc>
          <w:tcPr>
            <w:tcW w:w="96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786" w:type="dxa"/>
            <w:tcBorders>
              <w:bottom w:val="nil"/>
            </w:tcBorders>
          </w:tcPr>
          <w:p w:rsidR="00DF17E9" w:rsidRPr="00092971" w:rsidRDefault="00DF17E9" w:rsidP="00044843">
            <w:pPr>
              <w:rPr>
                <w:color w:val="000000"/>
              </w:rPr>
            </w:pPr>
            <w:r w:rsidRPr="00092971">
              <w:rPr>
                <w:color w:val="000000"/>
              </w:rPr>
              <w:t>1 462</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Borders>
              <w:bottom w:val="single" w:sz="6" w:space="0" w:color="auto"/>
            </w:tcBorders>
          </w:tcPr>
          <w:p w:rsidR="00DF17E9" w:rsidRPr="00092971" w:rsidRDefault="00DF17E9" w:rsidP="00044843">
            <w:pPr>
              <w:ind w:left="113" w:hanging="113"/>
              <w:rPr>
                <w:color w:val="000000"/>
              </w:rPr>
            </w:pPr>
            <w:r w:rsidRPr="00092971">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092971" w:rsidRDefault="00DF17E9" w:rsidP="00044843">
            <w:pPr>
              <w:rPr>
                <w:color w:val="000000"/>
              </w:rPr>
            </w:pPr>
            <w:r w:rsidRPr="00092971">
              <w:rPr>
                <w:color w:val="000000"/>
              </w:rPr>
              <w:t>..</w:t>
            </w:r>
          </w:p>
        </w:tc>
        <w:tc>
          <w:tcPr>
            <w:tcW w:w="1134"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146" w:type="dxa"/>
            <w:tcBorders>
              <w:bottom w:val="single" w:sz="6" w:space="0" w:color="auto"/>
            </w:tcBorders>
          </w:tcPr>
          <w:p w:rsidR="00DF17E9" w:rsidRPr="00092971" w:rsidRDefault="00DF17E9" w:rsidP="00044843">
            <w:r w:rsidRPr="00092971">
              <w:rPr>
                <w:color w:val="000000"/>
              </w:rPr>
              <w:t>25</w:t>
            </w:r>
          </w:p>
        </w:tc>
        <w:tc>
          <w:tcPr>
            <w:tcW w:w="96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42</w:t>
            </w:r>
          </w:p>
        </w:tc>
        <w:tc>
          <w:tcPr>
            <w:cnfStyle w:val="000010000000" w:firstRow="0" w:lastRow="0" w:firstColumn="0" w:lastColumn="0" w:oddVBand="1" w:evenVBand="0" w:oddHBand="0" w:evenHBand="0" w:firstRowFirstColumn="0" w:firstRowLastColumn="0" w:lastRowFirstColumn="0" w:lastRowLastColumn="0"/>
            <w:tcW w:w="786" w:type="dxa"/>
            <w:tcBorders>
              <w:bottom w:val="single" w:sz="6" w:space="0" w:color="auto"/>
            </w:tcBorders>
          </w:tcPr>
          <w:p w:rsidR="00DF17E9" w:rsidRPr="00092971" w:rsidRDefault="00DF17E9" w:rsidP="00044843">
            <w:r w:rsidRPr="00092971">
              <w:rPr>
                <w:color w:val="000000"/>
              </w:rPr>
              <w:t>67</w:t>
            </w:r>
          </w:p>
        </w:tc>
      </w:tr>
      <w:tr w:rsidR="00DF17E9" w:rsidRPr="00092971" w:rsidTr="00F7224A">
        <w:tc>
          <w:tcPr>
            <w:cnfStyle w:val="001000000000" w:firstRow="0" w:lastRow="0" w:firstColumn="1" w:lastColumn="0" w:oddVBand="0" w:evenVBand="0" w:oddHBand="0" w:evenHBand="0" w:firstRowFirstColumn="0" w:firstRowLastColumn="0" w:lastRowFirstColumn="0" w:lastRowLastColumn="0"/>
            <w:tcW w:w="4489" w:type="dxa"/>
            <w:gridSpan w:val="2"/>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8 721</w:t>
            </w:r>
          </w:p>
        </w:tc>
        <w:tc>
          <w:tcPr>
            <w:tcW w:w="1134"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197</w:t>
            </w:r>
          </w:p>
        </w:tc>
        <w:tc>
          <w:tcPr>
            <w:cnfStyle w:val="000010000000" w:firstRow="0" w:lastRow="0" w:firstColumn="0" w:lastColumn="0" w:oddVBand="1" w:evenVBand="0" w:oddHBand="0" w:evenHBand="0" w:firstRowFirstColumn="0" w:firstRowLastColumn="0" w:lastRowFirstColumn="0" w:lastRowLastColumn="0"/>
            <w:tcW w:w="1146"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2 168</w:t>
            </w:r>
          </w:p>
        </w:tc>
        <w:tc>
          <w:tcPr>
            <w:tcW w:w="96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1 082</w:t>
            </w:r>
          </w:p>
        </w:tc>
        <w:tc>
          <w:tcPr>
            <w:cnfStyle w:val="000010000000" w:firstRow="0" w:lastRow="0" w:firstColumn="0" w:lastColumn="0" w:oddVBand="1" w:evenVBand="0" w:oddHBand="0" w:evenHBand="0" w:firstRowFirstColumn="0" w:firstRowLastColumn="0" w:lastRowFirstColumn="0" w:lastRowLastColumn="0"/>
            <w:tcW w:w="786"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12 167</w:t>
            </w:r>
          </w:p>
        </w:tc>
      </w:tr>
    </w:tbl>
    <w:p w:rsidR="00DF17E9" w:rsidRPr="00092971" w:rsidRDefault="00DF17E9" w:rsidP="00D61C6F">
      <w:pPr>
        <w:rPr>
          <w:rFonts w:asciiTheme="majorHAnsi" w:hAnsiTheme="majorHAnsi"/>
          <w:b/>
          <w:bCs/>
          <w:color w:val="000000"/>
          <w:spacing w:val="4"/>
          <w:sz w:val="17"/>
          <w:lang w:val="en-US"/>
        </w:rPr>
      </w:pPr>
    </w:p>
    <w:tbl>
      <w:tblPr>
        <w:tblStyle w:val="TableDTFGeneral"/>
        <w:tblW w:w="9644" w:type="dxa"/>
        <w:tblLayout w:type="fixed"/>
        <w:tblLook w:val="02A0" w:firstRow="1" w:lastRow="0" w:firstColumn="1" w:lastColumn="0" w:noHBand="1" w:noVBand="0"/>
      </w:tblPr>
      <w:tblGrid>
        <w:gridCol w:w="4495"/>
        <w:gridCol w:w="1120"/>
        <w:gridCol w:w="1133"/>
        <w:gridCol w:w="1148"/>
        <w:gridCol w:w="966"/>
        <w:gridCol w:w="782"/>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95" w:type="dxa"/>
            <w:tcBorders>
              <w:bottom w:val="single" w:sz="6" w:space="0" w:color="auto"/>
            </w:tcBorders>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1120" w:type="dxa"/>
            <w:tcBorders>
              <w:bottom w:val="single" w:sz="6" w:space="0" w:color="auto"/>
            </w:tcBorders>
          </w:tcPr>
          <w:p w:rsidR="00DF17E9" w:rsidRPr="00092971" w:rsidRDefault="00DF17E9" w:rsidP="00044843">
            <w:pPr>
              <w:jc w:val="center"/>
              <w:rPr>
                <w:color w:val="FFFFFF"/>
              </w:rPr>
            </w:pPr>
            <w:r w:rsidRPr="00092971">
              <w:rPr>
                <w:color w:val="FFFFFF"/>
              </w:rPr>
              <w:t xml:space="preserve"> </w:t>
            </w:r>
          </w:p>
        </w:tc>
        <w:tc>
          <w:tcPr>
            <w:tcW w:w="1133" w:type="dxa"/>
            <w:tcBorders>
              <w:bottom w:val="single" w:sz="6" w:space="0" w:color="auto"/>
            </w:tcBorders>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48" w:type="dxa"/>
            <w:tcBorders>
              <w:bottom w:val="single" w:sz="6" w:space="0" w:color="auto"/>
            </w:tcBorders>
          </w:tcPr>
          <w:p w:rsidR="00DF17E9" w:rsidRPr="00092971" w:rsidRDefault="00DF17E9" w:rsidP="00044843">
            <w:pPr>
              <w:jc w:val="center"/>
              <w:rPr>
                <w:color w:val="FFFFFF"/>
              </w:rPr>
            </w:pPr>
            <w:r w:rsidRPr="00092971">
              <w:rPr>
                <w:color w:val="FFFFFF"/>
              </w:rPr>
              <w:t xml:space="preserve"> </w:t>
            </w:r>
          </w:p>
        </w:tc>
        <w:tc>
          <w:tcPr>
            <w:tcW w:w="966" w:type="dxa"/>
            <w:tcBorders>
              <w:bottom w:val="single" w:sz="6" w:space="0" w:color="auto"/>
            </w:tcBorders>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782" w:type="dxa"/>
            <w:tcBorders>
              <w:bottom w:val="single" w:sz="6" w:space="0" w:color="auto"/>
            </w:tcBorders>
          </w:tcPr>
          <w:p w:rsidR="00DF17E9" w:rsidRPr="00092971" w:rsidRDefault="00DF17E9" w:rsidP="00044843">
            <w:pPr>
              <w:jc w:val="center"/>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Borders>
              <w:top w:val="single" w:sz="6" w:space="0" w:color="auto"/>
            </w:tcBorders>
          </w:tcPr>
          <w:p w:rsidR="00DF17E9" w:rsidRPr="00092971" w:rsidRDefault="00DF17E9" w:rsidP="00044843">
            <w:pPr>
              <w:ind w:left="0" w:firstLine="0"/>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20" w:type="dxa"/>
            <w:tcBorders>
              <w:top w:val="single" w:sz="6" w:space="0" w:color="auto"/>
            </w:tcBorders>
          </w:tcPr>
          <w:p w:rsidR="00DF17E9" w:rsidRPr="00092971" w:rsidRDefault="00DF17E9" w:rsidP="00044843">
            <w:pPr>
              <w:jc w:val="left"/>
              <w:rPr>
                <w:color w:val="000000"/>
              </w:rPr>
            </w:pPr>
            <w:r w:rsidRPr="00092971">
              <w:rPr>
                <w:i/>
                <w:color w:val="000000"/>
              </w:rPr>
              <w:t xml:space="preserve"> </w:t>
            </w:r>
          </w:p>
        </w:tc>
        <w:tc>
          <w:tcPr>
            <w:tcW w:w="1133"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48" w:type="dxa"/>
            <w:tcBorders>
              <w:top w:val="single" w:sz="6" w:space="0" w:color="auto"/>
            </w:tcBorders>
          </w:tcPr>
          <w:p w:rsidR="00DF17E9" w:rsidRPr="00092971" w:rsidRDefault="00DF17E9" w:rsidP="00044843">
            <w:pPr>
              <w:jc w:val="left"/>
              <w:rPr>
                <w:color w:val="000000"/>
              </w:rPr>
            </w:pPr>
            <w:r w:rsidRPr="00092971">
              <w:rPr>
                <w:i/>
                <w:color w:val="000000"/>
              </w:rPr>
              <w:t xml:space="preserve"> </w:t>
            </w:r>
          </w:p>
        </w:tc>
        <w:tc>
          <w:tcPr>
            <w:tcW w:w="966"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tcBorders>
          </w:tcPr>
          <w:p w:rsidR="00DF17E9" w:rsidRPr="00092971" w:rsidRDefault="00DF17E9" w:rsidP="00044843">
            <w:pPr>
              <w:jc w:val="left"/>
              <w:rPr>
                <w:color w:val="000000"/>
              </w:rPr>
            </w:pPr>
            <w:r w:rsidRPr="00092971">
              <w:rPr>
                <w:i/>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Pr>
          <w:p w:rsidR="00DF17E9" w:rsidRPr="00092971" w:rsidRDefault="00DF17E9" w:rsidP="00044843">
            <w:pPr>
              <w:ind w:left="0" w:firstLine="0"/>
              <w:rPr>
                <w:color w:val="000000"/>
              </w:rPr>
            </w:pPr>
            <w:r w:rsidRPr="00092971">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1120" w:type="dxa"/>
          </w:tcPr>
          <w:p w:rsidR="00DF17E9" w:rsidRPr="00092971" w:rsidRDefault="00DF17E9" w:rsidP="00044843">
            <w:pPr>
              <w:rPr>
                <w:color w:val="000000"/>
              </w:rPr>
            </w:pPr>
            <w:r w:rsidRPr="00092971">
              <w:rPr>
                <w:color w:val="000000"/>
              </w:rPr>
              <w:t>2 155</w:t>
            </w:r>
          </w:p>
        </w:tc>
        <w:tc>
          <w:tcPr>
            <w:tcW w:w="113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142</w:t>
            </w:r>
          </w:p>
        </w:tc>
        <w:tc>
          <w:tcPr>
            <w:cnfStyle w:val="000010000000" w:firstRow="0" w:lastRow="0" w:firstColumn="0" w:lastColumn="0" w:oddVBand="1" w:evenVBand="0" w:oddHBand="0" w:evenHBand="0" w:firstRowFirstColumn="0" w:firstRowLastColumn="0" w:lastRowFirstColumn="0" w:lastRowLastColumn="0"/>
            <w:tcW w:w="1148" w:type="dxa"/>
          </w:tcPr>
          <w:p w:rsidR="00DF17E9" w:rsidRPr="00092971" w:rsidRDefault="00DF17E9" w:rsidP="00044843">
            <w:pPr>
              <w:rPr>
                <w:color w:val="000000"/>
              </w:rPr>
            </w:pPr>
            <w:r w:rsidRPr="00092971">
              <w:rPr>
                <w:color w:val="000000"/>
              </w:rPr>
              <w:t>1 679</w:t>
            </w:r>
          </w:p>
        </w:tc>
        <w:tc>
          <w:tcPr>
            <w:tcW w:w="96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305</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4 282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Pr>
          <w:p w:rsidR="00DF17E9" w:rsidRPr="00092971" w:rsidRDefault="00DF17E9" w:rsidP="00044843">
            <w:pPr>
              <w:ind w:left="0" w:firstLine="0"/>
              <w:rPr>
                <w:color w:val="000000"/>
              </w:rPr>
            </w:pPr>
            <w:r w:rsidRPr="00092971">
              <w:rPr>
                <w:color w:val="000000"/>
              </w:rPr>
              <w:t>Receivables</w:t>
            </w:r>
          </w:p>
        </w:tc>
        <w:tc>
          <w:tcPr>
            <w:cnfStyle w:val="000010000000" w:firstRow="0" w:lastRow="0" w:firstColumn="0" w:lastColumn="0" w:oddVBand="1" w:evenVBand="0" w:oddHBand="0" w:evenHBand="0" w:firstRowFirstColumn="0" w:firstRowLastColumn="0" w:lastRowFirstColumn="0" w:lastRowLastColumn="0"/>
            <w:tcW w:w="1120" w:type="dxa"/>
          </w:tcPr>
          <w:p w:rsidR="00DF17E9" w:rsidRPr="00092971" w:rsidRDefault="00DF17E9" w:rsidP="00044843">
            <w:r w:rsidRPr="00092971">
              <w:rPr>
                <w:color w:val="000000"/>
              </w:rPr>
              <w:t>785</w:t>
            </w:r>
          </w:p>
        </w:tc>
        <w:tc>
          <w:tcPr>
            <w:tcW w:w="113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22</w:t>
            </w:r>
          </w:p>
        </w:tc>
        <w:tc>
          <w:tcPr>
            <w:cnfStyle w:val="000010000000" w:firstRow="0" w:lastRow="0" w:firstColumn="0" w:lastColumn="0" w:oddVBand="1" w:evenVBand="0" w:oddHBand="0" w:evenHBand="0" w:firstRowFirstColumn="0" w:firstRowLastColumn="0" w:lastRowFirstColumn="0" w:lastRowLastColumn="0"/>
            <w:tcW w:w="1148" w:type="dxa"/>
          </w:tcPr>
          <w:p w:rsidR="00DF17E9" w:rsidRPr="00092971" w:rsidRDefault="00DF17E9" w:rsidP="00044843">
            <w:r w:rsidRPr="00092971">
              <w:rPr>
                <w:color w:val="000000"/>
              </w:rPr>
              <w:t>34</w:t>
            </w:r>
          </w:p>
        </w:tc>
        <w:tc>
          <w:tcPr>
            <w:tcW w:w="96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632</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1 472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Pr>
          <w:p w:rsidR="00DF17E9" w:rsidRPr="00092971" w:rsidRDefault="00DF17E9" w:rsidP="00044843">
            <w:pPr>
              <w:ind w:left="0" w:firstLine="0"/>
              <w:rPr>
                <w:color w:val="000000"/>
              </w:rPr>
            </w:pPr>
            <w:r w:rsidRPr="00092971">
              <w:rPr>
                <w:color w:val="000000"/>
              </w:rPr>
              <w:t>Advances paid</w:t>
            </w:r>
          </w:p>
        </w:tc>
        <w:tc>
          <w:tcPr>
            <w:cnfStyle w:val="000010000000" w:firstRow="0" w:lastRow="0" w:firstColumn="0" w:lastColumn="0" w:oddVBand="1" w:evenVBand="0" w:oddHBand="0" w:evenHBand="0" w:firstRowFirstColumn="0" w:firstRowLastColumn="0" w:lastRowFirstColumn="0" w:lastRowLastColumn="0"/>
            <w:tcW w:w="1120" w:type="dxa"/>
          </w:tcPr>
          <w:p w:rsidR="00DF17E9" w:rsidRPr="00092971" w:rsidRDefault="00DF17E9" w:rsidP="00044843">
            <w:pPr>
              <w:rPr>
                <w:color w:val="000000"/>
              </w:rPr>
            </w:pPr>
            <w:r w:rsidRPr="00092971">
              <w:rPr>
                <w:color w:val="000000"/>
              </w:rPr>
              <w:t>4 532</w:t>
            </w:r>
          </w:p>
        </w:tc>
        <w:tc>
          <w:tcPr>
            <w:tcW w:w="113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w:t>
            </w:r>
          </w:p>
        </w:tc>
        <w:tc>
          <w:tcPr>
            <w:cnfStyle w:val="000010000000" w:firstRow="0" w:lastRow="0" w:firstColumn="0" w:lastColumn="0" w:oddVBand="1" w:evenVBand="0" w:oddHBand="0" w:evenHBand="0" w:firstRowFirstColumn="0" w:firstRowLastColumn="0" w:lastRowFirstColumn="0" w:lastRowLastColumn="0"/>
            <w:tcW w:w="1148" w:type="dxa"/>
          </w:tcPr>
          <w:p w:rsidR="00DF17E9" w:rsidRPr="00092971" w:rsidRDefault="00DF17E9" w:rsidP="00044843">
            <w:pPr>
              <w:rPr>
                <w:color w:val="000000"/>
              </w:rPr>
            </w:pPr>
            <w:r w:rsidRPr="00092971">
              <w:rPr>
                <w:color w:val="000000"/>
              </w:rPr>
              <w:t>..</w:t>
            </w:r>
          </w:p>
        </w:tc>
        <w:tc>
          <w:tcPr>
            <w:tcW w:w="96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31</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4 572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Borders>
              <w:bottom w:val="nil"/>
            </w:tcBorders>
          </w:tcPr>
          <w:p w:rsidR="00DF17E9" w:rsidRPr="00092971" w:rsidRDefault="00DF17E9" w:rsidP="00044843">
            <w:pPr>
              <w:ind w:left="0" w:firstLine="0"/>
              <w:rPr>
                <w:color w:val="000000"/>
              </w:rPr>
            </w:pPr>
            <w:r w:rsidRPr="00092971">
              <w:rPr>
                <w:color w:val="000000"/>
              </w:rPr>
              <w:t>Term deposits</w:t>
            </w:r>
          </w:p>
        </w:tc>
        <w:tc>
          <w:tcPr>
            <w:cnfStyle w:val="000010000000" w:firstRow="0" w:lastRow="0" w:firstColumn="0" w:lastColumn="0" w:oddVBand="1" w:evenVBand="0" w:oddHBand="0" w:evenHBand="0" w:firstRowFirstColumn="0" w:firstRowLastColumn="0" w:lastRowFirstColumn="0" w:lastRowLastColumn="0"/>
            <w:tcW w:w="1120" w:type="dxa"/>
            <w:tcBorders>
              <w:bottom w:val="nil"/>
            </w:tcBorders>
          </w:tcPr>
          <w:p w:rsidR="00DF17E9" w:rsidRPr="00092971" w:rsidRDefault="00DF17E9" w:rsidP="00044843">
            <w:pPr>
              <w:rPr>
                <w:color w:val="000000"/>
              </w:rPr>
            </w:pPr>
            <w:r w:rsidRPr="00092971">
              <w:rPr>
                <w:color w:val="000000"/>
              </w:rPr>
              <w:t>1 665</w:t>
            </w:r>
          </w:p>
        </w:tc>
        <w:tc>
          <w:tcPr>
            <w:tcW w:w="113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79</w:t>
            </w:r>
          </w:p>
        </w:tc>
        <w:tc>
          <w:tcPr>
            <w:cnfStyle w:val="000010000000" w:firstRow="0" w:lastRow="0" w:firstColumn="0" w:lastColumn="0" w:oddVBand="1" w:evenVBand="0" w:oddHBand="0" w:evenHBand="0" w:firstRowFirstColumn="0" w:firstRowLastColumn="0" w:lastRowFirstColumn="0" w:lastRowLastColumn="0"/>
            <w:tcW w:w="1148" w:type="dxa"/>
            <w:tcBorders>
              <w:bottom w:val="nil"/>
            </w:tcBorders>
          </w:tcPr>
          <w:p w:rsidR="00DF17E9" w:rsidRPr="00092971" w:rsidRDefault="00DF17E9" w:rsidP="00044843">
            <w:r w:rsidRPr="00092971">
              <w:rPr>
                <w:color w:val="000000"/>
              </w:rPr>
              <w:t>349</w:t>
            </w:r>
          </w:p>
        </w:tc>
        <w:tc>
          <w:tcPr>
            <w:tcW w:w="966"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36</w:t>
            </w:r>
          </w:p>
        </w:tc>
        <w:tc>
          <w:tcPr>
            <w:cnfStyle w:val="000010000000" w:firstRow="0" w:lastRow="0" w:firstColumn="0" w:lastColumn="0" w:oddVBand="1" w:evenVBand="0" w:oddHBand="0" w:evenHBand="0" w:firstRowFirstColumn="0" w:firstRowLastColumn="0" w:lastRowFirstColumn="0" w:lastRowLastColumn="0"/>
            <w:tcW w:w="782" w:type="dxa"/>
            <w:tcBorders>
              <w:bottom w:val="nil"/>
            </w:tcBorders>
          </w:tcPr>
          <w:p w:rsidR="00DF17E9" w:rsidRPr="00092971" w:rsidRDefault="00DF17E9" w:rsidP="00044843">
            <w:pPr>
              <w:rPr>
                <w:color w:val="000000"/>
              </w:rPr>
            </w:pPr>
            <w:r w:rsidRPr="00092971">
              <w:rPr>
                <w:color w:val="000000"/>
              </w:rPr>
              <w:t>2 130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Borders>
              <w:bottom w:val="single" w:sz="6" w:space="0" w:color="auto"/>
            </w:tcBorders>
          </w:tcPr>
          <w:p w:rsidR="00DF17E9" w:rsidRPr="00092971" w:rsidRDefault="00DF17E9" w:rsidP="00044843">
            <w:pPr>
              <w:ind w:left="0" w:firstLine="0"/>
              <w:rPr>
                <w:color w:val="000000"/>
              </w:rPr>
            </w:pPr>
            <w:r w:rsidRPr="00092971">
              <w:rPr>
                <w:color w:val="000000"/>
              </w:rPr>
              <w:t>Debt securities</w:t>
            </w:r>
          </w:p>
        </w:tc>
        <w:tc>
          <w:tcPr>
            <w:cnfStyle w:val="000010000000" w:firstRow="0" w:lastRow="0" w:firstColumn="0" w:lastColumn="0" w:oddVBand="1" w:evenVBand="0" w:oddHBand="0" w:evenHBand="0" w:firstRowFirstColumn="0" w:firstRowLastColumn="0" w:lastRowFirstColumn="0" w:lastRowLastColumn="0"/>
            <w:tcW w:w="1120" w:type="dxa"/>
            <w:tcBorders>
              <w:bottom w:val="single" w:sz="6" w:space="0" w:color="auto"/>
            </w:tcBorders>
          </w:tcPr>
          <w:p w:rsidR="00DF17E9" w:rsidRPr="00092971" w:rsidRDefault="00DF17E9" w:rsidP="00044843">
            <w:pPr>
              <w:rPr>
                <w:color w:val="000000"/>
              </w:rPr>
            </w:pPr>
            <w:r w:rsidRPr="00092971">
              <w:rPr>
                <w:color w:val="000000"/>
              </w:rPr>
              <w:t>..</w:t>
            </w:r>
          </w:p>
        </w:tc>
        <w:tc>
          <w:tcPr>
            <w:tcW w:w="113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148" w:type="dxa"/>
            <w:tcBorders>
              <w:bottom w:val="single" w:sz="6" w:space="0" w:color="auto"/>
            </w:tcBorders>
          </w:tcPr>
          <w:p w:rsidR="00DF17E9" w:rsidRPr="00092971" w:rsidRDefault="00DF17E9" w:rsidP="00044843">
            <w:r w:rsidRPr="00092971">
              <w:rPr>
                <w:color w:val="000000"/>
              </w:rPr>
              <w:t>41</w:t>
            </w:r>
          </w:p>
        </w:tc>
        <w:tc>
          <w:tcPr>
            <w:tcW w:w="966"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782" w:type="dxa"/>
            <w:tcBorders>
              <w:bottom w:val="single" w:sz="6" w:space="0" w:color="auto"/>
            </w:tcBorders>
          </w:tcPr>
          <w:p w:rsidR="00DF17E9" w:rsidRPr="00092971" w:rsidRDefault="00DF17E9" w:rsidP="00044843">
            <w:r w:rsidRPr="00092971">
              <w:rPr>
                <w:color w:val="000000"/>
              </w:rPr>
              <w:t>41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95"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1120"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9 137</w:t>
            </w:r>
          </w:p>
        </w:tc>
        <w:tc>
          <w:tcPr>
            <w:tcW w:w="113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252</w:t>
            </w:r>
          </w:p>
        </w:tc>
        <w:tc>
          <w:tcPr>
            <w:cnfStyle w:val="000010000000" w:firstRow="0" w:lastRow="0" w:firstColumn="0" w:lastColumn="0" w:oddVBand="1" w:evenVBand="0" w:oddHBand="0" w:evenHBand="0" w:firstRowFirstColumn="0" w:firstRowLastColumn="0" w:lastRowFirstColumn="0" w:lastRowLastColumn="0"/>
            <w:tcW w:w="1148"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2 103</w:t>
            </w:r>
          </w:p>
        </w:tc>
        <w:tc>
          <w:tcPr>
            <w:tcW w:w="96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1 004</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12 497</w:t>
            </w:r>
          </w:p>
        </w:tc>
      </w:tr>
    </w:tbl>
    <w:p w:rsidR="00DF17E9" w:rsidRDefault="00DF17E9" w:rsidP="00D61C6F"/>
    <w:p w:rsidR="00DF17E9" w:rsidRDefault="00DF17E9" w:rsidP="00D61C6F">
      <w:pPr>
        <w:sectPr w:rsidR="00DF17E9" w:rsidSect="00044843">
          <w:type w:val="continuous"/>
          <w:pgSz w:w="11906" w:h="16838" w:code="9"/>
          <w:pgMar w:top="1134" w:right="1134" w:bottom="1134" w:left="1134" w:header="624" w:footer="567" w:gutter="0"/>
          <w:cols w:space="708"/>
          <w:docGrid w:linePitch="360"/>
        </w:sectPr>
      </w:pPr>
    </w:p>
    <w:p w:rsidR="00DF17E9" w:rsidRPr="00F80598" w:rsidRDefault="00DF17E9" w:rsidP="002F70BC">
      <w:pPr>
        <w:pStyle w:val="Heading3"/>
        <w:tabs>
          <w:tab w:val="right" w:pos="14742"/>
        </w:tabs>
        <w:spacing w:before="0"/>
      </w:pPr>
      <w:r w:rsidRPr="00F80598">
        <w:lastRenderedPageBreak/>
        <w:t>Liquidity risk</w:t>
      </w:r>
    </w:p>
    <w:p w:rsidR="00DF17E9" w:rsidRPr="00613E4C" w:rsidRDefault="00DF17E9" w:rsidP="00DD16DA">
      <w:r w:rsidRPr="00613E4C">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rsidR="00DF17E9" w:rsidRPr="00DA115D" w:rsidRDefault="00DF17E9" w:rsidP="00044843">
      <w:pPr>
        <w:rPr>
          <w:i/>
          <w:spacing w:val="-2"/>
        </w:rPr>
      </w:pPr>
      <w:r w:rsidRPr="00DA115D">
        <w:rPr>
          <w:i/>
          <w:spacing w:val="-2"/>
        </w:rPr>
        <w:t>Short</w:t>
      </w:r>
      <w:r w:rsidRPr="00DA115D">
        <w:rPr>
          <w:i/>
          <w:spacing w:val="-2"/>
        </w:rPr>
        <w:noBreakHyphen/>
        <w:t>term liquidity management and control</w:t>
      </w:r>
    </w:p>
    <w:p w:rsidR="00DF17E9" w:rsidRPr="00613E4C" w:rsidRDefault="00DF17E9" w:rsidP="00DD16DA">
      <w:r w:rsidRPr="00613E4C">
        <w:t>The State’s central treasury, TCV, is responsible for ensuring that the State’s liquidity requirements can be met at all times.</w:t>
      </w:r>
    </w:p>
    <w:p w:rsidR="00DF17E9" w:rsidRPr="00613E4C" w:rsidRDefault="00DF17E9" w:rsidP="00DD16DA">
      <w:r w:rsidRPr="006A75A2">
        <w:t xml:space="preserve">TCV </w:t>
      </w:r>
      <w:r>
        <w:t>has</w:t>
      </w:r>
      <w:r w:rsidRPr="006A75A2">
        <w:t xml:space="preserve"> an enhanced liquidity policy </w:t>
      </w:r>
      <w:r w:rsidRPr="00613E4C">
        <w:t>to assist the Government to manage the whole of Victorian government liquidity strategy and improve TCV’s operational and medium to long</w:t>
      </w:r>
      <w:r w:rsidRPr="00613E4C">
        <w:noBreakHyphen/>
        <w:t>term liquidity management. The policy introduced daily measurement of the whole of Victorian government liquidity ratio</w:t>
      </w:r>
      <w:r>
        <w:t>,</w:t>
      </w:r>
      <w:r w:rsidRPr="00613E4C">
        <w:t xml:space="preserve"> which measures TCV’s liquid assets (after discounting to reflect potential loss of value in the event of a quick sale) versus 12 months of debt and interest obligations.</w:t>
      </w:r>
    </w:p>
    <w:p w:rsidR="00DF17E9" w:rsidRDefault="00DF17E9" w:rsidP="00DD16DA">
      <w:r w:rsidRPr="00AA2DA8">
        <w:t xml:space="preserve">The policy also </w:t>
      </w:r>
      <w:r>
        <w:t>measures</w:t>
      </w:r>
      <w:r w:rsidRPr="00613E4C">
        <w:t xml:space="preserve"> </w:t>
      </w:r>
      <w:r>
        <w:t xml:space="preserve">the </w:t>
      </w:r>
      <w:r w:rsidRPr="00613E4C">
        <w:t xml:space="preserve">daily ‘going concern’ net and cumulative cash flow limits to manage short-term liquidity exposures during normal </w:t>
      </w:r>
    </w:p>
    <w:p w:rsidR="00DF17E9" w:rsidRPr="00613E4C" w:rsidRDefault="00DF17E9" w:rsidP="00DD16DA">
      <w:r w:rsidRPr="00613E4C">
        <w:lastRenderedPageBreak/>
        <w:t>operating liquidity conditions and the monitoring of ‘going concern’ and ‘liquidity stress’ scenario cash flows out to 12 months.</w:t>
      </w:r>
    </w:p>
    <w:p w:rsidR="00DF17E9" w:rsidRPr="0015499E" w:rsidRDefault="00DF17E9" w:rsidP="00DD16DA">
      <w:r w:rsidRPr="00613E4C">
        <w:t xml:space="preserve">As at 30 </w:t>
      </w:r>
      <w:r w:rsidRPr="0015499E">
        <w:t>June 2016, the whole of Victorian government liquidity ratio stood at 114 per cent against a limit of 80 per cent (125 per cent against a limit of 80 per cent in 2015).</w:t>
      </w:r>
    </w:p>
    <w:p w:rsidR="00DF17E9" w:rsidRPr="00DA115D" w:rsidRDefault="00DF17E9" w:rsidP="00DD16DA">
      <w:pPr>
        <w:rPr>
          <w:i/>
          <w:spacing w:val="-2"/>
        </w:rPr>
      </w:pPr>
      <w:r w:rsidRPr="0015499E">
        <w:rPr>
          <w:i/>
          <w:spacing w:val="-2"/>
        </w:rPr>
        <w:t>Long</w:t>
      </w:r>
      <w:r w:rsidRPr="0015499E">
        <w:rPr>
          <w:i/>
          <w:spacing w:val="-2"/>
        </w:rPr>
        <w:noBreakHyphen/>
        <w:t>term liquidity management monitoring</w:t>
      </w:r>
    </w:p>
    <w:p w:rsidR="00DF17E9" w:rsidRPr="00613E4C" w:rsidRDefault="00DF17E9" w:rsidP="00DD16DA">
      <w:r w:rsidRPr="00613E4C">
        <w:t>The State’s policy on long</w:t>
      </w:r>
      <w:r w:rsidRPr="00613E4C">
        <w:noBreakHyphen/>
        <w:t>term management of liquidity primarily focuses on the diversification of funding sources and maturities.</w:t>
      </w:r>
    </w:p>
    <w:p w:rsidR="00DF17E9" w:rsidRPr="00DA115D" w:rsidRDefault="00DF17E9" w:rsidP="00DD16DA">
      <w:pPr>
        <w:rPr>
          <w:i/>
          <w:spacing w:val="-2"/>
        </w:rPr>
      </w:pPr>
      <w:r w:rsidRPr="00DA115D">
        <w:rPr>
          <w:i/>
          <w:spacing w:val="-2"/>
        </w:rPr>
        <w:t>Managing a liquidity crisis</w:t>
      </w:r>
    </w:p>
    <w:p w:rsidR="00DF17E9" w:rsidRDefault="00DF17E9" w:rsidP="00DD16DA">
      <w:r w:rsidRPr="00613E4C">
        <w:t>In the event of a liquidity crisis, the State has in place liquidity crisis management plans to manage liquidity conditions. The liquidity crisis management plans are a set of protocols established to respond to specific conditions during a crisis.</w:t>
      </w:r>
    </w:p>
    <w:p w:rsidR="00DF17E9" w:rsidRPr="00230A6B" w:rsidRDefault="00DF17E9" w:rsidP="00044843">
      <w:pPr>
        <w:rPr>
          <w:rFonts w:asciiTheme="majorHAnsi" w:hAnsiTheme="majorHAnsi"/>
          <w:b/>
          <w:spacing w:val="-2"/>
        </w:rPr>
      </w:pPr>
      <w:r w:rsidRPr="00230A6B">
        <w:rPr>
          <w:rFonts w:asciiTheme="majorHAnsi" w:hAnsiTheme="majorHAnsi"/>
          <w:b/>
          <w:spacing w:val="-2"/>
        </w:rPr>
        <w:t>Maturity analysis of financial liabilities</w:t>
      </w:r>
    </w:p>
    <w:p w:rsidR="00DF17E9" w:rsidRPr="00613E4C" w:rsidRDefault="00DF17E9" w:rsidP="00DD16DA">
      <w:r w:rsidRPr="006A75A2">
        <w:t>Disclosed are details of the State</w:t>
      </w:r>
      <w:r>
        <w:t>’</w:t>
      </w:r>
      <w:r w:rsidRPr="006A75A2">
        <w:t>s maturity analysis for its derivative and non</w:t>
      </w:r>
      <w:r>
        <w:noBreakHyphen/>
      </w:r>
      <w:r w:rsidRPr="006A75A2">
        <w:t>derivative financial liabilities. The table includes both interest and principal cash flows, and has been based on the undiscounted cash flows of financial liabilities based on the earliest date on which the State may be required to pay.</w:t>
      </w:r>
    </w:p>
    <w:p w:rsidR="00DF17E9" w:rsidRDefault="00DF17E9" w:rsidP="00D61C6F">
      <w:r>
        <w:br w:type="page"/>
      </w:r>
    </w:p>
    <w:p w:rsidR="00DF17E9" w:rsidRDefault="00DF17E9" w:rsidP="00D61C6F">
      <w:pPr>
        <w:sectPr w:rsidR="00DF17E9" w:rsidSect="00044843">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bCs/>
          <w:lang w:val="en-US"/>
        </w:rPr>
      </w:pPr>
      <w:r w:rsidRPr="008C63F4">
        <w:lastRenderedPageBreak/>
        <w:t>Undiscounted maturity analysis of financial liabilities</w:t>
      </w:r>
      <w:r>
        <w:t xml:space="preserve"> </w:t>
      </w:r>
      <w:r>
        <w:tab/>
      </w:r>
      <w:r w:rsidRPr="00D61C6F">
        <w:rPr>
          <w:rStyle w:val="TableUnitsChar"/>
        </w:rPr>
        <w:t>($ million)</w:t>
      </w:r>
    </w:p>
    <w:tbl>
      <w:tblPr>
        <w:tblStyle w:val="TableDTFGeneral"/>
        <w:tblW w:w="9637" w:type="dxa"/>
        <w:tblLayout w:type="fixed"/>
        <w:tblLook w:val="02A0" w:firstRow="1" w:lastRow="0" w:firstColumn="1" w:lastColumn="0" w:noHBand="1" w:noVBand="0"/>
      </w:tblPr>
      <w:tblGrid>
        <w:gridCol w:w="3573"/>
        <w:gridCol w:w="782"/>
        <w:gridCol w:w="919"/>
        <w:gridCol w:w="992"/>
        <w:gridCol w:w="851"/>
        <w:gridCol w:w="850"/>
        <w:gridCol w:w="851"/>
        <w:gridCol w:w="819"/>
      </w:tblGrid>
      <w:tr w:rsidR="00F7224A"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vMerge w:val="restart"/>
          </w:tcPr>
          <w:p w:rsidR="00F7224A" w:rsidRDefault="00F7224A" w:rsidP="00F7224A">
            <w:pPr>
              <w:ind w:left="0" w:firstLine="0"/>
              <w:rPr>
                <w:color w:val="FFFFFF"/>
              </w:rPr>
            </w:pPr>
            <w:r w:rsidRPr="00092971">
              <w:rPr>
                <w:color w:val="FFFFFF"/>
              </w:rPr>
              <w:t>State of Victoria</w:t>
            </w:r>
          </w:p>
          <w:p w:rsidR="00F7224A" w:rsidRPr="00092971" w:rsidRDefault="00F7224A" w:rsidP="00F7224A">
            <w:pPr>
              <w:ind w:left="0" w:firstLine="0"/>
              <w:rPr>
                <w:i w:val="0"/>
                <w:color w:val="FFFFFF"/>
              </w:rPr>
            </w:pPr>
          </w:p>
          <w:p w:rsidR="00F7224A" w:rsidRPr="00092971" w:rsidRDefault="00F7224A" w:rsidP="00F7224A">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782" w:type="dxa"/>
            <w:vMerge w:val="restart"/>
          </w:tcPr>
          <w:p w:rsidR="00F7224A" w:rsidRPr="00092971" w:rsidRDefault="00F7224A" w:rsidP="00044843">
            <w:pPr>
              <w:rPr>
                <w:i w:val="0"/>
                <w:color w:val="FFFFFF"/>
              </w:rPr>
            </w:pPr>
            <w:r w:rsidRPr="00092971">
              <w:rPr>
                <w:color w:val="FFFFFF"/>
              </w:rPr>
              <w:t xml:space="preserve"> </w:t>
            </w:r>
          </w:p>
          <w:p w:rsidR="00F7224A" w:rsidRPr="00092971" w:rsidRDefault="00F7224A" w:rsidP="00F7224A">
            <w:pPr>
              <w:rPr>
                <w:color w:val="FFFFFF"/>
              </w:rPr>
            </w:pPr>
            <w:r w:rsidRPr="00092971">
              <w:rPr>
                <w:color w:val="FFFFFF"/>
              </w:rPr>
              <w:t>Carrying</w:t>
            </w:r>
            <w:r>
              <w:rPr>
                <w:color w:val="FFFFFF"/>
              </w:rPr>
              <w:t xml:space="preserve"> </w:t>
            </w:r>
            <w:r w:rsidRPr="00092971">
              <w:rPr>
                <w:color w:val="FFFFFF"/>
              </w:rPr>
              <w:t>amount</w:t>
            </w:r>
          </w:p>
        </w:tc>
        <w:tc>
          <w:tcPr>
            <w:tcW w:w="919" w:type="dxa"/>
            <w:vMerge w:val="restart"/>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092971">
              <w:rPr>
                <w:color w:val="FFFFFF"/>
              </w:rPr>
              <w:t xml:space="preserve"> </w:t>
            </w:r>
          </w:p>
          <w:p w:rsidR="00F7224A" w:rsidRPr="00092971" w:rsidRDefault="00F7224A" w:rsidP="00F7224A">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Nominal</w:t>
            </w:r>
            <w:r>
              <w:rPr>
                <w:color w:val="FFFFFF"/>
              </w:rPr>
              <w:t xml:space="preserve"> </w:t>
            </w:r>
            <w:r w:rsidRPr="00092971">
              <w:rPr>
                <w:color w:val="FFFFFF"/>
              </w:rPr>
              <w:t>amount</w:t>
            </w:r>
            <w:r w:rsidRPr="00092971">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4363" w:type="dxa"/>
            <w:gridSpan w:val="5"/>
            <w:tcBorders>
              <w:bottom w:val="single" w:sz="6" w:space="0" w:color="FFFFFF" w:themeColor="background1"/>
            </w:tcBorders>
          </w:tcPr>
          <w:p w:rsidR="00F7224A" w:rsidRPr="00092971" w:rsidRDefault="00F7224A" w:rsidP="00F7224A">
            <w:pPr>
              <w:jc w:val="center"/>
              <w:rPr>
                <w:color w:val="FFFFFF"/>
              </w:rPr>
            </w:pPr>
            <w:r w:rsidRPr="00092971">
              <w:rPr>
                <w:color w:val="FFFFFF"/>
              </w:rPr>
              <w:t>Contractual maturity</w:t>
            </w:r>
          </w:p>
        </w:tc>
      </w:tr>
      <w:tr w:rsidR="00F7224A"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vMerge/>
            <w:tcBorders>
              <w:bottom w:val="single" w:sz="6" w:space="0" w:color="auto"/>
            </w:tcBorders>
          </w:tcPr>
          <w:p w:rsidR="00F7224A" w:rsidRPr="00092971" w:rsidRDefault="00F7224A"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782" w:type="dxa"/>
            <w:vMerge/>
            <w:tcBorders>
              <w:bottom w:val="single" w:sz="6" w:space="0" w:color="auto"/>
            </w:tcBorders>
          </w:tcPr>
          <w:p w:rsidR="00F7224A" w:rsidRPr="00092971" w:rsidRDefault="00F7224A" w:rsidP="00044843">
            <w:pPr>
              <w:rPr>
                <w:color w:val="FFFFFF"/>
              </w:rPr>
            </w:pPr>
          </w:p>
        </w:tc>
        <w:tc>
          <w:tcPr>
            <w:tcW w:w="919" w:type="dxa"/>
            <w:vMerge/>
            <w:tcBorders>
              <w:bottom w:val="single" w:sz="6" w:space="0" w:color="auto"/>
            </w:tcBorders>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FFFFFF" w:themeColor="background1"/>
              <w:bottom w:val="single" w:sz="6" w:space="0" w:color="auto"/>
            </w:tcBorders>
          </w:tcPr>
          <w:p w:rsidR="00F7224A" w:rsidRPr="00092971" w:rsidRDefault="00F7224A" w:rsidP="00044843">
            <w:pPr>
              <w:rPr>
                <w:color w:val="FFFFFF"/>
              </w:rPr>
            </w:pPr>
            <w:r w:rsidRPr="00092971">
              <w:rPr>
                <w:color w:val="FFFFFF"/>
              </w:rPr>
              <w:t>0-3 months</w:t>
            </w:r>
          </w:p>
        </w:tc>
        <w:tc>
          <w:tcPr>
            <w:tcW w:w="851" w:type="dxa"/>
            <w:tcBorders>
              <w:top w:val="single" w:sz="6" w:space="0" w:color="FFFFFF" w:themeColor="background1"/>
              <w:bottom w:val="single" w:sz="6" w:space="0" w:color="auto"/>
            </w:tcBorders>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3 months</w:t>
            </w:r>
            <w:r>
              <w:rPr>
                <w:color w:val="FFFFFF"/>
              </w:rPr>
              <w:t>-</w:t>
            </w:r>
          </w:p>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1 year</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FFFFFF" w:themeColor="background1"/>
              <w:bottom w:val="single" w:sz="6" w:space="0" w:color="auto"/>
            </w:tcBorders>
          </w:tcPr>
          <w:p w:rsidR="00F7224A" w:rsidRPr="00092971" w:rsidRDefault="00F7224A" w:rsidP="00044843">
            <w:pPr>
              <w:rPr>
                <w:color w:val="FFFFFF"/>
              </w:rPr>
            </w:pPr>
            <w:r w:rsidRPr="00092971">
              <w:rPr>
                <w:color w:val="FFFFFF"/>
              </w:rPr>
              <w:t>1-2 years</w:t>
            </w:r>
          </w:p>
        </w:tc>
        <w:tc>
          <w:tcPr>
            <w:tcW w:w="851" w:type="dxa"/>
            <w:tcBorders>
              <w:top w:val="single" w:sz="6" w:space="0" w:color="FFFFFF" w:themeColor="background1"/>
              <w:bottom w:val="single" w:sz="6" w:space="0" w:color="auto"/>
            </w:tcBorders>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2-5 years</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FFFFFF" w:themeColor="background1"/>
              <w:bottom w:val="single" w:sz="6" w:space="0" w:color="auto"/>
            </w:tcBorders>
          </w:tcPr>
          <w:p w:rsidR="00F7224A" w:rsidRPr="00092971" w:rsidRDefault="00F7224A" w:rsidP="00044843">
            <w:pPr>
              <w:rPr>
                <w:color w:val="FFFFFF"/>
              </w:rPr>
            </w:pPr>
            <w:r w:rsidRPr="00092971">
              <w:rPr>
                <w:color w:val="FFFFFF"/>
              </w:rPr>
              <w:t>5+ years</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rsidR="00DF17E9" w:rsidRPr="00092971" w:rsidRDefault="00DF17E9" w:rsidP="00044843">
            <w:pPr>
              <w:ind w:left="0" w:firstLine="0"/>
              <w:rPr>
                <w:color w:val="000000"/>
              </w:rPr>
            </w:pPr>
            <w:r w:rsidRPr="00092971">
              <w:rPr>
                <w:color w:val="000000"/>
              </w:rPr>
              <w:t>Payables, deposits held and advances received</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tcBorders>
          </w:tcPr>
          <w:p w:rsidR="00DF17E9" w:rsidRPr="00092971" w:rsidRDefault="00DF17E9" w:rsidP="00044843">
            <w:pPr>
              <w:rPr>
                <w:color w:val="000000"/>
              </w:rPr>
            </w:pPr>
            <w:r w:rsidRPr="00092971">
              <w:rPr>
                <w:color w:val="000000"/>
              </w:rPr>
              <w:t>7 059</w:t>
            </w:r>
          </w:p>
        </w:tc>
        <w:tc>
          <w:tcPr>
            <w:tcW w:w="919"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7 075</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092971" w:rsidRDefault="00DF17E9" w:rsidP="00044843">
            <w:pPr>
              <w:rPr>
                <w:color w:val="000000"/>
              </w:rPr>
            </w:pPr>
            <w:r w:rsidRPr="00092971">
              <w:rPr>
                <w:color w:val="000000"/>
              </w:rPr>
              <w:t>6 422</w:t>
            </w:r>
          </w:p>
        </w:tc>
        <w:tc>
          <w:tcPr>
            <w:tcW w:w="85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459</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092971" w:rsidRDefault="00DF17E9" w:rsidP="00044843">
            <w:r w:rsidRPr="00092971">
              <w:rPr>
                <w:color w:val="000000"/>
              </w:rPr>
              <w:t>47</w:t>
            </w:r>
          </w:p>
        </w:tc>
        <w:tc>
          <w:tcPr>
            <w:tcW w:w="85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auto"/>
            </w:tcBorders>
          </w:tcPr>
          <w:p w:rsidR="00DF17E9" w:rsidRPr="00092971" w:rsidRDefault="00DF17E9" w:rsidP="00044843">
            <w:r w:rsidRPr="00092971">
              <w:rPr>
                <w:color w:val="000000"/>
              </w:rPr>
              <w:t>140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b/>
                <w:color w:val="000000"/>
              </w:rPr>
              <w:t>Interest-bearing liabilities: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 xml:space="preserve"> </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42 873</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47 696</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1 750</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5 112</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4 820</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14 893</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21 120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r w:rsidRPr="00092971">
              <w:rPr>
                <w:color w:val="000000"/>
              </w:rPr>
              <w:t>242</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243</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r w:rsidRPr="00092971">
              <w:rPr>
                <w:color w:val="000000"/>
              </w:rPr>
              <w:t>15</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70</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r w:rsidRPr="00092971">
              <w:rPr>
                <w:color w:val="000000"/>
              </w:rPr>
              <w:t>3</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r w:rsidRPr="00092971">
              <w:rPr>
                <w:color w:val="000000"/>
              </w:rPr>
              <w:t>147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092971" w:rsidRDefault="00DF17E9" w:rsidP="00044843">
            <w:pPr>
              <w:ind w:left="0" w:firstLine="0"/>
              <w:rPr>
                <w:color w:val="000000"/>
              </w:rPr>
            </w:pPr>
            <w:r w:rsidRPr="00092971">
              <w:rPr>
                <w:color w:val="000000"/>
              </w:rPr>
              <w:t xml:space="preserve">Finance lease liabilities </w:t>
            </w:r>
          </w:p>
        </w:tc>
        <w:tc>
          <w:tcPr>
            <w:cnfStyle w:val="000010000000" w:firstRow="0" w:lastRow="0" w:firstColumn="0" w:lastColumn="0" w:oddVBand="1" w:evenVBand="0" w:oddHBand="0" w:evenHBand="0" w:firstRowFirstColumn="0" w:firstRowLastColumn="0" w:lastRowFirstColumn="0" w:lastRowLastColumn="0"/>
            <w:tcW w:w="782" w:type="dxa"/>
            <w:tcBorders>
              <w:bottom w:val="nil"/>
            </w:tcBorders>
          </w:tcPr>
          <w:p w:rsidR="00DF17E9" w:rsidRPr="00092971" w:rsidRDefault="00DF17E9" w:rsidP="00044843">
            <w:pPr>
              <w:rPr>
                <w:color w:val="000000"/>
              </w:rPr>
            </w:pPr>
            <w:r w:rsidRPr="00092971">
              <w:rPr>
                <w:color w:val="000000"/>
              </w:rPr>
              <w:t>9 640</w:t>
            </w:r>
          </w:p>
        </w:tc>
        <w:tc>
          <w:tcPr>
            <w:tcW w:w="91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20 837</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r w:rsidRPr="00092971">
              <w:rPr>
                <w:color w:val="000000"/>
              </w:rPr>
              <w:t>81</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465</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092971" w:rsidRDefault="00DF17E9" w:rsidP="00044843">
            <w:r w:rsidRPr="00092971">
              <w:rPr>
                <w:color w:val="000000"/>
              </w:rPr>
              <w:t>648</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1 886</w:t>
            </w:r>
          </w:p>
        </w:tc>
        <w:tc>
          <w:tcPr>
            <w:cnfStyle w:val="000010000000" w:firstRow="0" w:lastRow="0" w:firstColumn="0" w:lastColumn="0" w:oddVBand="1" w:evenVBand="0" w:oddHBand="0" w:evenHBand="0" w:firstRowFirstColumn="0" w:firstRowLastColumn="0" w:lastRowFirstColumn="0" w:lastRowLastColumn="0"/>
            <w:tcW w:w="819" w:type="dxa"/>
            <w:tcBorders>
              <w:bottom w:val="nil"/>
            </w:tcBorders>
          </w:tcPr>
          <w:p w:rsidR="00DF17E9" w:rsidRPr="00092971" w:rsidRDefault="00DF17E9" w:rsidP="00044843">
            <w:pPr>
              <w:rPr>
                <w:color w:val="000000"/>
              </w:rPr>
            </w:pPr>
            <w:r w:rsidRPr="00092971">
              <w:rPr>
                <w:color w:val="000000"/>
              </w:rPr>
              <w:t>17 758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092971" w:rsidRDefault="00DF17E9" w:rsidP="00044843">
            <w:pPr>
              <w:ind w:left="0" w:firstLine="0"/>
              <w:rPr>
                <w:color w:val="000000"/>
              </w:rPr>
            </w:pPr>
            <w:r w:rsidRPr="00092971">
              <w:rPr>
                <w:color w:val="000000"/>
              </w:rPr>
              <w:t>Derivative financial liabilities</w:t>
            </w:r>
          </w:p>
        </w:tc>
        <w:tc>
          <w:tcPr>
            <w:cnfStyle w:val="000010000000" w:firstRow="0" w:lastRow="0" w:firstColumn="0" w:lastColumn="0" w:oddVBand="1" w:evenVBand="0" w:oddHBand="0" w:evenHBand="0" w:firstRowFirstColumn="0" w:firstRowLastColumn="0" w:lastRowFirstColumn="0" w:lastRowLastColumn="0"/>
            <w:tcW w:w="782" w:type="dxa"/>
            <w:tcBorders>
              <w:bottom w:val="single" w:sz="6" w:space="0" w:color="auto"/>
            </w:tcBorders>
          </w:tcPr>
          <w:p w:rsidR="00DF17E9" w:rsidRPr="00092971" w:rsidRDefault="00DF17E9" w:rsidP="00044843">
            <w:pPr>
              <w:rPr>
                <w:color w:val="000000"/>
              </w:rPr>
            </w:pPr>
            <w:r w:rsidRPr="00092971">
              <w:rPr>
                <w:color w:val="000000"/>
              </w:rPr>
              <w:t>1 205</w:t>
            </w:r>
          </w:p>
        </w:tc>
        <w:tc>
          <w:tcPr>
            <w:tcW w:w="91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1 152</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r w:rsidRPr="00092971">
              <w:rPr>
                <w:color w:val="000000"/>
              </w:rPr>
              <w:t>274</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132</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092971" w:rsidRDefault="00DF17E9" w:rsidP="00044843">
            <w:r w:rsidRPr="00092971">
              <w:rPr>
                <w:color w:val="000000"/>
              </w:rPr>
              <w:t>112</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287</w:t>
            </w:r>
          </w:p>
        </w:tc>
        <w:tc>
          <w:tcPr>
            <w:cnfStyle w:val="000010000000" w:firstRow="0" w:lastRow="0" w:firstColumn="0" w:lastColumn="0" w:oddVBand="1" w:evenVBand="0" w:oddHBand="0" w:evenHBand="0" w:firstRowFirstColumn="0" w:firstRowLastColumn="0" w:lastRowFirstColumn="0" w:lastRowLastColumn="0"/>
            <w:tcW w:w="819" w:type="dxa"/>
            <w:tcBorders>
              <w:bottom w:val="single" w:sz="6" w:space="0" w:color="auto"/>
            </w:tcBorders>
          </w:tcPr>
          <w:p w:rsidR="00DF17E9" w:rsidRPr="00092971" w:rsidRDefault="00DF17E9" w:rsidP="00044843">
            <w:r w:rsidRPr="00092971">
              <w:rPr>
                <w:color w:val="000000"/>
              </w:rPr>
              <w:t>347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61 019</w:t>
            </w:r>
          </w:p>
        </w:tc>
        <w:tc>
          <w:tcPr>
            <w:tcW w:w="91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77 004</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8 542</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6 239</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5 630</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17 081</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39 513</w:t>
            </w:r>
          </w:p>
        </w:tc>
      </w:tr>
    </w:tbl>
    <w:p w:rsidR="00DF17E9" w:rsidRPr="00092971" w:rsidRDefault="00DF17E9" w:rsidP="00044843">
      <w:pPr>
        <w:rPr>
          <w:rFonts w:asciiTheme="majorHAnsi" w:hAnsiTheme="majorHAnsi"/>
          <w:b/>
          <w:bCs/>
          <w:color w:val="000000"/>
          <w:spacing w:val="4"/>
          <w:sz w:val="17"/>
          <w:lang w:val="en-US"/>
        </w:rPr>
      </w:pPr>
    </w:p>
    <w:tbl>
      <w:tblPr>
        <w:tblStyle w:val="TableDTFGeneral"/>
        <w:tblW w:w="9637" w:type="dxa"/>
        <w:tblLayout w:type="fixed"/>
        <w:tblLook w:val="02A0" w:firstRow="1" w:lastRow="0" w:firstColumn="1" w:lastColumn="0" w:noHBand="1" w:noVBand="0"/>
      </w:tblPr>
      <w:tblGrid>
        <w:gridCol w:w="3573"/>
        <w:gridCol w:w="782"/>
        <w:gridCol w:w="919"/>
        <w:gridCol w:w="992"/>
        <w:gridCol w:w="851"/>
        <w:gridCol w:w="850"/>
        <w:gridCol w:w="851"/>
        <w:gridCol w:w="819"/>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jc w:val="left"/>
              <w:rPr>
                <w:color w:val="FFFFFF"/>
              </w:rPr>
            </w:pPr>
            <w:r w:rsidRPr="00092971">
              <w:rPr>
                <w:color w:val="FFFFFF"/>
              </w:rPr>
              <w:t xml:space="preserve"> </w:t>
            </w:r>
          </w:p>
        </w:tc>
        <w:tc>
          <w:tcPr>
            <w:tcW w:w="919"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jc w:val="left"/>
              <w:rPr>
                <w:color w:val="FFFFFF"/>
              </w:rPr>
            </w:pPr>
            <w:r w:rsidRPr="00092971">
              <w:rPr>
                <w:color w:val="FFFFFF"/>
              </w:rPr>
              <w:t xml:space="preserve"> </w:t>
            </w:r>
          </w:p>
        </w:tc>
        <w:tc>
          <w:tcPr>
            <w:tcW w:w="851"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jc w:val="left"/>
              <w:rPr>
                <w:color w:val="FFFFFF"/>
              </w:rPr>
            </w:pPr>
            <w:r w:rsidRPr="00092971">
              <w:rPr>
                <w:color w:val="FFFFFF"/>
              </w:rPr>
              <w:t xml:space="preserve">  </w:t>
            </w:r>
          </w:p>
        </w:tc>
        <w:tc>
          <w:tcPr>
            <w:tcW w:w="851"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jc w:val="left"/>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Payables, deposits held and advances received</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6 559</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6 150</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5 611</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338</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r w:rsidRPr="00092971">
              <w:rPr>
                <w:color w:val="000000"/>
              </w:rPr>
              <w:t>42</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84</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r w:rsidRPr="00092971">
              <w:rPr>
                <w:color w:val="000000"/>
              </w:rPr>
              <w:t>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b/>
                <w:color w:val="000000"/>
              </w:rPr>
              <w:t>Interest-bearing liabilities: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 xml:space="preserve"> </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41 960</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48 779</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1 886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4 379</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4 763</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18 391</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19 359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r w:rsidRPr="00092971">
              <w:rPr>
                <w:color w:val="000000"/>
              </w:rPr>
              <w:t>119</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146</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r w:rsidRPr="00092971">
              <w:rPr>
                <w:color w:val="000000"/>
              </w:rPr>
              <w:t>15</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r w:rsidRPr="00092971">
              <w:rPr>
                <w:color w:val="000000"/>
              </w:rPr>
              <w:t>2</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r w:rsidRPr="00092971">
              <w:rPr>
                <w:color w:val="000000"/>
              </w:rPr>
              <w:t>121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092971" w:rsidRDefault="00DF17E9" w:rsidP="00044843">
            <w:pPr>
              <w:ind w:left="0" w:firstLine="0"/>
              <w:rPr>
                <w:color w:val="000000"/>
              </w:rPr>
            </w:pPr>
            <w:r w:rsidRPr="00092971">
              <w:rPr>
                <w:color w:val="000000"/>
              </w:rPr>
              <w:t>Finance lease liabilities</w:t>
            </w:r>
          </w:p>
        </w:tc>
        <w:tc>
          <w:tcPr>
            <w:cnfStyle w:val="000010000000" w:firstRow="0" w:lastRow="0" w:firstColumn="0" w:lastColumn="0" w:oddVBand="1" w:evenVBand="0" w:oddHBand="0" w:evenHBand="0" w:firstRowFirstColumn="0" w:firstRowLastColumn="0" w:lastRowFirstColumn="0" w:lastRowLastColumn="0"/>
            <w:tcW w:w="782" w:type="dxa"/>
            <w:tcBorders>
              <w:bottom w:val="nil"/>
            </w:tcBorders>
          </w:tcPr>
          <w:p w:rsidR="00DF17E9" w:rsidRPr="00092971" w:rsidRDefault="00DF17E9" w:rsidP="00044843">
            <w:pPr>
              <w:rPr>
                <w:color w:val="000000"/>
              </w:rPr>
            </w:pPr>
            <w:r w:rsidRPr="00092971">
              <w:rPr>
                <w:color w:val="000000"/>
              </w:rPr>
              <w:t>8 760</w:t>
            </w:r>
          </w:p>
        </w:tc>
        <w:tc>
          <w:tcPr>
            <w:tcW w:w="91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20 477</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r w:rsidRPr="00092971">
              <w:rPr>
                <w:color w:val="000000"/>
              </w:rPr>
              <w:t>224</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717</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092971" w:rsidRDefault="00DF17E9" w:rsidP="00044843">
            <w:r w:rsidRPr="00092971">
              <w:rPr>
                <w:color w:val="000000"/>
              </w:rPr>
              <w:t>930</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3 042</w:t>
            </w:r>
          </w:p>
        </w:tc>
        <w:tc>
          <w:tcPr>
            <w:cnfStyle w:val="000010000000" w:firstRow="0" w:lastRow="0" w:firstColumn="0" w:lastColumn="0" w:oddVBand="1" w:evenVBand="0" w:oddHBand="0" w:evenHBand="0" w:firstRowFirstColumn="0" w:firstRowLastColumn="0" w:lastRowFirstColumn="0" w:lastRowLastColumn="0"/>
            <w:tcW w:w="819" w:type="dxa"/>
            <w:tcBorders>
              <w:bottom w:val="nil"/>
            </w:tcBorders>
          </w:tcPr>
          <w:p w:rsidR="00DF17E9" w:rsidRPr="00092971" w:rsidRDefault="00DF17E9" w:rsidP="00044843">
            <w:pPr>
              <w:rPr>
                <w:color w:val="000000"/>
              </w:rPr>
            </w:pPr>
            <w:r w:rsidRPr="00092971">
              <w:rPr>
                <w:color w:val="000000"/>
              </w:rPr>
              <w:t>15 563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092971" w:rsidRDefault="00DF17E9" w:rsidP="00044843">
            <w:pPr>
              <w:ind w:left="0" w:firstLine="0"/>
              <w:rPr>
                <w:color w:val="000000"/>
              </w:rPr>
            </w:pPr>
            <w:r w:rsidRPr="00092971">
              <w:rPr>
                <w:color w:val="000000"/>
              </w:rPr>
              <w:t>Derivative financial liabilities</w:t>
            </w:r>
          </w:p>
        </w:tc>
        <w:tc>
          <w:tcPr>
            <w:cnfStyle w:val="000010000000" w:firstRow="0" w:lastRow="0" w:firstColumn="0" w:lastColumn="0" w:oddVBand="1" w:evenVBand="0" w:oddHBand="0" w:evenHBand="0" w:firstRowFirstColumn="0" w:firstRowLastColumn="0" w:lastRowFirstColumn="0" w:lastRowLastColumn="0"/>
            <w:tcW w:w="782" w:type="dxa"/>
            <w:tcBorders>
              <w:bottom w:val="single" w:sz="6" w:space="0" w:color="auto"/>
            </w:tcBorders>
          </w:tcPr>
          <w:p w:rsidR="00DF17E9" w:rsidRPr="00092971" w:rsidRDefault="00DF17E9" w:rsidP="00044843">
            <w:r w:rsidRPr="00092971">
              <w:rPr>
                <w:color w:val="000000"/>
              </w:rPr>
              <w:t>848</w:t>
            </w:r>
          </w:p>
        </w:tc>
        <w:tc>
          <w:tcPr>
            <w:tcW w:w="91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826</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r w:rsidRPr="00092971">
              <w:rPr>
                <w:color w:val="000000"/>
              </w:rPr>
              <w:t>179</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142</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092971" w:rsidRDefault="00DF17E9" w:rsidP="00044843">
            <w:r w:rsidRPr="00092971">
              <w:rPr>
                <w:color w:val="000000"/>
              </w:rPr>
              <w:t>105</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170</w:t>
            </w:r>
          </w:p>
        </w:tc>
        <w:tc>
          <w:tcPr>
            <w:cnfStyle w:val="000010000000" w:firstRow="0" w:lastRow="0" w:firstColumn="0" w:lastColumn="0" w:oddVBand="1" w:evenVBand="0" w:oddHBand="0" w:evenHBand="0" w:firstRowFirstColumn="0" w:firstRowLastColumn="0" w:lastRowFirstColumn="0" w:lastRowLastColumn="0"/>
            <w:tcW w:w="819" w:type="dxa"/>
            <w:tcBorders>
              <w:bottom w:val="single" w:sz="6" w:space="0" w:color="auto"/>
            </w:tcBorders>
          </w:tcPr>
          <w:p w:rsidR="00DF17E9" w:rsidRPr="00092971" w:rsidRDefault="00DF17E9" w:rsidP="00044843">
            <w:r w:rsidRPr="00092971">
              <w:rPr>
                <w:color w:val="000000"/>
              </w:rPr>
              <w:t>231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58 246</w:t>
            </w:r>
          </w:p>
        </w:tc>
        <w:tc>
          <w:tcPr>
            <w:tcW w:w="91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76 378</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7 914</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5 578</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5 843</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21 693</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35 349</w:t>
            </w:r>
          </w:p>
        </w:tc>
      </w:tr>
    </w:tbl>
    <w:p w:rsidR="00DF17E9" w:rsidRPr="00092971" w:rsidRDefault="00DF17E9" w:rsidP="00044843">
      <w:pPr>
        <w:pStyle w:val="Note"/>
        <w:rPr>
          <w:b/>
          <w:bCs/>
          <w:i w:val="0"/>
          <w:color w:val="000000"/>
          <w:spacing w:val="4"/>
          <w:sz w:val="17"/>
          <w:lang w:val="en-US"/>
        </w:rPr>
      </w:pPr>
    </w:p>
    <w:tbl>
      <w:tblPr>
        <w:tblStyle w:val="TableDTFGeneral"/>
        <w:tblW w:w="9637" w:type="dxa"/>
        <w:tblLayout w:type="fixed"/>
        <w:tblLook w:val="02A0" w:firstRow="1" w:lastRow="0" w:firstColumn="1" w:lastColumn="0" w:noHBand="1" w:noVBand="0"/>
      </w:tblPr>
      <w:tblGrid>
        <w:gridCol w:w="3573"/>
        <w:gridCol w:w="782"/>
        <w:gridCol w:w="919"/>
        <w:gridCol w:w="992"/>
        <w:gridCol w:w="851"/>
        <w:gridCol w:w="850"/>
        <w:gridCol w:w="851"/>
        <w:gridCol w:w="819"/>
      </w:tblGrid>
      <w:tr w:rsidR="00F7224A"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vMerge w:val="restart"/>
          </w:tcPr>
          <w:p w:rsidR="00F7224A" w:rsidRDefault="00F7224A" w:rsidP="00F7224A">
            <w:pPr>
              <w:ind w:left="0" w:firstLine="0"/>
              <w:rPr>
                <w:color w:val="FFFFFF"/>
              </w:rPr>
            </w:pPr>
            <w:r>
              <w:rPr>
                <w:color w:val="FFFFFF"/>
              </w:rPr>
              <w:t>General government sector</w:t>
            </w:r>
          </w:p>
          <w:p w:rsidR="00F7224A" w:rsidRPr="00092971" w:rsidRDefault="00F7224A" w:rsidP="00F7224A">
            <w:pPr>
              <w:ind w:left="0" w:firstLine="0"/>
              <w:rPr>
                <w:color w:val="FFFFFF"/>
              </w:rPr>
            </w:pPr>
          </w:p>
          <w:p w:rsidR="00F7224A" w:rsidRPr="00092971" w:rsidRDefault="00F7224A" w:rsidP="00F7224A">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782" w:type="dxa"/>
            <w:vMerge w:val="restart"/>
          </w:tcPr>
          <w:p w:rsidR="00F7224A" w:rsidRPr="00092971" w:rsidRDefault="00F7224A" w:rsidP="00F7224A">
            <w:pPr>
              <w:rPr>
                <w:color w:val="FFFFFF"/>
              </w:rPr>
            </w:pPr>
            <w:r w:rsidRPr="00092971">
              <w:rPr>
                <w:color w:val="FFFFFF"/>
              </w:rPr>
              <w:t>Carrying</w:t>
            </w:r>
            <w:r>
              <w:rPr>
                <w:color w:val="FFFFFF"/>
              </w:rPr>
              <w:t xml:space="preserve"> </w:t>
            </w:r>
            <w:r w:rsidRPr="00092971">
              <w:rPr>
                <w:color w:val="FFFFFF"/>
              </w:rPr>
              <w:t>amount</w:t>
            </w:r>
          </w:p>
        </w:tc>
        <w:tc>
          <w:tcPr>
            <w:tcW w:w="919" w:type="dxa"/>
            <w:vMerge w:val="restart"/>
          </w:tcPr>
          <w:p w:rsidR="00F7224A" w:rsidRPr="00092971" w:rsidRDefault="00F7224A" w:rsidP="00F7224A">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Nominal</w:t>
            </w:r>
            <w:r>
              <w:rPr>
                <w:color w:val="FFFFFF"/>
              </w:rPr>
              <w:t xml:space="preserve"> </w:t>
            </w:r>
            <w:r w:rsidRPr="00092971">
              <w:rPr>
                <w:color w:val="FFFFFF"/>
              </w:rPr>
              <w:t xml:space="preserve">amount </w:t>
            </w:r>
            <w:r w:rsidRPr="00092971">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4363" w:type="dxa"/>
            <w:gridSpan w:val="5"/>
            <w:tcBorders>
              <w:bottom w:val="single" w:sz="6" w:space="0" w:color="FFFFFF" w:themeColor="background1"/>
            </w:tcBorders>
          </w:tcPr>
          <w:p w:rsidR="00F7224A" w:rsidRPr="00092971" w:rsidRDefault="00F7224A" w:rsidP="00F7224A">
            <w:pPr>
              <w:jc w:val="center"/>
              <w:rPr>
                <w:color w:val="FFFFFF"/>
              </w:rPr>
            </w:pPr>
            <w:r w:rsidRPr="00092971">
              <w:rPr>
                <w:color w:val="FFFFFF"/>
              </w:rPr>
              <w:t>Contractual maturity</w:t>
            </w:r>
          </w:p>
        </w:tc>
      </w:tr>
      <w:tr w:rsidR="00F7224A"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vMerge/>
            <w:tcBorders>
              <w:bottom w:val="single" w:sz="6" w:space="0" w:color="auto"/>
            </w:tcBorders>
          </w:tcPr>
          <w:p w:rsidR="00F7224A" w:rsidRPr="00092971" w:rsidRDefault="00F7224A"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782" w:type="dxa"/>
            <w:vMerge/>
            <w:tcBorders>
              <w:bottom w:val="single" w:sz="6" w:space="0" w:color="auto"/>
            </w:tcBorders>
          </w:tcPr>
          <w:p w:rsidR="00F7224A" w:rsidRPr="00092971" w:rsidRDefault="00F7224A" w:rsidP="00044843">
            <w:pPr>
              <w:rPr>
                <w:color w:val="FFFFFF"/>
              </w:rPr>
            </w:pPr>
          </w:p>
        </w:tc>
        <w:tc>
          <w:tcPr>
            <w:tcW w:w="919" w:type="dxa"/>
            <w:vMerge/>
            <w:tcBorders>
              <w:bottom w:val="single" w:sz="6" w:space="0" w:color="auto"/>
            </w:tcBorders>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FFFFFF" w:themeColor="background1"/>
              <w:bottom w:val="single" w:sz="6" w:space="0" w:color="auto"/>
            </w:tcBorders>
          </w:tcPr>
          <w:p w:rsidR="00F7224A" w:rsidRPr="00092971" w:rsidRDefault="00F7224A" w:rsidP="00044843">
            <w:pPr>
              <w:rPr>
                <w:color w:val="FFFFFF"/>
              </w:rPr>
            </w:pPr>
            <w:r w:rsidRPr="00092971">
              <w:rPr>
                <w:color w:val="FFFFFF"/>
              </w:rPr>
              <w:t>0-3 months</w:t>
            </w:r>
          </w:p>
        </w:tc>
        <w:tc>
          <w:tcPr>
            <w:tcW w:w="851" w:type="dxa"/>
            <w:tcBorders>
              <w:top w:val="single" w:sz="6" w:space="0" w:color="FFFFFF" w:themeColor="background1"/>
              <w:bottom w:val="single" w:sz="6" w:space="0" w:color="auto"/>
            </w:tcBorders>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3 months</w:t>
            </w:r>
            <w:r>
              <w:rPr>
                <w:color w:val="FFFFFF"/>
              </w:rPr>
              <w:t>-</w:t>
            </w:r>
          </w:p>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1 year</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FFFFFF" w:themeColor="background1"/>
              <w:bottom w:val="single" w:sz="6" w:space="0" w:color="auto"/>
            </w:tcBorders>
          </w:tcPr>
          <w:p w:rsidR="00F7224A" w:rsidRPr="00092971" w:rsidRDefault="00F7224A" w:rsidP="00044843">
            <w:pPr>
              <w:rPr>
                <w:color w:val="FFFFFF"/>
              </w:rPr>
            </w:pPr>
            <w:r w:rsidRPr="00092971">
              <w:rPr>
                <w:color w:val="FFFFFF"/>
              </w:rPr>
              <w:t>1-2 years</w:t>
            </w:r>
          </w:p>
        </w:tc>
        <w:tc>
          <w:tcPr>
            <w:tcW w:w="851" w:type="dxa"/>
            <w:tcBorders>
              <w:top w:val="single" w:sz="6" w:space="0" w:color="FFFFFF" w:themeColor="background1"/>
              <w:bottom w:val="single" w:sz="6" w:space="0" w:color="auto"/>
            </w:tcBorders>
          </w:tcPr>
          <w:p w:rsidR="00F7224A" w:rsidRPr="00092971" w:rsidRDefault="00F7224A"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2-5 years</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FFFFFF" w:themeColor="background1"/>
              <w:bottom w:val="single" w:sz="6" w:space="0" w:color="auto"/>
            </w:tcBorders>
          </w:tcPr>
          <w:p w:rsidR="00F7224A" w:rsidRPr="00092971" w:rsidRDefault="00F7224A" w:rsidP="00044843">
            <w:pPr>
              <w:rPr>
                <w:color w:val="FFFFFF"/>
              </w:rPr>
            </w:pPr>
            <w:r w:rsidRPr="00092971">
              <w:rPr>
                <w:color w:val="FFFFFF"/>
              </w:rPr>
              <w:t>5+ years</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rsidR="00DF17E9" w:rsidRPr="00092971" w:rsidRDefault="00DF17E9" w:rsidP="00044843">
            <w:pPr>
              <w:ind w:left="0" w:firstLine="0"/>
              <w:rPr>
                <w:color w:val="000000"/>
              </w:rPr>
            </w:pPr>
            <w:r w:rsidRPr="00092971">
              <w:rPr>
                <w:color w:val="000000"/>
              </w:rPr>
              <w:t>Payables, deposits held and advances received</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tcBorders>
          </w:tcPr>
          <w:p w:rsidR="00DF17E9" w:rsidRPr="00092971" w:rsidRDefault="00DF17E9" w:rsidP="00044843">
            <w:pPr>
              <w:rPr>
                <w:color w:val="000000"/>
              </w:rPr>
            </w:pPr>
            <w:r w:rsidRPr="00092971">
              <w:rPr>
                <w:color w:val="000000"/>
              </w:rPr>
              <w:t>4 183</w:t>
            </w:r>
          </w:p>
        </w:tc>
        <w:tc>
          <w:tcPr>
            <w:tcW w:w="919"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4 533</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092971" w:rsidRDefault="00DF17E9" w:rsidP="00044843">
            <w:pPr>
              <w:rPr>
                <w:color w:val="000000"/>
              </w:rPr>
            </w:pPr>
            <w:r w:rsidRPr="00092971">
              <w:rPr>
                <w:color w:val="000000"/>
              </w:rPr>
              <w:t>3 656</w:t>
            </w:r>
          </w:p>
        </w:tc>
        <w:tc>
          <w:tcPr>
            <w:tcW w:w="85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696</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092971" w:rsidRDefault="00DF17E9" w:rsidP="00044843">
            <w:r w:rsidRPr="00092971">
              <w:rPr>
                <w:color w:val="000000"/>
              </w:rPr>
              <w:t>46</w:t>
            </w:r>
          </w:p>
        </w:tc>
        <w:tc>
          <w:tcPr>
            <w:tcW w:w="851"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auto"/>
            </w:tcBorders>
          </w:tcPr>
          <w:p w:rsidR="00DF17E9" w:rsidRPr="00092971" w:rsidRDefault="00DF17E9" w:rsidP="00044843">
            <w:r w:rsidRPr="00092971">
              <w:rPr>
                <w:color w:val="000000"/>
              </w:rPr>
              <w:t>128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tabs>
                <w:tab w:val="left" w:pos="868"/>
              </w:tabs>
              <w:ind w:left="0" w:firstLine="0"/>
              <w:rPr>
                <w:color w:val="000000"/>
              </w:rPr>
            </w:pPr>
            <w:r w:rsidRPr="00092971">
              <w:rPr>
                <w:b/>
                <w:color w:val="000000"/>
              </w:rPr>
              <w:t>Interest-bearing liabilities: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 xml:space="preserve"> </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24 652</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24 651</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r w:rsidRPr="00092971">
              <w:rPr>
                <w:color w:val="000000"/>
              </w:rPr>
              <w:t>1</w:t>
            </w:r>
            <w:r w:rsidRPr="00092971">
              <w:t xml:space="preserve"> 383</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1 754</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1 972</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6 234</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13 308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092971" w:rsidRDefault="00DF17E9" w:rsidP="00044843">
            <w:pPr>
              <w:ind w:left="0" w:firstLine="0"/>
              <w:rPr>
                <w:color w:val="000000"/>
              </w:rPr>
            </w:pPr>
            <w:r w:rsidRPr="00092971">
              <w:rPr>
                <w:color w:val="000000"/>
              </w:rPr>
              <w:t>Finance lease liabilities</w:t>
            </w:r>
          </w:p>
        </w:tc>
        <w:tc>
          <w:tcPr>
            <w:cnfStyle w:val="000010000000" w:firstRow="0" w:lastRow="0" w:firstColumn="0" w:lastColumn="0" w:oddVBand="1" w:evenVBand="0" w:oddHBand="0" w:evenHBand="0" w:firstRowFirstColumn="0" w:firstRowLastColumn="0" w:lastRowFirstColumn="0" w:lastRowLastColumn="0"/>
            <w:tcW w:w="782" w:type="dxa"/>
            <w:tcBorders>
              <w:bottom w:val="nil"/>
            </w:tcBorders>
          </w:tcPr>
          <w:p w:rsidR="00DF17E9" w:rsidRPr="00092971" w:rsidRDefault="00DF17E9" w:rsidP="00044843">
            <w:pPr>
              <w:rPr>
                <w:color w:val="000000"/>
              </w:rPr>
            </w:pPr>
            <w:r w:rsidRPr="00092971">
              <w:rPr>
                <w:color w:val="000000"/>
              </w:rPr>
              <w:t>9 009</w:t>
            </w:r>
          </w:p>
        </w:tc>
        <w:tc>
          <w:tcPr>
            <w:tcW w:w="91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20 206</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r w:rsidRPr="00092971">
              <w:rPr>
                <w:color w:val="000000"/>
              </w:rPr>
              <w:t>64</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412</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092971" w:rsidRDefault="00DF17E9" w:rsidP="00044843">
            <w:r w:rsidRPr="00092971">
              <w:rPr>
                <w:color w:val="000000"/>
              </w:rPr>
              <w:t>518</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1 586</w:t>
            </w:r>
          </w:p>
        </w:tc>
        <w:tc>
          <w:tcPr>
            <w:cnfStyle w:val="000010000000" w:firstRow="0" w:lastRow="0" w:firstColumn="0" w:lastColumn="0" w:oddVBand="1" w:evenVBand="0" w:oddHBand="0" w:evenHBand="0" w:firstRowFirstColumn="0" w:firstRowLastColumn="0" w:lastRowFirstColumn="0" w:lastRowLastColumn="0"/>
            <w:tcW w:w="819" w:type="dxa"/>
            <w:tcBorders>
              <w:bottom w:val="nil"/>
            </w:tcBorders>
          </w:tcPr>
          <w:p w:rsidR="00DF17E9" w:rsidRPr="00092971" w:rsidRDefault="00DF17E9" w:rsidP="00044843">
            <w:pPr>
              <w:rPr>
                <w:color w:val="000000"/>
              </w:rPr>
            </w:pPr>
            <w:r w:rsidRPr="00092971">
              <w:rPr>
                <w:color w:val="000000"/>
              </w:rPr>
              <w:t>17 627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092971" w:rsidRDefault="00DF17E9" w:rsidP="00044843">
            <w:pPr>
              <w:ind w:left="0" w:firstLine="0"/>
              <w:rPr>
                <w:color w:val="000000"/>
              </w:rPr>
            </w:pPr>
            <w:r w:rsidRPr="00092971">
              <w:rPr>
                <w:color w:val="000000"/>
              </w:rPr>
              <w:t>Derivative financial liabilities</w:t>
            </w:r>
          </w:p>
        </w:tc>
        <w:tc>
          <w:tcPr>
            <w:cnfStyle w:val="000010000000" w:firstRow="0" w:lastRow="0" w:firstColumn="0" w:lastColumn="0" w:oddVBand="1" w:evenVBand="0" w:oddHBand="0" w:evenHBand="0" w:firstRowFirstColumn="0" w:firstRowLastColumn="0" w:lastRowFirstColumn="0" w:lastRowLastColumn="0"/>
            <w:tcW w:w="782" w:type="dxa"/>
            <w:tcBorders>
              <w:bottom w:val="single" w:sz="6" w:space="0" w:color="auto"/>
            </w:tcBorders>
          </w:tcPr>
          <w:p w:rsidR="00DF17E9" w:rsidRPr="00092971" w:rsidRDefault="00DF17E9" w:rsidP="00044843">
            <w:r w:rsidRPr="00092971">
              <w:rPr>
                <w:color w:val="000000"/>
              </w:rPr>
              <w:t>150</w:t>
            </w:r>
          </w:p>
        </w:tc>
        <w:tc>
          <w:tcPr>
            <w:tcW w:w="91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150</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r w:rsidRPr="00092971">
              <w:rPr>
                <w:color w:val="000000"/>
              </w:rPr>
              <w:t>131</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092971" w:rsidRDefault="00DF17E9" w:rsidP="00044843">
            <w:r w:rsidRPr="00092971">
              <w:rPr>
                <w:color w:val="000000"/>
              </w:rPr>
              <w:t>1</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19" w:type="dxa"/>
            <w:tcBorders>
              <w:bottom w:val="single" w:sz="6" w:space="0" w:color="auto"/>
            </w:tcBorders>
          </w:tcPr>
          <w:p w:rsidR="00DF17E9" w:rsidRPr="00092971" w:rsidRDefault="00DF17E9" w:rsidP="00044843">
            <w:r w:rsidRPr="00092971">
              <w:rPr>
                <w:color w:val="000000"/>
              </w:rPr>
              <w:t>17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 xml:space="preserve">Total </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37 993</w:t>
            </w:r>
          </w:p>
        </w:tc>
        <w:tc>
          <w:tcPr>
            <w:tcW w:w="91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49 540</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5 235</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2 862</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2 538</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7 826</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31 079</w:t>
            </w:r>
          </w:p>
        </w:tc>
      </w:tr>
    </w:tbl>
    <w:p w:rsidR="00DF17E9" w:rsidRPr="00092971" w:rsidRDefault="00DF17E9" w:rsidP="00044843">
      <w:pPr>
        <w:pStyle w:val="Note"/>
        <w:rPr>
          <w:b/>
          <w:bCs/>
          <w:i w:val="0"/>
          <w:color w:val="000000"/>
          <w:spacing w:val="4"/>
          <w:sz w:val="17"/>
          <w:lang w:val="en-US"/>
        </w:rPr>
      </w:pPr>
    </w:p>
    <w:tbl>
      <w:tblPr>
        <w:tblStyle w:val="TableDTFGeneral"/>
        <w:tblW w:w="9637" w:type="dxa"/>
        <w:tblLayout w:type="fixed"/>
        <w:tblLook w:val="02A0" w:firstRow="1" w:lastRow="0" w:firstColumn="1" w:lastColumn="0" w:noHBand="1" w:noVBand="0"/>
      </w:tblPr>
      <w:tblGrid>
        <w:gridCol w:w="3573"/>
        <w:gridCol w:w="782"/>
        <w:gridCol w:w="919"/>
        <w:gridCol w:w="992"/>
        <w:gridCol w:w="851"/>
        <w:gridCol w:w="850"/>
        <w:gridCol w:w="851"/>
        <w:gridCol w:w="819"/>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jc w:val="left"/>
              <w:rPr>
                <w:color w:val="FFFFFF"/>
              </w:rPr>
            </w:pPr>
            <w:r w:rsidRPr="00092971">
              <w:rPr>
                <w:color w:val="FFFFFF"/>
              </w:rPr>
              <w:t xml:space="preserve"> </w:t>
            </w:r>
          </w:p>
        </w:tc>
        <w:tc>
          <w:tcPr>
            <w:tcW w:w="919"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jc w:val="left"/>
              <w:rPr>
                <w:color w:val="FFFFFF"/>
              </w:rPr>
            </w:pPr>
            <w:r w:rsidRPr="00092971">
              <w:rPr>
                <w:color w:val="FFFFFF"/>
              </w:rPr>
              <w:t xml:space="preserve"> </w:t>
            </w:r>
          </w:p>
        </w:tc>
        <w:tc>
          <w:tcPr>
            <w:tcW w:w="851"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jc w:val="left"/>
              <w:rPr>
                <w:color w:val="FFFFFF"/>
              </w:rPr>
            </w:pPr>
            <w:r w:rsidRPr="00092971">
              <w:rPr>
                <w:color w:val="FFFFFF"/>
              </w:rPr>
              <w:t xml:space="preserve">  </w:t>
            </w:r>
          </w:p>
        </w:tc>
        <w:tc>
          <w:tcPr>
            <w:tcW w:w="851"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jc w:val="left"/>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Payables, deposits held and advances received</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3 848</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3 810</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3 127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545</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r w:rsidRPr="00092971">
              <w:rPr>
                <w:color w:val="000000"/>
              </w:rPr>
              <w:t>78</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r w:rsidRPr="00092971">
              <w:rPr>
                <w:color w:val="000000"/>
              </w:rPr>
              <w:t>53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b/>
                <w:color w:val="000000"/>
              </w:rPr>
              <w:t>Interest-bearing liabilities: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 xml:space="preserve"> </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 xml:space="preserve"> </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25 960</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25 901</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r w:rsidRPr="00092971">
              <w:rPr>
                <w:color w:val="000000"/>
              </w:rPr>
              <w:t>5</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8 162</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r w:rsidRPr="00092971">
              <w:rPr>
                <w:color w:val="000000"/>
              </w:rPr>
              <w:t>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4 013</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13 715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092971" w:rsidRDefault="00DF17E9" w:rsidP="00044843">
            <w:pPr>
              <w:ind w:left="0" w:firstLine="0"/>
              <w:rPr>
                <w:color w:val="000000"/>
              </w:rPr>
            </w:pPr>
            <w:r w:rsidRPr="00092971">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782" w:type="dxa"/>
          </w:tcPr>
          <w:p w:rsidR="00DF17E9" w:rsidRPr="00092971" w:rsidRDefault="00DF17E9" w:rsidP="00044843">
            <w:pPr>
              <w:rPr>
                <w:color w:val="000000"/>
              </w:rPr>
            </w:pPr>
            <w:r w:rsidRPr="00092971">
              <w:rPr>
                <w:color w:val="000000"/>
              </w:rPr>
              <w:t>..</w:t>
            </w:r>
          </w:p>
        </w:tc>
        <w:tc>
          <w:tcPr>
            <w:tcW w:w="91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092971" w:rsidRDefault="00DF17E9" w:rsidP="00044843">
            <w:pPr>
              <w:rPr>
                <w:color w:val="000000"/>
              </w:rPr>
            </w:pPr>
            <w:r w:rsidRPr="00092971">
              <w:rPr>
                <w:color w:val="000000"/>
              </w:rPr>
              <w:t>..</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19" w:type="dxa"/>
          </w:tcPr>
          <w:p w:rsidR="00DF17E9" w:rsidRPr="00092971" w:rsidRDefault="00DF17E9" w:rsidP="00044843">
            <w:pPr>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092971" w:rsidRDefault="00DF17E9" w:rsidP="00044843">
            <w:pPr>
              <w:ind w:left="0" w:firstLine="0"/>
              <w:rPr>
                <w:color w:val="000000"/>
              </w:rPr>
            </w:pPr>
            <w:r w:rsidRPr="00092971">
              <w:rPr>
                <w:color w:val="000000"/>
              </w:rPr>
              <w:t xml:space="preserve">Finance lease liabilities </w:t>
            </w:r>
          </w:p>
        </w:tc>
        <w:tc>
          <w:tcPr>
            <w:cnfStyle w:val="000010000000" w:firstRow="0" w:lastRow="0" w:firstColumn="0" w:lastColumn="0" w:oddVBand="1" w:evenVBand="0" w:oddHBand="0" w:evenHBand="0" w:firstRowFirstColumn="0" w:firstRowLastColumn="0" w:lastRowFirstColumn="0" w:lastRowLastColumn="0"/>
            <w:tcW w:w="782" w:type="dxa"/>
            <w:tcBorders>
              <w:bottom w:val="nil"/>
            </w:tcBorders>
          </w:tcPr>
          <w:p w:rsidR="00DF17E9" w:rsidRPr="00092971" w:rsidRDefault="00DF17E9" w:rsidP="00044843">
            <w:pPr>
              <w:rPr>
                <w:color w:val="000000"/>
              </w:rPr>
            </w:pPr>
            <w:r w:rsidRPr="00092971">
              <w:rPr>
                <w:color w:val="000000"/>
              </w:rPr>
              <w:t>8 059</w:t>
            </w:r>
          </w:p>
        </w:tc>
        <w:tc>
          <w:tcPr>
            <w:tcW w:w="91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19 775</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r w:rsidRPr="00092971">
              <w:rPr>
                <w:color w:val="000000"/>
              </w:rPr>
              <w:t>207</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664</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092971" w:rsidRDefault="00DF17E9" w:rsidP="00044843">
            <w:r w:rsidRPr="00092971">
              <w:rPr>
                <w:color w:val="000000"/>
              </w:rPr>
              <w:t>860</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2 617</w:t>
            </w:r>
          </w:p>
        </w:tc>
        <w:tc>
          <w:tcPr>
            <w:cnfStyle w:val="000010000000" w:firstRow="0" w:lastRow="0" w:firstColumn="0" w:lastColumn="0" w:oddVBand="1" w:evenVBand="0" w:oddHBand="0" w:evenHBand="0" w:firstRowFirstColumn="0" w:firstRowLastColumn="0" w:lastRowFirstColumn="0" w:lastRowLastColumn="0"/>
            <w:tcW w:w="819" w:type="dxa"/>
            <w:tcBorders>
              <w:bottom w:val="nil"/>
            </w:tcBorders>
          </w:tcPr>
          <w:p w:rsidR="00DF17E9" w:rsidRPr="00092971" w:rsidRDefault="00DF17E9" w:rsidP="00044843">
            <w:pPr>
              <w:rPr>
                <w:color w:val="000000"/>
              </w:rPr>
            </w:pPr>
            <w:r w:rsidRPr="00092971">
              <w:rPr>
                <w:color w:val="000000"/>
              </w:rPr>
              <w:t>15 427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092971" w:rsidRDefault="00DF17E9" w:rsidP="00044843">
            <w:pPr>
              <w:ind w:left="0" w:firstLine="0"/>
              <w:rPr>
                <w:color w:val="000000"/>
              </w:rPr>
            </w:pPr>
            <w:r w:rsidRPr="00092971">
              <w:rPr>
                <w:color w:val="000000"/>
              </w:rPr>
              <w:t>Derivative financial liabilities</w:t>
            </w:r>
          </w:p>
        </w:tc>
        <w:tc>
          <w:tcPr>
            <w:cnfStyle w:val="000010000000" w:firstRow="0" w:lastRow="0" w:firstColumn="0" w:lastColumn="0" w:oddVBand="1" w:evenVBand="0" w:oddHBand="0" w:evenHBand="0" w:firstRowFirstColumn="0" w:firstRowLastColumn="0" w:lastRowFirstColumn="0" w:lastRowLastColumn="0"/>
            <w:tcW w:w="782" w:type="dxa"/>
            <w:tcBorders>
              <w:bottom w:val="single" w:sz="6" w:space="0" w:color="auto"/>
            </w:tcBorders>
          </w:tcPr>
          <w:p w:rsidR="00DF17E9" w:rsidRPr="00092971" w:rsidRDefault="00DF17E9" w:rsidP="00044843">
            <w:r w:rsidRPr="00092971">
              <w:rPr>
                <w:color w:val="000000"/>
              </w:rPr>
              <w:t>50</w:t>
            </w:r>
          </w:p>
        </w:tc>
        <w:tc>
          <w:tcPr>
            <w:tcW w:w="91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50</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pPr>
              <w:rPr>
                <w:color w:val="000000"/>
              </w:rPr>
            </w:pPr>
            <w:r w:rsidRPr="00092971">
              <w:rPr>
                <w:color w:val="000000"/>
              </w:rPr>
              <w:t>..</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092971" w:rsidRDefault="00DF17E9" w:rsidP="00044843">
            <w:pPr>
              <w:rPr>
                <w:color w:val="000000"/>
              </w:rPr>
            </w:pPr>
            <w:r w:rsidRPr="00092971">
              <w:rPr>
                <w:color w:val="000000"/>
              </w:rPr>
              <w:t>..</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19" w:type="dxa"/>
            <w:tcBorders>
              <w:bottom w:val="single" w:sz="6" w:space="0" w:color="auto"/>
            </w:tcBorders>
          </w:tcPr>
          <w:p w:rsidR="00DF17E9" w:rsidRPr="00092971" w:rsidRDefault="00DF17E9" w:rsidP="00044843">
            <w:r w:rsidRPr="00092971">
              <w:rPr>
                <w:color w:val="000000"/>
              </w:rPr>
              <w:t>50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78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37 917</w:t>
            </w:r>
          </w:p>
        </w:tc>
        <w:tc>
          <w:tcPr>
            <w:tcW w:w="91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49 537</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3 339</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9 370</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092971" w:rsidRDefault="00DF17E9" w:rsidP="00044843">
            <w:r w:rsidRPr="00092971">
              <w:rPr>
                <w:b/>
                <w:color w:val="000000"/>
              </w:rPr>
              <w:t>944</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6 638</w:t>
            </w:r>
          </w:p>
        </w:tc>
        <w:tc>
          <w:tcPr>
            <w:cnfStyle w:val="000010000000" w:firstRow="0" w:lastRow="0" w:firstColumn="0" w:lastColumn="0" w:oddVBand="1" w:evenVBand="0" w:oddHBand="0" w:evenHBand="0" w:firstRowFirstColumn="0" w:firstRowLastColumn="0" w:lastRowFirstColumn="0" w:lastRowLastColumn="0"/>
            <w:tcW w:w="81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29 245</w:t>
            </w:r>
          </w:p>
        </w:tc>
      </w:tr>
    </w:tbl>
    <w:p w:rsidR="00DF17E9" w:rsidRDefault="00DF17E9" w:rsidP="00044843">
      <w:pPr>
        <w:pStyle w:val="Note"/>
      </w:pPr>
      <w:r>
        <w:t>Note:</w:t>
      </w:r>
    </w:p>
    <w:p w:rsidR="00DF17E9" w:rsidRDefault="00DF17E9" w:rsidP="00044843">
      <w:pPr>
        <w:pStyle w:val="Note"/>
      </w:pPr>
      <w:r>
        <w:t>(a)</w:t>
      </w:r>
      <w:r>
        <w:tab/>
        <w:t>Represents undiscounted nominal amount.</w:t>
      </w:r>
    </w:p>
    <w:p w:rsidR="00DF17E9" w:rsidRDefault="00DF17E9" w:rsidP="00044843">
      <w:pPr>
        <w:pStyle w:val="Subheading"/>
        <w:rPr>
          <w:sz w:val="24"/>
        </w:rPr>
      </w:pPr>
      <w:r>
        <w:rPr>
          <w:sz w:val="24"/>
        </w:rPr>
        <w:br w:type="page"/>
      </w:r>
    </w:p>
    <w:p w:rsidR="00DF17E9" w:rsidRPr="00092971" w:rsidRDefault="00DF17E9" w:rsidP="00044843">
      <w:pPr>
        <w:pStyle w:val="Subheading"/>
        <w:rPr>
          <w:bCs/>
          <w:lang w:val="en-US"/>
        </w:rPr>
      </w:pPr>
      <w:r w:rsidRPr="00DA115D">
        <w:rPr>
          <w:sz w:val="24"/>
        </w:rPr>
        <w:lastRenderedPageBreak/>
        <w:t>Finance lease liabilities payabl</w:t>
      </w:r>
      <w:r>
        <w:rPr>
          <w:sz w:val="24"/>
        </w:rPr>
        <w:t>e</w:t>
      </w:r>
      <w:r w:rsidRPr="00DA115D">
        <w:rPr>
          <w:sz w:val="24"/>
        </w:rPr>
        <w:tab/>
      </w:r>
      <w:r w:rsidRPr="00DA115D">
        <w:rPr>
          <w:rStyle w:val="TableUnitsChar"/>
          <w:sz w:val="20"/>
        </w:rPr>
        <w:t>($ million)</w:t>
      </w:r>
    </w:p>
    <w:tbl>
      <w:tblPr>
        <w:tblStyle w:val="TableDTFGeneral"/>
        <w:tblW w:w="9638" w:type="dxa"/>
        <w:tblLayout w:type="fixed"/>
        <w:tblLook w:val="02A0" w:firstRow="1" w:lastRow="0" w:firstColumn="1" w:lastColumn="0" w:noHBand="1" w:noVBand="0"/>
      </w:tblPr>
      <w:tblGrid>
        <w:gridCol w:w="5978"/>
        <w:gridCol w:w="915"/>
        <w:gridCol w:w="915"/>
        <w:gridCol w:w="915"/>
        <w:gridCol w:w="915"/>
      </w:tblGrid>
      <w:tr w:rsidR="00F7224A" w:rsidRPr="00092971" w:rsidTr="00F72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8" w:type="dxa"/>
            <w:tcBorders>
              <w:bottom w:val="nil"/>
            </w:tcBorders>
          </w:tcPr>
          <w:p w:rsidR="00F7224A" w:rsidRPr="00092971" w:rsidRDefault="00F7224A"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30" w:type="dxa"/>
            <w:gridSpan w:val="2"/>
            <w:tcBorders>
              <w:bottom w:val="nil"/>
            </w:tcBorders>
          </w:tcPr>
          <w:p w:rsidR="00F7224A" w:rsidRPr="00092971" w:rsidRDefault="00F7224A" w:rsidP="00F7224A">
            <w:pPr>
              <w:jc w:val="center"/>
              <w:rPr>
                <w:color w:val="FFFFFF"/>
              </w:rPr>
            </w:pPr>
            <w:r w:rsidRPr="00092971">
              <w:rPr>
                <w:color w:val="FFFFFF"/>
              </w:rPr>
              <w:t>State of Victoria</w:t>
            </w:r>
          </w:p>
        </w:tc>
        <w:tc>
          <w:tcPr>
            <w:tcW w:w="1830" w:type="dxa"/>
            <w:gridSpan w:val="2"/>
            <w:tcBorders>
              <w:bottom w:val="nil"/>
            </w:tcBorders>
          </w:tcPr>
          <w:p w:rsidR="00F7224A" w:rsidRPr="00092971" w:rsidRDefault="00F7224A" w:rsidP="00F7224A">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Pr>
                <w:color w:val="FFFFFF"/>
              </w:rPr>
              <w:br/>
            </w: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8" w:type="dxa"/>
            <w:tcBorders>
              <w:bottom w:val="single" w:sz="6" w:space="0" w:color="auto"/>
            </w:tcBorders>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tcBorders>
          </w:tcPr>
          <w:p w:rsidR="00DF17E9" w:rsidRPr="00092971" w:rsidRDefault="00DF17E9" w:rsidP="00044843">
            <w:pPr>
              <w:ind w:left="0" w:firstLine="0"/>
              <w:rPr>
                <w:color w:val="000000"/>
              </w:rPr>
            </w:pPr>
            <w:r w:rsidRPr="00092971">
              <w:rPr>
                <w:color w:val="000000"/>
              </w:rPr>
              <w:t>Less than 1 year</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color w:val="000000"/>
              </w:rPr>
              <w:t>546</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942</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color w:val="000000"/>
              </w:rPr>
              <w:t>476</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871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bottom w:val="nil"/>
            </w:tcBorders>
          </w:tcPr>
          <w:p w:rsidR="00DF17E9" w:rsidRPr="00092971" w:rsidRDefault="00DF17E9" w:rsidP="00044843">
            <w:pPr>
              <w:ind w:left="0" w:firstLine="0"/>
              <w:rPr>
                <w:color w:val="000000"/>
              </w:rPr>
            </w:pPr>
            <w:r w:rsidRPr="00092971">
              <w:rPr>
                <w:color w:val="000000"/>
              </w:rPr>
              <w:t>1 year but less than 5 years</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pPr>
              <w:rPr>
                <w:color w:val="000000"/>
              </w:rPr>
            </w:pPr>
            <w:r w:rsidRPr="00092971">
              <w:rPr>
                <w:color w:val="000000"/>
              </w:rPr>
              <w:t>2 533</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3 972</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pPr>
              <w:rPr>
                <w:color w:val="000000"/>
              </w:rPr>
            </w:pPr>
            <w:r w:rsidRPr="00092971">
              <w:rPr>
                <w:color w:val="000000"/>
              </w:rPr>
              <w:t>2 103</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3 477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bottom w:val="single" w:sz="6" w:space="0" w:color="auto"/>
            </w:tcBorders>
          </w:tcPr>
          <w:p w:rsidR="00DF17E9" w:rsidRPr="00092971" w:rsidRDefault="00DF17E9" w:rsidP="00044843">
            <w:pPr>
              <w:ind w:left="0" w:firstLine="0"/>
              <w:rPr>
                <w:color w:val="000000"/>
              </w:rPr>
            </w:pPr>
            <w:r w:rsidRPr="00092971">
              <w:rPr>
                <w:color w:val="000000"/>
              </w:rPr>
              <w:t>5 years or more</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17 758</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15 563</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17 627</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15 427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bottom w:val="nil"/>
            </w:tcBorders>
          </w:tcPr>
          <w:p w:rsidR="00DF17E9" w:rsidRPr="00092971" w:rsidRDefault="00DF17E9" w:rsidP="00044843">
            <w:pPr>
              <w:ind w:left="0" w:firstLine="0"/>
              <w:rPr>
                <w:color w:val="000000"/>
              </w:rPr>
            </w:pPr>
            <w:r w:rsidRPr="00092971">
              <w:rPr>
                <w:b/>
                <w:color w:val="000000"/>
              </w:rPr>
              <w:t>Minimum lease payments</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nil"/>
            </w:tcBorders>
          </w:tcPr>
          <w:p w:rsidR="00DF17E9" w:rsidRPr="00092971" w:rsidRDefault="00DF17E9" w:rsidP="00044843">
            <w:pPr>
              <w:rPr>
                <w:color w:val="000000"/>
              </w:rPr>
            </w:pPr>
            <w:r w:rsidRPr="00092971">
              <w:rPr>
                <w:b/>
                <w:color w:val="000000"/>
              </w:rPr>
              <w:t>20 837</w:t>
            </w:r>
          </w:p>
        </w:tc>
        <w:tc>
          <w:tcPr>
            <w:tcW w:w="915" w:type="dxa"/>
            <w:tcBorders>
              <w:top w:val="single" w:sz="6" w:space="0" w:color="auto"/>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20 477</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nil"/>
            </w:tcBorders>
          </w:tcPr>
          <w:p w:rsidR="00DF17E9" w:rsidRPr="00092971" w:rsidRDefault="00DF17E9" w:rsidP="00044843">
            <w:pPr>
              <w:rPr>
                <w:color w:val="000000"/>
              </w:rPr>
            </w:pPr>
            <w:r w:rsidRPr="00092971">
              <w:rPr>
                <w:b/>
                <w:color w:val="000000"/>
              </w:rPr>
              <w:t>20 206</w:t>
            </w:r>
          </w:p>
        </w:tc>
        <w:tc>
          <w:tcPr>
            <w:tcW w:w="915" w:type="dxa"/>
            <w:tcBorders>
              <w:top w:val="single" w:sz="6" w:space="0" w:color="auto"/>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19 775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bottom w:val="single" w:sz="6" w:space="0" w:color="auto"/>
            </w:tcBorders>
          </w:tcPr>
          <w:p w:rsidR="00DF17E9" w:rsidRPr="00092971" w:rsidRDefault="00DF17E9" w:rsidP="00044843">
            <w:pPr>
              <w:ind w:left="0" w:firstLine="0"/>
              <w:rPr>
                <w:color w:val="000000"/>
              </w:rPr>
            </w:pPr>
            <w:r w:rsidRPr="00092971">
              <w:rPr>
                <w:color w:val="000000"/>
              </w:rPr>
              <w:t>Future finance charges</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11 197</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11 717</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11 197</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11 717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78"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 xml:space="preserve">Total finance lease liabilities </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9 640</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8 760</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9 009</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8 059</w:t>
            </w:r>
          </w:p>
        </w:tc>
      </w:tr>
    </w:tbl>
    <w:p w:rsidR="00DF17E9" w:rsidRDefault="00DF17E9" w:rsidP="00044843"/>
    <w:p w:rsidR="00DF17E9" w:rsidRDefault="00DF17E9" w:rsidP="00044843">
      <w:pPr>
        <w:pStyle w:val="Note"/>
        <w:sectPr w:rsidR="00DF17E9" w:rsidSect="00044843">
          <w:type w:val="continuous"/>
          <w:pgSz w:w="11906" w:h="16838" w:code="9"/>
          <w:pgMar w:top="1134" w:right="1134" w:bottom="1134" w:left="1134" w:header="624" w:footer="567" w:gutter="0"/>
          <w:cols w:space="708"/>
          <w:docGrid w:linePitch="360"/>
        </w:sectPr>
      </w:pPr>
    </w:p>
    <w:p w:rsidR="00DF17E9" w:rsidRPr="00312304" w:rsidRDefault="00DF17E9" w:rsidP="002F70BC">
      <w:pPr>
        <w:pStyle w:val="Heading3"/>
        <w:tabs>
          <w:tab w:val="right" w:pos="14742"/>
        </w:tabs>
        <w:spacing w:before="0"/>
      </w:pPr>
      <w:r w:rsidRPr="00312304">
        <w:lastRenderedPageBreak/>
        <w:t>Other matters</w:t>
      </w:r>
    </w:p>
    <w:p w:rsidR="00DF17E9" w:rsidRPr="00230A6B" w:rsidRDefault="00DF17E9" w:rsidP="00D61C6F">
      <w:pPr>
        <w:rPr>
          <w:rFonts w:asciiTheme="majorHAnsi" w:eastAsiaTheme="majorEastAsia" w:hAnsiTheme="majorHAnsi" w:cstheme="majorBidi"/>
          <w:b/>
          <w:bCs/>
          <w:spacing w:val="-2"/>
          <w:szCs w:val="26"/>
        </w:rPr>
      </w:pPr>
      <w:r w:rsidRPr="00230A6B">
        <w:rPr>
          <w:rFonts w:asciiTheme="majorHAnsi" w:eastAsiaTheme="majorEastAsia" w:hAnsiTheme="majorHAnsi" w:cstheme="majorBidi"/>
          <w:b/>
          <w:bCs/>
          <w:spacing w:val="-2"/>
          <w:szCs w:val="26"/>
        </w:rPr>
        <w:t>Offsetting financial instruments</w:t>
      </w:r>
    </w:p>
    <w:p w:rsidR="00DF17E9" w:rsidRPr="008848BF" w:rsidRDefault="00DF17E9" w:rsidP="00B63720">
      <w:r w:rsidRPr="008848BF">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rsidR="00DF17E9" w:rsidRPr="008848BF" w:rsidRDefault="00DF17E9" w:rsidP="00B63720">
      <w:r w:rsidRPr="008848BF">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rsidR="00DF17E9" w:rsidRDefault="00DF17E9" w:rsidP="002F70BC">
      <w:r w:rsidRPr="008848BF">
        <w:t xml:space="preserve">Some master netting arrangements do not result in an offset of balance sheet assets and liabilities. Where the State does not have a legally enforceable right to offset recognised amounts, because the </w:t>
      </w:r>
      <w:r w:rsidRPr="008848BF">
        <w:lastRenderedPageBreak/>
        <w:t>right to offset is enforceable only on the occurrence of future events such as default, insolvency or bankruptcy, they are reported on a gross basis.</w:t>
      </w:r>
    </w:p>
    <w:p w:rsidR="00DF17E9" w:rsidRDefault="00DF17E9" w:rsidP="00044843">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rsidR="00DF17E9" w:rsidRDefault="00DF17E9" w:rsidP="00C5364B">
      <w:r w:rsidRPr="00BD1C09">
        <w:t>The State of Victoria has entered into arrangements that do not meet criteria for offsetting in a normal course of business, but allow for the relevant amounts to be set off in certain circumstances, such as bankruptcy, default or insolvency.</w:t>
      </w:r>
      <w:r>
        <w:t xml:space="preserve"> </w:t>
      </w:r>
    </w:p>
    <w:p w:rsidR="00DF17E9" w:rsidRDefault="00DF17E9" w:rsidP="00C5364B">
      <w:r>
        <w:t>The effect of these arrangements is reflected in the column ‘related amounts not offset’.</w:t>
      </w:r>
    </w:p>
    <w:p w:rsidR="002F70BC" w:rsidRPr="00312304" w:rsidRDefault="00DF17E9" w:rsidP="002F70BC">
      <w:pPr>
        <w:pStyle w:val="Subheading"/>
      </w:pPr>
      <w:r w:rsidRPr="00C5364B">
        <w:rPr>
          <w:rFonts w:asciiTheme="minorHAnsi" w:hAnsiTheme="minorHAnsi"/>
          <w:b w:val="0"/>
          <w:spacing w:val="0"/>
        </w:rPr>
        <w:t>The column ‘Net amount’ shows the impact on State of Victoria balance sheet if all existing rights of offset were exercised.</w:t>
      </w:r>
    </w:p>
    <w:p w:rsidR="00DF17E9" w:rsidRPr="00DD16DA" w:rsidRDefault="00DF17E9" w:rsidP="00DD16DA">
      <w:pPr>
        <w:sectPr w:rsidR="00DF17E9" w:rsidRPr="00DD16DA" w:rsidSect="00044843">
          <w:type w:val="continuous"/>
          <w:pgSz w:w="11906" w:h="16838" w:code="9"/>
          <w:pgMar w:top="1134" w:right="1134" w:bottom="1134" w:left="1134" w:header="624" w:footer="567" w:gutter="0"/>
          <w:cols w:num="2" w:space="708"/>
          <w:docGrid w:linePitch="360"/>
        </w:sectPr>
      </w:pPr>
    </w:p>
    <w:p w:rsidR="00DF17E9" w:rsidRDefault="00DF17E9">
      <w:pPr>
        <w:rPr>
          <w:b/>
        </w:rPr>
      </w:pPr>
    </w:p>
    <w:p w:rsidR="00DF17E9" w:rsidRDefault="00DF17E9">
      <w:pPr>
        <w:rPr>
          <w:rFonts w:asciiTheme="majorHAnsi" w:hAnsiTheme="majorHAnsi"/>
          <w:spacing w:val="-2"/>
        </w:rPr>
      </w:pPr>
      <w:r>
        <w:rPr>
          <w:b/>
        </w:rPr>
        <w:br w:type="page"/>
      </w:r>
    </w:p>
    <w:p w:rsidR="00DF17E9" w:rsidRPr="00092971" w:rsidRDefault="00DF17E9" w:rsidP="00044843">
      <w:pPr>
        <w:pStyle w:val="Subheading"/>
        <w:rPr>
          <w:rStyle w:val="TableUnitsChar"/>
          <w:bCs/>
          <w:lang w:val="en-US"/>
        </w:rPr>
      </w:pPr>
      <w:r w:rsidRPr="008C63F4">
        <w:lastRenderedPageBreak/>
        <w:t xml:space="preserve">Master netting or </w:t>
      </w:r>
      <w:r w:rsidRPr="00703386">
        <w:t>similar</w:t>
      </w:r>
      <w:r w:rsidRPr="008C63F4">
        <w:t xml:space="preserve"> arrangements</w:t>
      </w:r>
      <w:r>
        <w:t xml:space="preserve"> </w:t>
      </w:r>
      <w:r>
        <w:tab/>
      </w:r>
      <w:r w:rsidRPr="00D61C6F">
        <w:rPr>
          <w:rStyle w:val="TableUnitsChar"/>
        </w:rPr>
        <w:t>($ million)</w:t>
      </w:r>
    </w:p>
    <w:tbl>
      <w:tblPr>
        <w:tblStyle w:val="TableDTFGeneral"/>
        <w:tblW w:w="9639" w:type="dxa"/>
        <w:tblLayout w:type="fixed"/>
        <w:tblLook w:val="02A0" w:firstRow="1" w:lastRow="0" w:firstColumn="1" w:lastColumn="0" w:noHBand="1" w:noVBand="0"/>
      </w:tblPr>
      <w:tblGrid>
        <w:gridCol w:w="3431"/>
        <w:gridCol w:w="851"/>
        <w:gridCol w:w="1701"/>
        <w:gridCol w:w="1842"/>
        <w:gridCol w:w="907"/>
        <w:gridCol w:w="907"/>
      </w:tblGrid>
      <w:tr w:rsidR="00F7224A" w:rsidRPr="00092971" w:rsidTr="00F7224A">
        <w:trPr>
          <w:cnfStyle w:val="100000000000" w:firstRow="1" w:lastRow="0" w:firstColumn="0" w:lastColumn="0" w:oddVBand="0" w:evenVBand="0" w:oddHBand="0" w:evenHBand="0" w:firstRowFirstColumn="0" w:firstRowLastColumn="0" w:lastRowFirstColumn="0" w:lastRowLastColumn="0"/>
          <w:trHeight w:val="66"/>
          <w:tblHeader/>
        </w:trPr>
        <w:tc>
          <w:tcPr>
            <w:cnfStyle w:val="001000000000" w:firstRow="0" w:lastRow="0" w:firstColumn="1" w:lastColumn="0" w:oddVBand="0" w:evenVBand="0" w:oddHBand="0" w:evenHBand="0" w:firstRowFirstColumn="0" w:firstRowLastColumn="0" w:lastRowFirstColumn="0" w:lastRowLastColumn="0"/>
            <w:tcW w:w="3431" w:type="dxa"/>
          </w:tcPr>
          <w:p w:rsidR="00F7224A" w:rsidRPr="00092971" w:rsidRDefault="00F7224A" w:rsidP="00F7224A">
            <w:pPr>
              <w:ind w:left="0" w:firstLine="0"/>
              <w:rPr>
                <w:color w:val="FFFFFF"/>
              </w:rPr>
            </w:pPr>
            <w:r>
              <w:rPr>
                <w:color w:val="FFFFFF"/>
              </w:rPr>
              <w:t>State of Victoria</w:t>
            </w:r>
          </w:p>
        </w:tc>
        <w:tc>
          <w:tcPr>
            <w:cnfStyle w:val="000010000000" w:firstRow="0" w:lastRow="0" w:firstColumn="0" w:lastColumn="0" w:oddVBand="1" w:evenVBand="0" w:oddHBand="0" w:evenHBand="0" w:firstRowFirstColumn="0" w:firstRowLastColumn="0" w:lastRowFirstColumn="0" w:lastRowLastColumn="0"/>
            <w:tcW w:w="851" w:type="dxa"/>
          </w:tcPr>
          <w:p w:rsidR="00F7224A" w:rsidRPr="00092971" w:rsidRDefault="00F7224A" w:rsidP="00044843">
            <w:pPr>
              <w:rPr>
                <w:color w:val="FFFFFF"/>
              </w:rPr>
            </w:pPr>
          </w:p>
        </w:tc>
        <w:tc>
          <w:tcPr>
            <w:tcW w:w="5357" w:type="dxa"/>
            <w:gridSpan w:val="4"/>
            <w:tcBorders>
              <w:bottom w:val="single" w:sz="4" w:space="0" w:color="FFFFFF" w:themeColor="background1"/>
            </w:tcBorders>
          </w:tcPr>
          <w:p w:rsidR="00F7224A" w:rsidRPr="00092971" w:rsidRDefault="00F7224A" w:rsidP="00F7224A">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Effects of offsetting on the balance sheet</w:t>
            </w:r>
          </w:p>
        </w:tc>
      </w:tr>
      <w:tr w:rsidR="00F7224A" w:rsidRPr="00092971" w:rsidTr="00F7224A">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3431" w:type="dxa"/>
          </w:tcPr>
          <w:p w:rsidR="00F7224A" w:rsidRPr="00092971" w:rsidRDefault="00F7224A" w:rsidP="00F7224A">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851" w:type="dxa"/>
          </w:tcPr>
          <w:p w:rsidR="00F7224A" w:rsidRPr="00092971" w:rsidRDefault="00F7224A" w:rsidP="00F7224A">
            <w:pPr>
              <w:rPr>
                <w:color w:val="FFFFFF"/>
              </w:rPr>
            </w:pPr>
            <w:r w:rsidRPr="00092971">
              <w:rPr>
                <w:color w:val="FFFFFF"/>
              </w:rPr>
              <w:t xml:space="preserve">Gross amounts  </w:t>
            </w:r>
          </w:p>
        </w:tc>
        <w:tc>
          <w:tcPr>
            <w:tcW w:w="1701" w:type="dxa"/>
            <w:tcBorders>
              <w:top w:val="single" w:sz="4" w:space="0" w:color="FFFFFF" w:themeColor="background1"/>
            </w:tcBorders>
          </w:tcPr>
          <w:p w:rsidR="00F7224A" w:rsidRPr="00092971" w:rsidRDefault="00F7224A" w:rsidP="00F7224A">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Gross amounts set off in the consolidated balance sheet </w:t>
            </w:r>
          </w:p>
        </w:tc>
        <w:tc>
          <w:tcPr>
            <w:cnfStyle w:val="000010000000" w:firstRow="0" w:lastRow="0" w:firstColumn="0" w:lastColumn="0" w:oddVBand="1" w:evenVBand="0" w:oddHBand="0" w:evenHBand="0" w:firstRowFirstColumn="0" w:firstRowLastColumn="0" w:lastRowFirstColumn="0" w:lastRowLastColumn="0"/>
            <w:tcW w:w="1842" w:type="dxa"/>
            <w:tcBorders>
              <w:top w:val="single" w:sz="4" w:space="0" w:color="FFFFFF" w:themeColor="background1"/>
            </w:tcBorders>
          </w:tcPr>
          <w:p w:rsidR="00F7224A" w:rsidRPr="00092971" w:rsidRDefault="00F7224A" w:rsidP="00F7224A">
            <w:pPr>
              <w:rPr>
                <w:color w:val="FFFFFF"/>
              </w:rPr>
            </w:pPr>
            <w:r w:rsidRPr="00092971">
              <w:rPr>
                <w:color w:val="FFFFFF"/>
              </w:rPr>
              <w:t xml:space="preserve">Net amounts presented in the consolidated balance sheet </w:t>
            </w:r>
          </w:p>
        </w:tc>
        <w:tc>
          <w:tcPr>
            <w:tcW w:w="907" w:type="dxa"/>
            <w:tcBorders>
              <w:top w:val="single" w:sz="4" w:space="0" w:color="FFFFFF" w:themeColor="background1"/>
            </w:tcBorders>
          </w:tcPr>
          <w:p w:rsidR="00F7224A" w:rsidRPr="00092971" w:rsidRDefault="00F7224A" w:rsidP="00F7224A">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Related amounts not offset </w:t>
            </w:r>
          </w:p>
        </w:tc>
        <w:tc>
          <w:tcPr>
            <w:cnfStyle w:val="000010000000" w:firstRow="0" w:lastRow="0" w:firstColumn="0" w:lastColumn="0" w:oddVBand="1" w:evenVBand="0" w:oddHBand="0" w:evenHBand="0" w:firstRowFirstColumn="0" w:firstRowLastColumn="0" w:lastRowFirstColumn="0" w:lastRowLastColumn="0"/>
            <w:tcW w:w="907" w:type="dxa"/>
            <w:tcBorders>
              <w:top w:val="single" w:sz="4" w:space="0" w:color="FFFFFF" w:themeColor="background1"/>
            </w:tcBorders>
          </w:tcPr>
          <w:p w:rsidR="00F7224A" w:rsidRPr="00092971" w:rsidRDefault="00F7224A" w:rsidP="00F7224A">
            <w:pPr>
              <w:rPr>
                <w:color w:val="FFFFFF"/>
              </w:rPr>
            </w:pPr>
            <w:r w:rsidRPr="00092971">
              <w:rPr>
                <w:color w:val="FFFFFF"/>
              </w:rPr>
              <w:t xml:space="preserve">Net amount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rPr>
                <w:color w:val="FFFFFF"/>
              </w:rPr>
            </w:pPr>
            <w:r w:rsidRPr="00092971">
              <w:rPr>
                <w:i/>
                <w:color w:val="FFFFFF"/>
              </w:rPr>
              <w:t xml:space="preserve"> </w:t>
            </w:r>
          </w:p>
        </w:tc>
        <w:tc>
          <w:tcPr>
            <w:tcW w:w="17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pPr>
              <w:rPr>
                <w:color w:val="FFFFFF"/>
              </w:rPr>
            </w:pPr>
            <w:r w:rsidRPr="00092971">
              <w:rPr>
                <w:i/>
                <w:color w:val="FFFFFF"/>
              </w:rPr>
              <w:t xml:space="preserve"> </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FFFFFF"/>
              </w:rPr>
            </w:pPr>
            <w:r w:rsidRPr="00092971">
              <w:rPr>
                <w:i/>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i/>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113" w:hanging="113"/>
              <w:rPr>
                <w:color w:val="000000"/>
              </w:rPr>
            </w:pPr>
            <w:r w:rsidRPr="00092971">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rPr>
                <w:color w:val="000000"/>
              </w:rPr>
            </w:pPr>
            <w:r w:rsidRPr="00092971">
              <w:rPr>
                <w:color w:val="000000"/>
              </w:rPr>
              <w:t>2 689</w:t>
            </w:r>
          </w:p>
        </w:tc>
        <w:tc>
          <w:tcPr>
            <w:tcW w:w="17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(1 567)</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pPr>
              <w:rPr>
                <w:color w:val="000000"/>
              </w:rPr>
            </w:pPr>
            <w:r w:rsidRPr="00092971">
              <w:rPr>
                <w:color w:val="000000"/>
              </w:rPr>
              <w:t>1 122</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(648)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474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rsidR="00DF17E9" w:rsidRPr="00092971" w:rsidRDefault="00F7224A" w:rsidP="00044843">
            <w:pPr>
              <w:ind w:left="113" w:hanging="113"/>
              <w:rPr>
                <w:color w:val="000000"/>
              </w:rPr>
            </w:pPr>
            <w:r>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851" w:type="dxa"/>
            <w:tcBorders>
              <w:bottom w:val="nil"/>
            </w:tcBorders>
          </w:tcPr>
          <w:p w:rsidR="00DF17E9" w:rsidRPr="00092971" w:rsidRDefault="00DF17E9" w:rsidP="00044843">
            <w:pPr>
              <w:jc w:val="left"/>
              <w:rPr>
                <w:color w:val="000000"/>
              </w:rPr>
            </w:pPr>
            <w:r w:rsidRPr="00092971">
              <w:rPr>
                <w:color w:val="000000"/>
              </w:rPr>
              <w:t xml:space="preserve"> </w:t>
            </w:r>
          </w:p>
        </w:tc>
        <w:tc>
          <w:tcPr>
            <w:tcW w:w="1701" w:type="dxa"/>
            <w:tcBorders>
              <w:bottom w:val="nil"/>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2" w:type="dxa"/>
            <w:tcBorders>
              <w:bottom w:val="nil"/>
            </w:tcBorders>
          </w:tcPr>
          <w:p w:rsidR="00DF17E9" w:rsidRPr="00092971" w:rsidRDefault="00DF17E9" w:rsidP="00044843">
            <w:pPr>
              <w:jc w:val="left"/>
              <w:rPr>
                <w:color w:val="000000"/>
              </w:rPr>
            </w:pPr>
            <w:r w:rsidRPr="00092971">
              <w:rPr>
                <w:color w:val="000000"/>
              </w:rPr>
              <w:t xml:space="preserve"> </w:t>
            </w:r>
          </w:p>
        </w:tc>
        <w:tc>
          <w:tcPr>
            <w:tcW w:w="907" w:type="dxa"/>
            <w:tcBorders>
              <w:bottom w:val="nil"/>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092971" w:rsidRDefault="00DF17E9" w:rsidP="00044843">
            <w:pPr>
              <w:jc w:val="left"/>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bottom w:val="single" w:sz="12" w:space="0" w:color="auto"/>
            </w:tcBorders>
          </w:tcPr>
          <w:p w:rsidR="00DF17E9" w:rsidRPr="00092971" w:rsidRDefault="00DF17E9" w:rsidP="00044843">
            <w:pPr>
              <w:ind w:left="113" w:hanging="113"/>
              <w:rPr>
                <w:color w:val="000000"/>
              </w:rPr>
            </w:pPr>
            <w:r w:rsidRPr="00092971">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12" w:space="0" w:color="auto"/>
            </w:tcBorders>
          </w:tcPr>
          <w:p w:rsidR="00DF17E9" w:rsidRPr="00092971" w:rsidRDefault="00DF17E9" w:rsidP="00044843">
            <w:pPr>
              <w:rPr>
                <w:color w:val="000000"/>
              </w:rPr>
            </w:pPr>
            <w:r w:rsidRPr="00092971">
              <w:rPr>
                <w:color w:val="000000"/>
              </w:rPr>
              <w:t>2 772</w:t>
            </w:r>
          </w:p>
        </w:tc>
        <w:tc>
          <w:tcPr>
            <w:tcW w:w="1701"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(1 567)</w:t>
            </w:r>
          </w:p>
        </w:tc>
        <w:tc>
          <w:tcPr>
            <w:cnfStyle w:val="000010000000" w:firstRow="0" w:lastRow="0" w:firstColumn="0" w:lastColumn="0" w:oddVBand="1" w:evenVBand="0" w:oddHBand="0" w:evenHBand="0" w:firstRowFirstColumn="0" w:firstRowLastColumn="0" w:lastRowFirstColumn="0" w:lastRowLastColumn="0"/>
            <w:tcW w:w="1842" w:type="dxa"/>
            <w:tcBorders>
              <w:bottom w:val="single" w:sz="12" w:space="0" w:color="auto"/>
            </w:tcBorders>
          </w:tcPr>
          <w:p w:rsidR="00DF17E9" w:rsidRPr="00092971" w:rsidRDefault="00DF17E9" w:rsidP="00044843">
            <w:pPr>
              <w:rPr>
                <w:color w:val="000000"/>
              </w:rPr>
            </w:pPr>
            <w:r w:rsidRPr="00092971">
              <w:rPr>
                <w:color w:val="000000"/>
              </w:rPr>
              <w:t>1 205</w:t>
            </w:r>
          </w:p>
        </w:tc>
        <w:tc>
          <w:tcPr>
            <w:tcW w:w="907"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(978)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092971" w:rsidRDefault="00DF17E9" w:rsidP="00044843">
            <w:r w:rsidRPr="00092971">
              <w:rPr>
                <w:color w:val="000000"/>
              </w:rPr>
              <w:t>226</w:t>
            </w:r>
          </w:p>
        </w:tc>
      </w:tr>
    </w:tbl>
    <w:p w:rsidR="00DF17E9" w:rsidRPr="00092971" w:rsidRDefault="00DF17E9" w:rsidP="00D61C6F">
      <w:pPr>
        <w:rPr>
          <w:rStyle w:val="TableUnitsChar"/>
          <w:b/>
          <w:bCs/>
          <w:lang w:val="en-US"/>
        </w:rPr>
      </w:pPr>
    </w:p>
    <w:tbl>
      <w:tblPr>
        <w:tblStyle w:val="TableDTFGeneral"/>
        <w:tblW w:w="9639" w:type="dxa"/>
        <w:tblLayout w:type="fixed"/>
        <w:tblLook w:val="02A0" w:firstRow="1" w:lastRow="0" w:firstColumn="1" w:lastColumn="0" w:noHBand="1" w:noVBand="0"/>
      </w:tblPr>
      <w:tblGrid>
        <w:gridCol w:w="3431"/>
        <w:gridCol w:w="851"/>
        <w:gridCol w:w="1701"/>
        <w:gridCol w:w="1842"/>
        <w:gridCol w:w="907"/>
        <w:gridCol w:w="907"/>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rPr>
                <w:color w:val="FFFFFF"/>
              </w:rPr>
            </w:pPr>
            <w:r w:rsidRPr="00092971">
              <w:rPr>
                <w:color w:val="FFFFFF"/>
              </w:rPr>
              <w:t xml:space="preserve"> </w:t>
            </w:r>
          </w:p>
        </w:tc>
        <w:tc>
          <w:tcPr>
            <w:tcW w:w="170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pPr>
              <w:rPr>
                <w:color w:val="FFFFFF"/>
              </w:rPr>
            </w:pPr>
            <w:r w:rsidRPr="00092971">
              <w:rPr>
                <w:color w:val="FFFFFF"/>
              </w:rPr>
              <w:t xml:space="preserve"> </w:t>
            </w:r>
          </w:p>
        </w:tc>
        <w:tc>
          <w:tcPr>
            <w:tcW w:w="90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rPr>
                <w:color w:val="FFFFFF"/>
              </w:rPr>
            </w:pPr>
            <w:r w:rsidRPr="00092971">
              <w:rPr>
                <w:i/>
                <w:color w:val="FFFFFF"/>
              </w:rPr>
              <w:t xml:space="preserve"> </w:t>
            </w:r>
          </w:p>
        </w:tc>
        <w:tc>
          <w:tcPr>
            <w:tcW w:w="17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FFFFFF"/>
              </w:rPr>
            </w:pPr>
            <w:r w:rsidRPr="00092971">
              <w:rPr>
                <w:i/>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pPr>
              <w:rPr>
                <w:color w:val="FFFFFF"/>
              </w:rPr>
            </w:pPr>
            <w:r w:rsidRPr="00092971">
              <w:rPr>
                <w:i/>
                <w:color w:val="FFFFFF"/>
              </w:rPr>
              <w:t xml:space="preserve"> </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FFFFFF"/>
              </w:rPr>
            </w:pPr>
            <w:r w:rsidRPr="00092971">
              <w:rPr>
                <w:i/>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jc w:val="left"/>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113" w:hanging="113"/>
              <w:rPr>
                <w:color w:val="000000"/>
              </w:rPr>
            </w:pPr>
            <w:r w:rsidRPr="00092971">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rPr>
                <w:color w:val="000000"/>
              </w:rPr>
            </w:pPr>
            <w:r w:rsidRPr="00092971">
              <w:rPr>
                <w:color w:val="000000"/>
              </w:rPr>
              <w:t>2 742</w:t>
            </w:r>
          </w:p>
        </w:tc>
        <w:tc>
          <w:tcPr>
            <w:tcW w:w="17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(2 087)</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r w:rsidRPr="00092971">
              <w:rPr>
                <w:color w:val="000000"/>
              </w:rPr>
              <w:t>655</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(439)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216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F7224A" w:rsidP="00044843">
            <w:pPr>
              <w:ind w:left="113" w:hanging="113"/>
              <w:rPr>
                <w:color w:val="000000"/>
              </w:rPr>
            </w:pPr>
            <w:r>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jc w:val="left"/>
              <w:rPr>
                <w:color w:val="000000"/>
              </w:rPr>
            </w:pPr>
            <w:r w:rsidRPr="00092971">
              <w:rPr>
                <w:color w:val="000000"/>
              </w:rPr>
              <w:t xml:space="preserve"> </w:t>
            </w:r>
          </w:p>
        </w:tc>
        <w:tc>
          <w:tcPr>
            <w:tcW w:w="1701"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pPr>
              <w:jc w:val="left"/>
              <w:rPr>
                <w:color w:val="000000"/>
              </w:rPr>
            </w:pPr>
            <w:r w:rsidRPr="00092971">
              <w:rPr>
                <w:color w:val="000000"/>
              </w:rPr>
              <w:t xml:space="preserve"> </w:t>
            </w:r>
          </w:p>
        </w:tc>
        <w:tc>
          <w:tcPr>
            <w:tcW w:w="907"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pPr>
              <w:jc w:val="left"/>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113" w:hanging="113"/>
              <w:rPr>
                <w:color w:val="000000"/>
              </w:rPr>
            </w:pPr>
            <w:r w:rsidRPr="00092971">
              <w:rPr>
                <w:color w:val="000000"/>
              </w:rPr>
              <w:t>Derivative financial instruments</w:t>
            </w:r>
          </w:p>
        </w:tc>
        <w:tc>
          <w:tcPr>
            <w:cnfStyle w:val="000010000000" w:firstRow="0" w:lastRow="0" w:firstColumn="0" w:lastColumn="0" w:oddVBand="1" w:evenVBand="0" w:oddHBand="0" w:evenHBand="0" w:firstRowFirstColumn="0" w:firstRowLastColumn="0" w:lastRowFirstColumn="0" w:lastRowLastColumn="0"/>
            <w:tcW w:w="851" w:type="dxa"/>
          </w:tcPr>
          <w:p w:rsidR="00DF17E9" w:rsidRPr="00092971" w:rsidRDefault="00DF17E9" w:rsidP="00044843">
            <w:pPr>
              <w:rPr>
                <w:color w:val="000000"/>
              </w:rPr>
            </w:pPr>
            <w:r w:rsidRPr="00092971">
              <w:rPr>
                <w:color w:val="000000"/>
              </w:rPr>
              <w:t>2 935</w:t>
            </w:r>
          </w:p>
        </w:tc>
        <w:tc>
          <w:tcPr>
            <w:tcW w:w="170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(2 087)</w:t>
            </w:r>
          </w:p>
        </w:tc>
        <w:tc>
          <w:tcPr>
            <w:cnfStyle w:val="000010000000" w:firstRow="0" w:lastRow="0" w:firstColumn="0" w:lastColumn="0" w:oddVBand="1" w:evenVBand="0" w:oddHBand="0" w:evenHBand="0" w:firstRowFirstColumn="0" w:firstRowLastColumn="0" w:lastRowFirstColumn="0" w:lastRowLastColumn="0"/>
            <w:tcW w:w="1842" w:type="dxa"/>
          </w:tcPr>
          <w:p w:rsidR="00DF17E9" w:rsidRPr="00092971" w:rsidRDefault="00DF17E9" w:rsidP="00044843">
            <w:r w:rsidRPr="00092971">
              <w:rPr>
                <w:color w:val="000000"/>
              </w:rPr>
              <w:t>848</w:t>
            </w:r>
          </w:p>
        </w:tc>
        <w:tc>
          <w:tcPr>
            <w:tcW w:w="90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(582)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092971" w:rsidRDefault="00DF17E9" w:rsidP="00044843">
            <w:r w:rsidRPr="00092971">
              <w:rPr>
                <w:color w:val="000000"/>
              </w:rPr>
              <w:t>265</w:t>
            </w:r>
          </w:p>
        </w:tc>
      </w:tr>
    </w:tbl>
    <w:p w:rsidR="00DF17E9" w:rsidRDefault="00DF17E9" w:rsidP="00D61C6F">
      <w:pPr>
        <w:rPr>
          <w:b/>
        </w:rPr>
      </w:pPr>
    </w:p>
    <w:p w:rsidR="00DF17E9" w:rsidRDefault="00DF17E9" w:rsidP="00D61C6F">
      <w:pPr>
        <w:rPr>
          <w:b/>
        </w:rPr>
        <w:sectPr w:rsidR="00DF17E9" w:rsidSect="00044843">
          <w:type w:val="continuous"/>
          <w:pgSz w:w="11906" w:h="16838" w:code="9"/>
          <w:pgMar w:top="1134" w:right="1134" w:bottom="1134" w:left="1134" w:header="624" w:footer="567" w:gutter="0"/>
          <w:cols w:space="708"/>
          <w:docGrid w:linePitch="360"/>
        </w:sectPr>
      </w:pPr>
    </w:p>
    <w:p w:rsidR="00DF17E9" w:rsidRPr="00230A6B" w:rsidRDefault="00DF17E9" w:rsidP="00D61C6F">
      <w:pPr>
        <w:rPr>
          <w:rFonts w:asciiTheme="majorHAnsi" w:eastAsiaTheme="majorEastAsia" w:hAnsiTheme="majorHAnsi" w:cstheme="majorBidi"/>
          <w:b/>
          <w:bCs/>
          <w:spacing w:val="-2"/>
          <w:szCs w:val="26"/>
        </w:rPr>
      </w:pPr>
      <w:r w:rsidRPr="00230A6B">
        <w:rPr>
          <w:rFonts w:asciiTheme="majorHAnsi" w:eastAsiaTheme="majorEastAsia" w:hAnsiTheme="majorHAnsi" w:cstheme="majorBidi"/>
          <w:b/>
          <w:bCs/>
          <w:spacing w:val="-2"/>
          <w:szCs w:val="26"/>
        </w:rPr>
        <w:lastRenderedPageBreak/>
        <w:t>Net gain or loss by category of financial instruments</w:t>
      </w:r>
    </w:p>
    <w:p w:rsidR="00DF17E9" w:rsidRPr="00204381" w:rsidRDefault="00DF17E9" w:rsidP="00DD16DA">
      <w:r w:rsidRPr="00204381">
        <w:t xml:space="preserve">The net gains or losses on financial assets and </w:t>
      </w:r>
      <w:r>
        <w:t>liabilities held at 30 June 2016</w:t>
      </w:r>
      <w:r w:rsidRPr="00204381">
        <w:t xml:space="preserve"> are determined as follows:</w:t>
      </w:r>
    </w:p>
    <w:p w:rsidR="00DF17E9" w:rsidRPr="00204381" w:rsidRDefault="00DF17E9" w:rsidP="00044843">
      <w:pPr>
        <w:pStyle w:val="ListBullet"/>
        <w:numPr>
          <w:ilvl w:val="0"/>
          <w:numId w:val="9"/>
        </w:numPr>
        <w:ind w:left="397" w:hanging="397"/>
      </w:pPr>
      <w:r w:rsidRPr="00204381">
        <w:t>for loans and receivables and available for sale investments, the net gain or loss is calculated by taking the interest revenue, plus or minus foreign exchange gains or losses arising from revaluation of the financial assets, and minus any impairment recognised in the net result;</w:t>
      </w:r>
    </w:p>
    <w:p w:rsidR="00DF17E9" w:rsidRDefault="00DF17E9" w:rsidP="00044843">
      <w:pPr>
        <w:pStyle w:val="ListBullet"/>
        <w:numPr>
          <w:ilvl w:val="0"/>
          <w:numId w:val="9"/>
        </w:numPr>
        <w:ind w:left="397" w:hanging="397"/>
      </w:pPr>
      <w:r w:rsidRPr="00204381">
        <w:lastRenderedPageBreak/>
        <w:t xml:space="preserve">for financial liabilities measured at amortised cost, the net gain or loss is calculated by taking the interest expense, plus or minus foreign exchange gains or losses arising from the revaluation of financial liabilities </w:t>
      </w:r>
      <w:r>
        <w:t>measured at amortised cost; and</w:t>
      </w:r>
    </w:p>
    <w:p w:rsidR="00DF17E9" w:rsidRDefault="00DF17E9" w:rsidP="00044843">
      <w:pPr>
        <w:pStyle w:val="ListBullet"/>
        <w:numPr>
          <w:ilvl w:val="0"/>
          <w:numId w:val="9"/>
        </w:numPr>
        <w:ind w:left="397" w:hanging="397"/>
        <w:sectPr w:rsidR="00DF17E9" w:rsidSect="00044843">
          <w:type w:val="continuous"/>
          <w:pgSz w:w="11906" w:h="16838" w:code="9"/>
          <w:pgMar w:top="1134" w:right="1134" w:bottom="1134" w:left="1134" w:header="624" w:footer="567" w:gutter="0"/>
          <w:cols w:num="2" w:space="708"/>
          <w:docGrid w:linePitch="360"/>
        </w:sectPr>
      </w:pPr>
      <w:r w:rsidRPr="00204381">
        <w:t>for financial assets and liabilities that are held for trading or designated at fair value through profit or loss, the net gain or loss is calculated by taking the movement in the fair value of the financial asset or liability.</w:t>
      </w:r>
    </w:p>
    <w:p w:rsidR="00DF17E9" w:rsidRPr="00092971" w:rsidRDefault="00DF17E9" w:rsidP="00044843">
      <w:pPr>
        <w:pStyle w:val="Subheading"/>
        <w:rPr>
          <w:bCs/>
          <w:lang w:val="en-US"/>
        </w:rPr>
      </w:pPr>
      <w:r w:rsidRPr="008C63F4">
        <w:lastRenderedPageBreak/>
        <w:t>Net gain or loss by category of financial instruments</w:t>
      </w:r>
      <w:r>
        <w:tab/>
      </w:r>
      <w:r w:rsidRPr="00D652F5">
        <w:rPr>
          <w:rStyle w:val="TableUnitsChar"/>
        </w:rPr>
        <w:t>($ million)</w:t>
      </w:r>
    </w:p>
    <w:tbl>
      <w:tblPr>
        <w:tblStyle w:val="TableDTFGeneral"/>
        <w:tblW w:w="9643" w:type="dxa"/>
        <w:tblLayout w:type="fixed"/>
        <w:tblLook w:val="02A0" w:firstRow="1" w:lastRow="0" w:firstColumn="1" w:lastColumn="0" w:noHBand="1" w:noVBand="0"/>
      </w:tblPr>
      <w:tblGrid>
        <w:gridCol w:w="5983"/>
        <w:gridCol w:w="915"/>
        <w:gridCol w:w="915"/>
        <w:gridCol w:w="915"/>
        <w:gridCol w:w="915"/>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FA1641" w:rsidRPr="00092971" w:rsidRDefault="00FA1641"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30" w:type="dxa"/>
            <w:gridSpan w:val="2"/>
            <w:tcBorders>
              <w:bottom w:val="nil"/>
            </w:tcBorders>
          </w:tcPr>
          <w:p w:rsidR="00FA1641" w:rsidRPr="00092971" w:rsidRDefault="00FA1641" w:rsidP="00044843">
            <w:pPr>
              <w:jc w:val="center"/>
              <w:rPr>
                <w:color w:val="FFFFFF"/>
              </w:rPr>
            </w:pPr>
            <w:r w:rsidRPr="00092971">
              <w:rPr>
                <w:color w:val="FFFFFF"/>
              </w:rPr>
              <w:t>State of Victoria</w:t>
            </w:r>
          </w:p>
        </w:tc>
        <w:tc>
          <w:tcPr>
            <w:tcW w:w="1830" w:type="dxa"/>
            <w:gridSpan w:val="2"/>
            <w:tcBorders>
              <w:bottom w:val="nil"/>
            </w:tcBorders>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Pr>
                <w:color w:val="FFFFFF"/>
              </w:rPr>
              <w:br/>
            </w: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ind w:left="0" w:firstLine="0"/>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pPr>
              <w:jc w:val="left"/>
              <w:rPr>
                <w:color w:val="000000"/>
              </w:rPr>
            </w:pPr>
            <w:r w:rsidRPr="00092971">
              <w:rPr>
                <w:color w:val="000000"/>
              </w:rPr>
              <w:t xml:space="preserve">  </w:t>
            </w:r>
          </w:p>
        </w:tc>
        <w:tc>
          <w:tcPr>
            <w:tcW w:w="915"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pPr>
              <w:jc w:val="left"/>
              <w:rPr>
                <w:color w:val="000000"/>
              </w:rPr>
            </w:pPr>
            <w:r w:rsidRPr="00092971">
              <w:rPr>
                <w:i/>
                <w:color w:val="000000"/>
              </w:rPr>
              <w:t xml:space="preserve">  </w:t>
            </w:r>
          </w:p>
        </w:tc>
        <w:tc>
          <w:tcPr>
            <w:tcW w:w="915"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 xml:space="preserve">Cash and deposits </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(63)</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271</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445</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790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Designated at fair value through the operating statement</w:t>
            </w:r>
            <w:r w:rsidRPr="00092971">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(108)</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1 714</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(9)</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Held-for-trading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3</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5</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Loans and receivables</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r w:rsidRPr="00092971">
              <w:rPr>
                <w:color w:val="000000"/>
              </w:rPr>
              <w:t>(10)</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r w:rsidRPr="00092971">
              <w:rPr>
                <w:color w:val="000000"/>
              </w:rPr>
              <w:t>1</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Available-for-sale</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6" w:space="0" w:color="auto"/>
            </w:tcBorders>
          </w:tcPr>
          <w:p w:rsidR="00DF17E9" w:rsidRPr="00092971" w:rsidRDefault="00DF17E9" w:rsidP="00044843">
            <w:r w:rsidRPr="00092971">
              <w:rPr>
                <w:b/>
                <w:color w:val="000000"/>
              </w:rPr>
              <w:t>(178)</w:t>
            </w:r>
          </w:p>
        </w:tc>
        <w:tc>
          <w:tcPr>
            <w:tcW w:w="915"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1 978</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6" w:space="0" w:color="auto"/>
            </w:tcBorders>
          </w:tcPr>
          <w:p w:rsidR="00DF17E9" w:rsidRPr="00092971" w:rsidRDefault="00DF17E9" w:rsidP="00044843">
            <w:r w:rsidRPr="00092971">
              <w:rPr>
                <w:b/>
                <w:color w:val="000000"/>
              </w:rPr>
              <w:t>442</w:t>
            </w:r>
          </w:p>
        </w:tc>
        <w:tc>
          <w:tcPr>
            <w:tcW w:w="915"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840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ind w:left="0" w:firstLine="0"/>
              <w:rPr>
                <w:color w:val="000000"/>
              </w:rPr>
            </w:pPr>
            <w:r w:rsidRPr="00092971">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pPr>
              <w:jc w:val="left"/>
              <w:rPr>
                <w:color w:val="000000"/>
              </w:rPr>
            </w:pPr>
            <w:r w:rsidRPr="00092971">
              <w:rPr>
                <w:b/>
                <w:color w:val="000000"/>
              </w:rPr>
              <w:t xml:space="preserve"> </w:t>
            </w:r>
          </w:p>
        </w:tc>
        <w:tc>
          <w:tcPr>
            <w:tcW w:w="915"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pPr>
              <w:jc w:val="left"/>
              <w:rPr>
                <w:color w:val="000000"/>
              </w:rPr>
            </w:pPr>
            <w:r w:rsidRPr="00092971">
              <w:rPr>
                <w:b/>
                <w:color w:val="000000"/>
              </w:rPr>
              <w:t xml:space="preserve"> </w:t>
            </w:r>
          </w:p>
        </w:tc>
        <w:tc>
          <w:tcPr>
            <w:tcW w:w="915"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Designated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pPr>
              <w:rPr>
                <w:color w:val="000000"/>
              </w:rPr>
            </w:pPr>
            <w:r w:rsidRPr="00092971">
              <w:rPr>
                <w:color w:val="000000"/>
              </w:rPr>
              <w:t>1 226</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821</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pPr>
              <w:rPr>
                <w:color w:val="000000"/>
              </w:rPr>
            </w:pPr>
            <w:r w:rsidRPr="00092971">
              <w:rPr>
                <w:color w:val="000000"/>
              </w:rPr>
              <w:t>..</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Held-for-trading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r w:rsidRPr="00092971">
              <w:rPr>
                <w:color w:val="000000"/>
              </w:rPr>
              <w:t>68</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(31)</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pPr>
              <w:rPr>
                <w:color w:val="000000"/>
              </w:rPr>
            </w:pPr>
            <w:r w:rsidRPr="00092971">
              <w:rPr>
                <w:color w:val="000000"/>
              </w:rPr>
              <w:t>..</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 xml:space="preserve">At amortised cost </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1 293</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790</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Default="00DF17E9" w:rsidP="00044843">
      <w:pPr>
        <w:pStyle w:val="Note"/>
      </w:pPr>
      <w:r>
        <w:t>Note:</w:t>
      </w:r>
    </w:p>
    <w:p w:rsidR="00DF17E9" w:rsidRDefault="00DF17E9" w:rsidP="00044843">
      <w:pPr>
        <w:pStyle w:val="Note"/>
      </w:pPr>
      <w:r>
        <w:t>(a)</w:t>
      </w:r>
      <w:r>
        <w:tab/>
      </w:r>
      <w:r w:rsidRPr="00D01011">
        <w:t>June 2015 comparative figures have been restated to more consistently reflect the classification of insurance entities</w:t>
      </w:r>
      <w:r>
        <w:t>’</w:t>
      </w:r>
      <w:r w:rsidRPr="00D01011">
        <w:t xml:space="preserve"> investment income between years.</w:t>
      </w:r>
    </w:p>
    <w:p w:rsidR="00DF17E9" w:rsidRDefault="00DF17E9" w:rsidP="00E67D1F"/>
    <w:p w:rsidR="00DF17E9" w:rsidRDefault="00DF17E9">
      <w:r>
        <w:br w:type="page"/>
      </w:r>
    </w:p>
    <w:p w:rsidR="00DF17E9" w:rsidRPr="00092971" w:rsidRDefault="00DF17E9" w:rsidP="00044843">
      <w:pPr>
        <w:pStyle w:val="Subheading"/>
        <w:rPr>
          <w:bCs/>
          <w:lang w:val="en-US"/>
        </w:rPr>
      </w:pPr>
      <w:r w:rsidRPr="00802955">
        <w:lastRenderedPageBreak/>
        <w:t xml:space="preserve">Breakdown of interest revenue </w:t>
      </w:r>
      <w:r w:rsidRPr="00802955">
        <w:rPr>
          <w:vertAlign w:val="superscript"/>
        </w:rPr>
        <w:t>(a)</w:t>
      </w:r>
      <w:r>
        <w:tab/>
      </w:r>
      <w:r w:rsidRPr="00D652F5">
        <w:rPr>
          <w:rStyle w:val="TableUnitsChar"/>
        </w:rPr>
        <w:t>($ million)</w:t>
      </w:r>
    </w:p>
    <w:tbl>
      <w:tblPr>
        <w:tblStyle w:val="TableDTFGeneral"/>
        <w:tblW w:w="9643" w:type="dxa"/>
        <w:tblLayout w:type="fixed"/>
        <w:tblLook w:val="02A0" w:firstRow="1" w:lastRow="0" w:firstColumn="1" w:lastColumn="0" w:noHBand="1" w:noVBand="0"/>
      </w:tblPr>
      <w:tblGrid>
        <w:gridCol w:w="5983"/>
        <w:gridCol w:w="915"/>
        <w:gridCol w:w="915"/>
        <w:gridCol w:w="915"/>
        <w:gridCol w:w="915"/>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FA1641" w:rsidRPr="00092971" w:rsidRDefault="00FA1641"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30" w:type="dxa"/>
            <w:gridSpan w:val="2"/>
            <w:tcBorders>
              <w:bottom w:val="nil"/>
            </w:tcBorders>
          </w:tcPr>
          <w:p w:rsidR="00FA1641" w:rsidRPr="00092971" w:rsidRDefault="00FA1641" w:rsidP="00044843">
            <w:pPr>
              <w:jc w:val="center"/>
              <w:rPr>
                <w:color w:val="FFFFFF"/>
              </w:rPr>
            </w:pPr>
            <w:r w:rsidRPr="00092971">
              <w:rPr>
                <w:color w:val="FFFFFF"/>
              </w:rPr>
              <w:t>State of Victoria</w:t>
            </w:r>
          </w:p>
        </w:tc>
        <w:tc>
          <w:tcPr>
            <w:tcW w:w="1830" w:type="dxa"/>
            <w:gridSpan w:val="2"/>
            <w:tcBorders>
              <w:bottom w:val="nil"/>
            </w:tcBorders>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Pr>
                <w:color w:val="FFFFFF"/>
              </w:rPr>
              <w:br/>
            </w: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FA1641">
            <w:pPr>
              <w:ind w:left="113" w:hanging="113"/>
              <w:rPr>
                <w:vertAlign w:val="superscript"/>
              </w:rPr>
            </w:pPr>
            <w:r w:rsidRPr="00092971">
              <w:rPr>
                <w:color w:val="000000"/>
              </w:rPr>
              <w:t xml:space="preserve">Interest revenue from financial assets not at fair value through the operating statement </w:t>
            </w:r>
            <w:r w:rsidRPr="00092971">
              <w:rPr>
                <w:vertAlign w:val="superscript"/>
              </w:rPr>
              <w:t>(b)</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color w:val="000000"/>
              </w:rPr>
              <w:t>366</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424</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color w:val="000000"/>
              </w:rPr>
              <w:t>786</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FA1641">
            <w:pPr>
              <w:ind w:left="113" w:hanging="113"/>
              <w:rPr>
                <w:color w:val="000000"/>
              </w:rPr>
            </w:pPr>
            <w:r w:rsidRPr="00092971">
              <w:rPr>
                <w:color w:val="000000"/>
              </w:rPr>
              <w:t>Interest revenue from financial assets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r w:rsidRPr="00092971">
              <w:rPr>
                <w:color w:val="000000"/>
              </w:rPr>
              <w:t>471</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732</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pPr>
              <w:rPr>
                <w:color w:val="000000"/>
              </w:rPr>
            </w:pPr>
            <w:r w:rsidRPr="00092971">
              <w:rPr>
                <w:color w:val="000000"/>
              </w:rPr>
              <w:t>..</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Interest revenue from impaired financial assets</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rPr>
                <w:vertAlign w:val="superscript"/>
              </w:rPr>
            </w:pPr>
            <w:r w:rsidRPr="00092971">
              <w:rPr>
                <w:b/>
                <w:color w:val="000000"/>
              </w:rPr>
              <w:t>Total</w:t>
            </w:r>
            <w:r w:rsidRPr="00092971">
              <w:rPr>
                <w:color w:val="000000"/>
              </w:rPr>
              <w:t xml:space="preserve"> </w:t>
            </w:r>
            <w:r w:rsidRPr="00293172">
              <w:rPr>
                <w:b/>
                <w:vertAlign w:val="superscript"/>
              </w:rPr>
              <w:t>(b)</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r w:rsidRPr="00092971">
              <w:rPr>
                <w:b/>
                <w:color w:val="000000"/>
              </w:rPr>
              <w:t>837</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1 156</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r w:rsidRPr="00092971">
              <w:rPr>
                <w:b/>
                <w:color w:val="000000"/>
              </w:rPr>
              <w:t>786</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827</w:t>
            </w:r>
          </w:p>
        </w:tc>
      </w:tr>
    </w:tbl>
    <w:p w:rsidR="00DF17E9" w:rsidRDefault="00DF17E9" w:rsidP="00044843">
      <w:pPr>
        <w:pStyle w:val="Note"/>
      </w:pPr>
      <w:r>
        <w:t>Notes:</w:t>
      </w:r>
    </w:p>
    <w:p w:rsidR="00DF17E9" w:rsidRDefault="00DF17E9" w:rsidP="00044843">
      <w:pPr>
        <w:pStyle w:val="Note"/>
      </w:pPr>
      <w:r>
        <w:t>(a)</w:t>
      </w:r>
      <w:r>
        <w:tab/>
        <w:t>These items include amounts that relate to discount interest on financial assets. Therefore, figures in this table cannot be reconciled to the primary financial statements.</w:t>
      </w:r>
    </w:p>
    <w:p w:rsidR="00DF17E9" w:rsidRDefault="00DF17E9" w:rsidP="00044843">
      <w:pPr>
        <w:pStyle w:val="Note"/>
      </w:pPr>
      <w:r>
        <w:t>(b)</w:t>
      </w:r>
      <w:r>
        <w:tab/>
      </w:r>
      <w:r w:rsidRPr="00D01011">
        <w:t>June 2015 comparative figures have been restated to more consistently reflect the classification of insurance entities</w:t>
      </w:r>
      <w:r>
        <w:t>’</w:t>
      </w:r>
      <w:r w:rsidRPr="00D01011">
        <w:t xml:space="preserve"> investment income between years.</w:t>
      </w:r>
    </w:p>
    <w:p w:rsidR="00DF17E9" w:rsidRPr="00092971" w:rsidRDefault="00DF17E9" w:rsidP="00044843">
      <w:pPr>
        <w:pStyle w:val="Subheading"/>
        <w:rPr>
          <w:bCs/>
          <w:i/>
          <w:sz w:val="16"/>
          <w:lang w:val="en-US"/>
        </w:rPr>
      </w:pPr>
      <w:r w:rsidRPr="00802955">
        <w:t xml:space="preserve">Breakdown of interest and fee expense items </w:t>
      </w:r>
      <w:r w:rsidRPr="00802955">
        <w:rPr>
          <w:vertAlign w:val="superscript"/>
        </w:rPr>
        <w:t>(a)</w:t>
      </w:r>
      <w:r>
        <w:t xml:space="preserve"> </w:t>
      </w:r>
      <w:r>
        <w:tab/>
      </w:r>
      <w:r w:rsidRPr="00D652F5">
        <w:rPr>
          <w:rStyle w:val="TableUnitsChar"/>
        </w:rPr>
        <w:t>($ million</w:t>
      </w:r>
      <w:r>
        <w:rPr>
          <w:rStyle w:val="TableUnitsChar"/>
        </w:rPr>
        <w:t>)</w:t>
      </w:r>
    </w:p>
    <w:tbl>
      <w:tblPr>
        <w:tblStyle w:val="TableDTFGeneral"/>
        <w:tblW w:w="9643" w:type="dxa"/>
        <w:tblLayout w:type="fixed"/>
        <w:tblLook w:val="02A0" w:firstRow="1" w:lastRow="0" w:firstColumn="1" w:lastColumn="0" w:noHBand="1" w:noVBand="0"/>
      </w:tblPr>
      <w:tblGrid>
        <w:gridCol w:w="5983"/>
        <w:gridCol w:w="915"/>
        <w:gridCol w:w="915"/>
        <w:gridCol w:w="915"/>
        <w:gridCol w:w="915"/>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FA1641" w:rsidRPr="00092971" w:rsidRDefault="00FA1641"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830" w:type="dxa"/>
            <w:gridSpan w:val="2"/>
            <w:tcBorders>
              <w:bottom w:val="nil"/>
            </w:tcBorders>
          </w:tcPr>
          <w:p w:rsidR="00FA1641" w:rsidRPr="00092971" w:rsidRDefault="00FA1641" w:rsidP="00044843">
            <w:pPr>
              <w:jc w:val="center"/>
              <w:rPr>
                <w:color w:val="FFFFFF"/>
              </w:rPr>
            </w:pPr>
            <w:r>
              <w:rPr>
                <w:color w:val="FFFFFF"/>
              </w:rPr>
              <w:t>S</w:t>
            </w:r>
            <w:r w:rsidRPr="00092971">
              <w:rPr>
                <w:color w:val="FFFFFF"/>
              </w:rPr>
              <w:t>tate of Victoria</w:t>
            </w:r>
          </w:p>
        </w:tc>
        <w:tc>
          <w:tcPr>
            <w:tcW w:w="1830" w:type="dxa"/>
            <w:gridSpan w:val="2"/>
            <w:tcBorders>
              <w:bottom w:val="nil"/>
            </w:tcBorders>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Pr>
                <w:color w:val="FFFFFF"/>
              </w:rPr>
              <w:br/>
            </w: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FFFFFF"/>
              </w:rPr>
            </w:pPr>
            <w:r w:rsidRPr="00092971">
              <w:rPr>
                <w:color w:val="FFFFFF"/>
              </w:rPr>
              <w:t>2016</w:t>
            </w:r>
          </w:p>
        </w:tc>
        <w:tc>
          <w:tcPr>
            <w:tcW w:w="915" w:type="dxa"/>
            <w:tcBorders>
              <w:bottom w:val="single" w:sz="6" w:space="0" w:color="auto"/>
            </w:tcBorders>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FA1641">
            <w:pPr>
              <w:ind w:left="113" w:hanging="113"/>
              <w:rPr>
                <w:color w:val="000000"/>
              </w:rPr>
            </w:pPr>
            <w:r w:rsidRPr="00092971">
              <w:rPr>
                <w:color w:val="000000"/>
              </w:rPr>
              <w:t xml:space="preserve">Interest expense from financial liabilities not at fair value through the operating statement </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color w:val="000000"/>
              </w:rPr>
              <w:t>828</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836</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tcBorders>
          </w:tcPr>
          <w:p w:rsidR="00DF17E9" w:rsidRPr="00092971" w:rsidRDefault="00DF17E9" w:rsidP="00044843">
            <w:r w:rsidRPr="00092971">
              <w:rPr>
                <w:color w:val="000000"/>
              </w:rPr>
              <w:t>2 042</w:t>
            </w:r>
          </w:p>
        </w:tc>
        <w:tc>
          <w:tcPr>
            <w:tcW w:w="915"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2 067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FA1641">
            <w:pPr>
              <w:ind w:left="113" w:hanging="113"/>
              <w:rPr>
                <w:color w:val="000000"/>
              </w:rPr>
            </w:pPr>
            <w:r w:rsidRPr="00092971">
              <w:rPr>
                <w:color w:val="000000"/>
              </w:rPr>
              <w:t>Interest expense from financial liabilities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r w:rsidRPr="00092971">
              <w:rPr>
                <w:color w:val="000000"/>
              </w:rPr>
              <w:t>2 060</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2 164</w:t>
            </w:r>
          </w:p>
        </w:tc>
        <w:tc>
          <w:tcPr>
            <w:cnfStyle w:val="000010000000" w:firstRow="0" w:lastRow="0" w:firstColumn="0" w:lastColumn="0" w:oddVBand="1" w:evenVBand="0" w:oddHBand="0" w:evenHBand="0" w:firstRowFirstColumn="0" w:firstRowLastColumn="0" w:lastRowFirstColumn="0" w:lastRowLastColumn="0"/>
            <w:tcW w:w="915" w:type="dxa"/>
          </w:tcPr>
          <w:p w:rsidR="00DF17E9" w:rsidRPr="00092971" w:rsidRDefault="00DF17E9" w:rsidP="00044843">
            <w:pPr>
              <w:rPr>
                <w:color w:val="000000"/>
              </w:rPr>
            </w:pPr>
            <w:r w:rsidRPr="00092971">
              <w:rPr>
                <w:color w:val="000000"/>
              </w:rPr>
              <w:t>..</w:t>
            </w:r>
          </w:p>
        </w:tc>
        <w:tc>
          <w:tcPr>
            <w:tcW w:w="9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FA1641">
            <w:pPr>
              <w:ind w:left="113" w:hanging="113"/>
              <w:rPr>
                <w:color w:val="000000"/>
              </w:rPr>
            </w:pPr>
            <w:r w:rsidRPr="00092971">
              <w:rPr>
                <w:color w:val="000000"/>
              </w:rPr>
              <w:t>Fee expenses from financial liabilities not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r w:rsidRPr="00092971">
              <w:rPr>
                <w:color w:val="000000"/>
              </w:rPr>
              <w:t>39</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25</w:t>
            </w:r>
          </w:p>
        </w:tc>
        <w:tc>
          <w:tcPr>
            <w:cnfStyle w:val="000010000000" w:firstRow="0" w:lastRow="0" w:firstColumn="0" w:lastColumn="0" w:oddVBand="1" w:evenVBand="0" w:oddHBand="0" w:evenHBand="0" w:firstRowFirstColumn="0" w:firstRowLastColumn="0" w:lastRowFirstColumn="0" w:lastRowLastColumn="0"/>
            <w:tcW w:w="915" w:type="dxa"/>
            <w:tcBorders>
              <w:bottom w:val="nil"/>
            </w:tcBorders>
          </w:tcPr>
          <w:p w:rsidR="00DF17E9" w:rsidRPr="00092971" w:rsidRDefault="00DF17E9" w:rsidP="00044843">
            <w:r w:rsidRPr="00092971">
              <w:rPr>
                <w:color w:val="000000"/>
              </w:rPr>
              <w:t>36</w:t>
            </w:r>
          </w:p>
        </w:tc>
        <w:tc>
          <w:tcPr>
            <w:tcW w:w="9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FA1641">
            <w:pPr>
              <w:ind w:left="113" w:hanging="113"/>
              <w:rPr>
                <w:color w:val="000000"/>
              </w:rPr>
            </w:pPr>
            <w:r w:rsidRPr="00092971">
              <w:rPr>
                <w:color w:val="000000"/>
              </w:rPr>
              <w:t>Fee expenses from financial liabilities at fair value through the operating statement</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r w:rsidRPr="00092971">
              <w:rPr>
                <w:color w:val="000000"/>
              </w:rPr>
              <w:t>415</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433</w:t>
            </w:r>
          </w:p>
        </w:tc>
        <w:tc>
          <w:tcPr>
            <w:cnfStyle w:val="000010000000" w:firstRow="0" w:lastRow="0" w:firstColumn="0" w:lastColumn="0" w:oddVBand="1" w:evenVBand="0" w:oddHBand="0" w:evenHBand="0" w:firstRowFirstColumn="0" w:firstRowLastColumn="0" w:lastRowFirstColumn="0" w:lastRowLastColumn="0"/>
            <w:tcW w:w="915" w:type="dxa"/>
            <w:tcBorders>
              <w:bottom w:val="single" w:sz="6" w:space="0" w:color="auto"/>
            </w:tcBorders>
          </w:tcPr>
          <w:p w:rsidR="00DF17E9" w:rsidRPr="00092971" w:rsidRDefault="00DF17E9" w:rsidP="00044843">
            <w:pPr>
              <w:rPr>
                <w:color w:val="000000"/>
              </w:rPr>
            </w:pPr>
            <w:r w:rsidRPr="00092971">
              <w:rPr>
                <w:color w:val="000000"/>
              </w:rPr>
              <w:t>..</w:t>
            </w:r>
          </w:p>
        </w:tc>
        <w:tc>
          <w:tcPr>
            <w:tcW w:w="9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b/>
              </w:rPr>
            </w:pPr>
            <w:r w:rsidRPr="00092971">
              <w:rPr>
                <w:b/>
                <w:color w:val="000000"/>
              </w:rPr>
              <w:t>3 341</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092971">
              <w:rPr>
                <w:b/>
                <w:color w:val="000000"/>
              </w:rPr>
              <w:t>3 458</w:t>
            </w:r>
          </w:p>
        </w:tc>
        <w:tc>
          <w:tcPr>
            <w:cnfStyle w:val="000010000000" w:firstRow="0" w:lastRow="0" w:firstColumn="0" w:lastColumn="0" w:oddVBand="1" w:evenVBand="0" w:oddHBand="0" w:evenHBand="0" w:firstRowFirstColumn="0" w:firstRowLastColumn="0" w:lastRowFirstColumn="0" w:lastRowLastColumn="0"/>
            <w:tcW w:w="915" w:type="dxa"/>
            <w:tcBorders>
              <w:top w:val="single" w:sz="6" w:space="0" w:color="auto"/>
              <w:bottom w:val="single" w:sz="12" w:space="0" w:color="auto"/>
            </w:tcBorders>
          </w:tcPr>
          <w:p w:rsidR="00DF17E9" w:rsidRPr="00092971" w:rsidRDefault="00DF17E9" w:rsidP="00044843">
            <w:pPr>
              <w:rPr>
                <w:b/>
              </w:rPr>
            </w:pPr>
            <w:r w:rsidRPr="00092971">
              <w:rPr>
                <w:b/>
                <w:color w:val="000000"/>
              </w:rPr>
              <w:t>2 079</w:t>
            </w:r>
          </w:p>
        </w:tc>
        <w:tc>
          <w:tcPr>
            <w:tcW w:w="9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092971">
              <w:rPr>
                <w:b/>
                <w:color w:val="000000"/>
              </w:rPr>
              <w:t>2 097</w:t>
            </w:r>
          </w:p>
        </w:tc>
      </w:tr>
    </w:tbl>
    <w:p w:rsidR="00DF17E9" w:rsidRDefault="00DF17E9" w:rsidP="00802955">
      <w:pPr>
        <w:pStyle w:val="Note"/>
      </w:pPr>
      <w:r>
        <w:t>Note:</w:t>
      </w:r>
    </w:p>
    <w:p w:rsidR="00DF17E9" w:rsidRDefault="00DF17E9" w:rsidP="00044843">
      <w:pPr>
        <w:pStyle w:val="Note"/>
      </w:pPr>
      <w:r>
        <w:t>(a)</w:t>
      </w:r>
      <w:r>
        <w:tab/>
        <w:t>These items do not include amounts that relate to discount interest on non-financial liabilities. Therefore, figures in this table cannot be reconciled to the primary financial statements.</w:t>
      </w:r>
    </w:p>
    <w:p w:rsidR="00DF17E9" w:rsidRDefault="00DF17E9" w:rsidP="00044843">
      <w:pPr>
        <w:pStyle w:val="Note"/>
      </w:pPr>
    </w:p>
    <w:p w:rsidR="00DF17E9" w:rsidRDefault="00DF17E9" w:rsidP="00044843">
      <w:pPr>
        <w:pStyle w:val="Note"/>
        <w:sectPr w:rsidR="00DF17E9" w:rsidSect="00044843">
          <w:type w:val="continuous"/>
          <w:pgSz w:w="11906" w:h="16838" w:code="9"/>
          <w:pgMar w:top="1134" w:right="1134" w:bottom="1134" w:left="1134" w:header="624" w:footer="567" w:gutter="0"/>
          <w:cols w:space="708"/>
          <w:docGrid w:linePitch="360"/>
        </w:sectPr>
      </w:pPr>
    </w:p>
    <w:p w:rsidR="00DF17E9" w:rsidRPr="004160C0" w:rsidRDefault="00DF17E9" w:rsidP="00044843">
      <w:pPr>
        <w:pStyle w:val="Heading2"/>
        <w:rPr>
          <w:b w:val="0"/>
        </w:rPr>
      </w:pPr>
      <w:bookmarkStart w:id="62" w:name="_Toc459976624"/>
      <w:r>
        <w:lastRenderedPageBreak/>
        <w:t>C</w:t>
      </w:r>
      <w:r w:rsidRPr="0003025F">
        <w:t>ontingent assets and contingent liabilities (State of Victoria</w:t>
      </w:r>
      <w:r>
        <w:t>)</w:t>
      </w:r>
      <w:bookmarkEnd w:id="62"/>
    </w:p>
    <w:p w:rsidR="00DF17E9" w:rsidRPr="00C50360" w:rsidRDefault="00DF17E9" w:rsidP="00044843">
      <w:pPr>
        <w:rPr>
          <w:b/>
        </w:rPr>
      </w:pPr>
      <w:r w:rsidRPr="00C50360">
        <w:t>Contingent assets and contingent liabilities are not recognised in the balance sheet but are disclosed and, if quantifiable, are measured at nominal value.</w:t>
      </w:r>
    </w:p>
    <w:p w:rsidR="00DF17E9" w:rsidRPr="00C50360" w:rsidRDefault="00DF17E9" w:rsidP="00044843">
      <w:pPr>
        <w:rPr>
          <w:b/>
        </w:rPr>
      </w:pPr>
      <w:r w:rsidRPr="00C50360">
        <w:t>Contingent assets and liabilities are presented inclusive of GST receivable or payable respectively.</w:t>
      </w:r>
    </w:p>
    <w:p w:rsidR="00DF17E9" w:rsidRPr="00C50360" w:rsidRDefault="00DF17E9" w:rsidP="00044843">
      <w:pPr>
        <w:pStyle w:val="Subheadingunderline"/>
      </w:pPr>
      <w:r w:rsidRPr="001227F0">
        <w:t>Contingent assets</w:t>
      </w:r>
    </w:p>
    <w:p w:rsidR="00DF17E9" w:rsidRPr="008A091D" w:rsidRDefault="00DF17E9" w:rsidP="00044843">
      <w:r w:rsidRPr="008A091D">
        <w:t>Contingent assets are possible assets that arise from past events, whose existence will be confirmed only by the occurrence or non-occurrence of one or more uncertain future events not wholly within the control of the entity.</w:t>
      </w:r>
    </w:p>
    <w:p w:rsidR="00DF17E9" w:rsidRPr="008A091D" w:rsidRDefault="00DF17E9" w:rsidP="00044843">
      <w:r w:rsidRPr="008A091D">
        <w:t>These are classified as either quantifiable, where the potential ec</w:t>
      </w:r>
      <w:r>
        <w:t>onomic benefit is known, or non-</w:t>
      </w:r>
      <w:r w:rsidRPr="008A091D">
        <w:t xml:space="preserve">quantifiable. </w:t>
      </w:r>
    </w:p>
    <w:p w:rsidR="00DF17E9" w:rsidRDefault="00DF17E9" w:rsidP="00044843">
      <w:r w:rsidRPr="008A091D">
        <w:t>The table below contains quantifiable contingent assets as at 30 June 2016 (arising from outside of government).</w:t>
      </w:r>
    </w:p>
    <w:p w:rsidR="00DF17E9" w:rsidRPr="00092971" w:rsidRDefault="00DF17E9" w:rsidP="00044843">
      <w:pPr>
        <w:pStyle w:val="Subheading"/>
        <w:tabs>
          <w:tab w:val="right" w:pos="4410"/>
        </w:tabs>
        <w:rPr>
          <w:bCs/>
          <w:lang w:val="en-US"/>
        </w:rPr>
      </w:pPr>
      <w:r>
        <w:br w:type="column"/>
      </w:r>
      <w:r>
        <w:lastRenderedPageBreak/>
        <w:t xml:space="preserve">Quantifiable contingent assets </w:t>
      </w:r>
      <w:r w:rsidRPr="0030620C">
        <w:rPr>
          <w:vertAlign w:val="superscript"/>
        </w:rPr>
        <w:t>(a)</w:t>
      </w:r>
      <w:r>
        <w:rPr>
          <w:vertAlign w:val="superscript"/>
        </w:rPr>
        <w:tab/>
      </w:r>
      <w:r w:rsidRPr="00D652F5">
        <w:rPr>
          <w:rStyle w:val="TableUnitsChar"/>
        </w:rPr>
        <w:t>($ million</w:t>
      </w:r>
      <w:r>
        <w:rPr>
          <w:rStyle w:val="TableUnitsChar"/>
        </w:rPr>
        <w:t>)</w:t>
      </w:r>
    </w:p>
    <w:tbl>
      <w:tblPr>
        <w:tblStyle w:val="TableDTFGeneral"/>
        <w:tblW w:w="4484" w:type="dxa"/>
        <w:tblLayout w:type="fixed"/>
        <w:tblLook w:val="02A0" w:firstRow="1" w:lastRow="0" w:firstColumn="1" w:lastColumn="0" w:noHBand="1" w:noVBand="0"/>
      </w:tblPr>
      <w:tblGrid>
        <w:gridCol w:w="3005"/>
        <w:gridCol w:w="264"/>
        <w:gridCol w:w="612"/>
        <w:gridCol w:w="603"/>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FA1641" w:rsidRPr="00092971" w:rsidRDefault="00FA1641" w:rsidP="00044843">
            <w:pPr>
              <w:ind w:left="0" w:firstLine="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479" w:type="dxa"/>
            <w:gridSpan w:val="3"/>
          </w:tcPr>
          <w:p w:rsidR="00FA1641" w:rsidRPr="00092971" w:rsidRDefault="00FA1641" w:rsidP="00FA1641">
            <w:pPr>
              <w:rPr>
                <w:color w:val="FFFFFF"/>
              </w:rPr>
            </w:pPr>
            <w:r w:rsidRPr="00092971">
              <w:rPr>
                <w:color w:val="FFFFFF"/>
              </w:rPr>
              <w:t>State of Victoria</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9" w:type="dxa"/>
            <w:gridSpan w:val="2"/>
          </w:tcPr>
          <w:p w:rsidR="00DF17E9" w:rsidRPr="00092971" w:rsidRDefault="00DF17E9" w:rsidP="00044843">
            <w:pPr>
              <w:ind w:left="0" w:firstLine="0"/>
              <w:jc w:val="right"/>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612" w:type="dxa"/>
          </w:tcPr>
          <w:p w:rsidR="00DF17E9" w:rsidRPr="00092971" w:rsidRDefault="00DF17E9" w:rsidP="00044843">
            <w:pPr>
              <w:rPr>
                <w:color w:val="FFFFFF"/>
              </w:rPr>
            </w:pPr>
            <w:r w:rsidRPr="00092971">
              <w:rPr>
                <w:color w:val="FFFFFF"/>
              </w:rPr>
              <w:t>2016</w:t>
            </w:r>
          </w:p>
        </w:tc>
        <w:tc>
          <w:tcPr>
            <w:tcW w:w="603"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Pr>
          <w:p w:rsidR="00DF17E9" w:rsidRPr="00092971" w:rsidRDefault="00DF17E9" w:rsidP="00044843">
            <w:pPr>
              <w:ind w:left="0" w:firstLine="0"/>
              <w:rPr>
                <w:color w:val="000000"/>
              </w:rPr>
            </w:pPr>
            <w:r w:rsidRPr="00092971">
              <w:rPr>
                <w:color w:val="000000"/>
              </w:rPr>
              <w:t xml:space="preserve">General government </w:t>
            </w:r>
            <w:r w:rsidRPr="00092971">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612" w:type="dxa"/>
          </w:tcPr>
          <w:p w:rsidR="00DF17E9" w:rsidRPr="00092971" w:rsidRDefault="00DF17E9" w:rsidP="00044843">
            <w:r w:rsidRPr="00092971">
              <w:rPr>
                <w:color w:val="000000"/>
              </w:rPr>
              <w:t>115</w:t>
            </w:r>
          </w:p>
        </w:tc>
        <w:tc>
          <w:tcPr>
            <w:tcW w:w="60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Borders>
              <w:bottom w:val="nil"/>
            </w:tcBorders>
          </w:tcPr>
          <w:p w:rsidR="00DF17E9" w:rsidRPr="00092971" w:rsidRDefault="00DF17E9" w:rsidP="00044843">
            <w:pPr>
              <w:ind w:left="0" w:firstLine="0"/>
              <w:rPr>
                <w:color w:val="000000"/>
              </w:rPr>
            </w:pPr>
            <w:r w:rsidRPr="00092971">
              <w:rPr>
                <w:color w:val="000000"/>
              </w:rPr>
              <w:t>Public non-financial corporations</w:t>
            </w:r>
          </w:p>
        </w:tc>
        <w:tc>
          <w:tcPr>
            <w:cnfStyle w:val="000010000000" w:firstRow="0" w:lastRow="0" w:firstColumn="0" w:lastColumn="0" w:oddVBand="1" w:evenVBand="0" w:oddHBand="0" w:evenHBand="0" w:firstRowFirstColumn="0" w:firstRowLastColumn="0" w:lastRowFirstColumn="0" w:lastRowLastColumn="0"/>
            <w:tcW w:w="612" w:type="dxa"/>
            <w:tcBorders>
              <w:bottom w:val="nil"/>
            </w:tcBorders>
          </w:tcPr>
          <w:p w:rsidR="00DF17E9" w:rsidRPr="00092971" w:rsidRDefault="00DF17E9" w:rsidP="00044843">
            <w:r w:rsidRPr="00092971">
              <w:rPr>
                <w:color w:val="000000"/>
              </w:rPr>
              <w:t>238</w:t>
            </w:r>
          </w:p>
        </w:tc>
        <w:tc>
          <w:tcPr>
            <w:tcW w:w="60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Borders>
              <w:bottom w:val="single" w:sz="6" w:space="0" w:color="auto"/>
            </w:tcBorders>
          </w:tcPr>
          <w:p w:rsidR="00DF17E9" w:rsidRPr="00092971" w:rsidRDefault="00DF17E9" w:rsidP="00044843">
            <w:pPr>
              <w:ind w:left="0" w:firstLine="0"/>
              <w:rPr>
                <w:color w:val="000000"/>
              </w:rPr>
            </w:pPr>
            <w:r w:rsidRPr="00092971">
              <w:rPr>
                <w:color w:val="000000"/>
              </w:rPr>
              <w:t>Public financial corporations</w:t>
            </w:r>
          </w:p>
        </w:tc>
        <w:tc>
          <w:tcPr>
            <w:cnfStyle w:val="000010000000" w:firstRow="0" w:lastRow="0" w:firstColumn="0" w:lastColumn="0" w:oddVBand="1" w:evenVBand="0" w:oddHBand="0" w:evenHBand="0" w:firstRowFirstColumn="0" w:firstRowLastColumn="0" w:lastRowFirstColumn="0" w:lastRowLastColumn="0"/>
            <w:tcW w:w="612" w:type="dxa"/>
            <w:tcBorders>
              <w:bottom w:val="single" w:sz="6" w:space="0" w:color="auto"/>
            </w:tcBorders>
          </w:tcPr>
          <w:p w:rsidR="00DF17E9" w:rsidRPr="00092971" w:rsidRDefault="00DF17E9" w:rsidP="00044843">
            <w:pPr>
              <w:rPr>
                <w:color w:val="000000"/>
              </w:rPr>
            </w:pPr>
            <w:r w:rsidRPr="00092971">
              <w:rPr>
                <w:color w:val="000000"/>
              </w:rPr>
              <w:t>..</w:t>
            </w:r>
          </w:p>
        </w:tc>
        <w:tc>
          <w:tcPr>
            <w:tcW w:w="60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contingent assets – State of Victoria</w:t>
            </w:r>
          </w:p>
        </w:tc>
        <w:tc>
          <w:tcPr>
            <w:cnfStyle w:val="000010000000" w:firstRow="0" w:lastRow="0" w:firstColumn="0" w:lastColumn="0" w:oddVBand="1" w:evenVBand="0" w:oddHBand="0" w:evenHBand="0" w:firstRowFirstColumn="0" w:firstRowLastColumn="0" w:lastRowFirstColumn="0" w:lastRowLastColumn="0"/>
            <w:tcW w:w="612" w:type="dxa"/>
            <w:tcBorders>
              <w:top w:val="single" w:sz="6" w:space="0" w:color="auto"/>
              <w:bottom w:val="single" w:sz="12" w:space="0" w:color="auto"/>
            </w:tcBorders>
          </w:tcPr>
          <w:p w:rsidR="00DF17E9" w:rsidRPr="00092971" w:rsidRDefault="00DF17E9" w:rsidP="00044843">
            <w:r w:rsidRPr="00092971">
              <w:rPr>
                <w:b/>
                <w:color w:val="000000"/>
              </w:rPr>
              <w:t>353</w:t>
            </w:r>
          </w:p>
        </w:tc>
        <w:tc>
          <w:tcPr>
            <w:tcW w:w="60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305</w:t>
            </w:r>
          </w:p>
        </w:tc>
      </w:tr>
      <w:tr w:rsidR="00DF17E9" w:rsidRPr="00092971"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3269" w:type="dxa"/>
            <w:gridSpan w:val="2"/>
            <w:tcBorders>
              <w:top w:val="single" w:sz="12" w:space="0" w:color="auto"/>
            </w:tcBorders>
          </w:tcPr>
          <w:p w:rsidR="00DF17E9" w:rsidRPr="00092971" w:rsidRDefault="00DF17E9" w:rsidP="00044843">
            <w:pPr>
              <w:ind w:left="0" w:firstLine="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612" w:type="dxa"/>
            <w:tcBorders>
              <w:top w:val="single" w:sz="12" w:space="0" w:color="auto"/>
            </w:tcBorders>
          </w:tcPr>
          <w:p w:rsidR="00DF17E9" w:rsidRPr="00092971" w:rsidRDefault="00DF17E9" w:rsidP="00044843">
            <w:pPr>
              <w:rPr>
                <w:color w:val="000000"/>
              </w:rPr>
            </w:pPr>
            <w:r w:rsidRPr="00092971">
              <w:rPr>
                <w:color w:val="000000"/>
              </w:rPr>
              <w:t xml:space="preserve"> </w:t>
            </w:r>
          </w:p>
        </w:tc>
        <w:tc>
          <w:tcPr>
            <w:tcW w:w="603" w:type="dxa"/>
            <w:tcBorders>
              <w:top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Pr>
          <w:p w:rsidR="00DF17E9" w:rsidRPr="00092971" w:rsidRDefault="00DF17E9" w:rsidP="00044843">
            <w:pPr>
              <w:ind w:left="0" w:firstLine="0"/>
              <w:rPr>
                <w:color w:val="000000"/>
              </w:rPr>
            </w:pPr>
            <w:r w:rsidRPr="00092971">
              <w:rPr>
                <w:color w:val="000000"/>
              </w:rPr>
              <w:t>Guarantees, indemnities and warranties</w:t>
            </w:r>
          </w:p>
        </w:tc>
        <w:tc>
          <w:tcPr>
            <w:cnfStyle w:val="000010000000" w:firstRow="0" w:lastRow="0" w:firstColumn="0" w:lastColumn="0" w:oddVBand="1" w:evenVBand="0" w:oddHBand="0" w:evenHBand="0" w:firstRowFirstColumn="0" w:firstRowLastColumn="0" w:lastRowFirstColumn="0" w:lastRowLastColumn="0"/>
            <w:tcW w:w="612" w:type="dxa"/>
          </w:tcPr>
          <w:p w:rsidR="00DF17E9" w:rsidRPr="00092971" w:rsidRDefault="00DF17E9" w:rsidP="00044843">
            <w:r w:rsidRPr="00092971">
              <w:rPr>
                <w:color w:val="000000"/>
              </w:rPr>
              <w:t>100</w:t>
            </w:r>
          </w:p>
        </w:tc>
        <w:tc>
          <w:tcPr>
            <w:tcW w:w="60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Borders>
              <w:bottom w:val="nil"/>
            </w:tcBorders>
          </w:tcPr>
          <w:p w:rsidR="00DF17E9" w:rsidRPr="00092971" w:rsidRDefault="00DF17E9" w:rsidP="00044843">
            <w:pPr>
              <w:ind w:left="0" w:firstLine="0"/>
              <w:rPr>
                <w:color w:val="000000"/>
              </w:rPr>
            </w:pPr>
            <w:r w:rsidRPr="00092971">
              <w:rPr>
                <w:color w:val="000000"/>
              </w:rPr>
              <w:t>Legal proceedings and disputes</w:t>
            </w:r>
          </w:p>
        </w:tc>
        <w:tc>
          <w:tcPr>
            <w:cnfStyle w:val="000010000000" w:firstRow="0" w:lastRow="0" w:firstColumn="0" w:lastColumn="0" w:oddVBand="1" w:evenVBand="0" w:oddHBand="0" w:evenHBand="0" w:firstRowFirstColumn="0" w:firstRowLastColumn="0" w:lastRowFirstColumn="0" w:lastRowLastColumn="0"/>
            <w:tcW w:w="612" w:type="dxa"/>
            <w:tcBorders>
              <w:bottom w:val="nil"/>
            </w:tcBorders>
          </w:tcPr>
          <w:p w:rsidR="00DF17E9" w:rsidRPr="00092971" w:rsidRDefault="00DF17E9" w:rsidP="00044843">
            <w:r w:rsidRPr="00092971">
              <w:rPr>
                <w:color w:val="000000"/>
              </w:rPr>
              <w:t>18</w:t>
            </w:r>
          </w:p>
        </w:tc>
        <w:tc>
          <w:tcPr>
            <w:tcW w:w="60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Borders>
              <w:bottom w:val="single" w:sz="6" w:space="0" w:color="auto"/>
            </w:tcBorders>
          </w:tcPr>
          <w:p w:rsidR="00DF17E9" w:rsidRPr="00092971" w:rsidRDefault="00DF17E9" w:rsidP="00044843">
            <w:pPr>
              <w:ind w:left="0" w:firstLine="0"/>
              <w:rPr>
                <w:color w:val="000000"/>
              </w:rPr>
            </w:pPr>
            <w:r w:rsidRPr="00092971">
              <w:rPr>
                <w:color w:val="000000"/>
              </w:rPr>
              <w:t xml:space="preserve">Other </w:t>
            </w:r>
            <w:r w:rsidRPr="00092971">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612" w:type="dxa"/>
            <w:tcBorders>
              <w:bottom w:val="single" w:sz="6" w:space="0" w:color="auto"/>
            </w:tcBorders>
          </w:tcPr>
          <w:p w:rsidR="00DF17E9" w:rsidRPr="00092971" w:rsidRDefault="00DF17E9" w:rsidP="00044843">
            <w:r w:rsidRPr="00092971">
              <w:rPr>
                <w:color w:val="000000"/>
              </w:rPr>
              <w:t>235</w:t>
            </w:r>
          </w:p>
        </w:tc>
        <w:tc>
          <w:tcPr>
            <w:tcW w:w="60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269" w:type="dxa"/>
            <w:gridSpan w:val="2"/>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Total contingent assets – State of Victoria</w:t>
            </w:r>
          </w:p>
        </w:tc>
        <w:tc>
          <w:tcPr>
            <w:cnfStyle w:val="000010000000" w:firstRow="0" w:lastRow="0" w:firstColumn="0" w:lastColumn="0" w:oddVBand="1" w:evenVBand="0" w:oddHBand="0" w:evenHBand="0" w:firstRowFirstColumn="0" w:firstRowLastColumn="0" w:lastRowFirstColumn="0" w:lastRowLastColumn="0"/>
            <w:tcW w:w="612" w:type="dxa"/>
            <w:tcBorders>
              <w:top w:val="single" w:sz="6" w:space="0" w:color="auto"/>
              <w:bottom w:val="single" w:sz="12" w:space="0" w:color="auto"/>
            </w:tcBorders>
          </w:tcPr>
          <w:p w:rsidR="00DF17E9" w:rsidRPr="00092971" w:rsidRDefault="00DF17E9" w:rsidP="00044843">
            <w:r w:rsidRPr="00092971">
              <w:rPr>
                <w:b/>
                <w:color w:val="000000"/>
              </w:rPr>
              <w:t>353</w:t>
            </w:r>
          </w:p>
        </w:tc>
        <w:tc>
          <w:tcPr>
            <w:tcW w:w="60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305</w:t>
            </w:r>
          </w:p>
        </w:tc>
      </w:tr>
    </w:tbl>
    <w:p w:rsidR="00DF17E9" w:rsidRDefault="00DF17E9" w:rsidP="00044843">
      <w:pPr>
        <w:pStyle w:val="Note"/>
      </w:pPr>
      <w:r>
        <w:t>Notes:</w:t>
      </w:r>
    </w:p>
    <w:p w:rsidR="00DF17E9" w:rsidRDefault="00DF17E9" w:rsidP="00044843">
      <w:pPr>
        <w:pStyle w:val="Note"/>
      </w:pPr>
      <w:r>
        <w:t>(a)</w:t>
      </w:r>
      <w:r>
        <w:tab/>
        <w:t>Figures reflect contingent assets that arise from outside of government.</w:t>
      </w:r>
    </w:p>
    <w:p w:rsidR="00DF17E9" w:rsidRDefault="00DF17E9" w:rsidP="00044843">
      <w:pPr>
        <w:pStyle w:val="Note"/>
      </w:pPr>
      <w:r>
        <w:t>(b)</w:t>
      </w:r>
      <w:r>
        <w:tab/>
        <w:t>Other contingent assets in the general government sector mainly consists of $100 million relating to a contingent payment for Crown Melbourne licence amendments that may be payable in calendar year 2022.</w:t>
      </w:r>
    </w:p>
    <w:p w:rsidR="00DF17E9" w:rsidRDefault="00DF17E9" w:rsidP="00044843"/>
    <w:p w:rsidR="00DF17E9" w:rsidRDefault="00DF17E9">
      <w:pPr>
        <w:rPr>
          <w:rFonts w:asciiTheme="majorHAnsi" w:hAnsiTheme="majorHAnsi"/>
          <w:b/>
          <w:spacing w:val="-2"/>
        </w:rPr>
      </w:pPr>
      <w:r>
        <w:br w:type="page"/>
      </w:r>
    </w:p>
    <w:p w:rsidR="00DF17E9" w:rsidRDefault="00DF17E9" w:rsidP="00044843">
      <w:pPr>
        <w:pStyle w:val="Subheadingunderline"/>
      </w:pPr>
      <w:r w:rsidRPr="008A091D">
        <w:lastRenderedPageBreak/>
        <w:t>Non</w:t>
      </w:r>
      <w:r w:rsidRPr="008A091D">
        <w:noBreakHyphen/>
        <w:t>quantifiable contingent assets</w:t>
      </w:r>
    </w:p>
    <w:p w:rsidR="00DF17E9" w:rsidRPr="00BC7006" w:rsidRDefault="00DF17E9" w:rsidP="00044843">
      <w:pPr>
        <w:rPr>
          <w:rFonts w:asciiTheme="majorHAnsi" w:hAnsiTheme="majorHAnsi"/>
          <w:b/>
          <w:i/>
          <w:spacing w:val="-2"/>
        </w:rPr>
      </w:pPr>
      <w:r w:rsidRPr="00BC7006">
        <w:rPr>
          <w:rFonts w:asciiTheme="majorHAnsi" w:hAnsiTheme="majorHAnsi"/>
          <w:b/>
          <w:i/>
          <w:spacing w:val="-2"/>
        </w:rPr>
        <w:t>CityLink compensable enhancement claims</w:t>
      </w:r>
    </w:p>
    <w:p w:rsidR="00DF17E9" w:rsidRDefault="00DF17E9" w:rsidP="00044843">
      <w:r w:rsidRPr="008A091D">
        <w:t xml:space="preserve">The Melbourne CityLink Concession Deed contains compensable enhancement provisions that enable the State to claim 50 per cent of additional revenue derived by CityLink Melbourne Limited as a result of certain events that particularly benefit CityLink, including changes to the adjoining road network. </w:t>
      </w:r>
    </w:p>
    <w:p w:rsidR="00DF17E9" w:rsidRDefault="00DF17E9" w:rsidP="00044843">
      <w:r w:rsidRPr="008A091D">
        <w:t>Compensable enhancement claims have previously been lodged in respect to works for improving traffic flows on the West Gate Freeway (between Lorimer and Montague streets), and in the vicinity of the intersection of the Bulla Road and the Tullamarine Freeway. The claims were lodged on 20 May 2005 and 29 September 2006 respectiv</w:t>
      </w:r>
      <w:r>
        <w:t>ely, and are still outstanding.</w:t>
      </w:r>
    </w:p>
    <w:p w:rsidR="00DF17E9" w:rsidRPr="00BC7006" w:rsidRDefault="00DF17E9" w:rsidP="00044843">
      <w:pPr>
        <w:rPr>
          <w:rFonts w:asciiTheme="majorHAnsi" w:hAnsiTheme="majorHAnsi"/>
          <w:b/>
          <w:i/>
          <w:spacing w:val="-2"/>
        </w:rPr>
      </w:pPr>
      <w:r w:rsidRPr="00BC7006">
        <w:rPr>
          <w:rFonts w:asciiTheme="majorHAnsi" w:hAnsiTheme="majorHAnsi"/>
          <w:b/>
          <w:i/>
          <w:spacing w:val="-2"/>
        </w:rPr>
        <w:t>Peninsula Link compensable enhancement claim</w:t>
      </w:r>
    </w:p>
    <w:p w:rsidR="00DF17E9" w:rsidRPr="008A091D" w:rsidRDefault="00DF17E9" w:rsidP="00044843">
      <w:r w:rsidRPr="008A091D">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rsidR="00DF17E9" w:rsidRDefault="00DF17E9" w:rsidP="00044843">
      <w:r w:rsidRPr="008A091D">
        <w:t>On 2 January 2014, the State lodged a compensable enhancement claim as a result of opening Peninsula Link. The claim remains outstanding.</w:t>
      </w:r>
    </w:p>
    <w:p w:rsidR="00DF17E9" w:rsidRPr="00FE3450" w:rsidRDefault="00DF17E9" w:rsidP="00044843">
      <w:pPr>
        <w:pStyle w:val="Subheadingunderline"/>
      </w:pPr>
      <w:r w:rsidRPr="00FE3450">
        <w:t>Contingent liabilities</w:t>
      </w:r>
    </w:p>
    <w:p w:rsidR="00DF17E9" w:rsidRPr="008A091D" w:rsidRDefault="00DF17E9" w:rsidP="00044843">
      <w:r w:rsidRPr="008A091D">
        <w:t>Contingent liabilities are:</w:t>
      </w:r>
    </w:p>
    <w:p w:rsidR="00DF17E9" w:rsidRPr="00140FD6" w:rsidRDefault="00DF17E9" w:rsidP="00044843">
      <w:pPr>
        <w:pStyle w:val="ListBullet"/>
        <w:numPr>
          <w:ilvl w:val="0"/>
          <w:numId w:val="9"/>
        </w:numPr>
        <w:ind w:left="397" w:hanging="397"/>
      </w:pPr>
      <w:r w:rsidRPr="008A091D">
        <w:t>possible obligations that arise from past events, whose existence will be confirmed only by th</w:t>
      </w:r>
      <w:r w:rsidRPr="00140FD6">
        <w:t>e occurrence or non-occurrence of one or more uncertain future events not wholly within the control of the entity; or</w:t>
      </w:r>
    </w:p>
    <w:p w:rsidR="00DF17E9" w:rsidRPr="008A091D" w:rsidRDefault="00DF17E9" w:rsidP="00044843">
      <w:pPr>
        <w:pStyle w:val="ListBullet"/>
        <w:numPr>
          <w:ilvl w:val="0"/>
          <w:numId w:val="9"/>
        </w:numPr>
        <w:ind w:left="397" w:hanging="397"/>
      </w:pPr>
      <w:r w:rsidRPr="00140FD6">
        <w:t xml:space="preserve">present </w:t>
      </w:r>
      <w:r w:rsidRPr="008A091D">
        <w:t>obligations that arise from past events but are not recognised because:</w:t>
      </w:r>
    </w:p>
    <w:p w:rsidR="00DF17E9" w:rsidRPr="008A091D" w:rsidRDefault="00DF17E9" w:rsidP="00044843">
      <w:pPr>
        <w:pStyle w:val="ListBullet2"/>
        <w:numPr>
          <w:ilvl w:val="1"/>
          <w:numId w:val="16"/>
        </w:numPr>
        <w:ind w:left="794" w:hanging="397"/>
      </w:pPr>
      <w:r w:rsidRPr="008A091D">
        <w:t xml:space="preserve">it is not probable that an outflow of resources embodying economic benefits will be required to settle the obligations; or </w:t>
      </w:r>
    </w:p>
    <w:p w:rsidR="00DF17E9" w:rsidRPr="008A091D" w:rsidRDefault="00DF17E9" w:rsidP="00044843">
      <w:pPr>
        <w:pStyle w:val="ListBullet2"/>
        <w:numPr>
          <w:ilvl w:val="1"/>
          <w:numId w:val="16"/>
        </w:numPr>
        <w:ind w:left="794" w:hanging="397"/>
      </w:pPr>
      <w:r w:rsidRPr="008A091D">
        <w:t>the amount of the obligations cannot be measured with sufficient reliability.</w:t>
      </w:r>
    </w:p>
    <w:p w:rsidR="00DF17E9" w:rsidRDefault="00DF17E9" w:rsidP="00044843">
      <w:r w:rsidRPr="008A091D">
        <w:t>Contingent liabilities are also classifie</w:t>
      </w:r>
      <w:r>
        <w:t>d as either quantifiable or non-</w:t>
      </w:r>
      <w:r w:rsidRPr="008A091D">
        <w:t>quantifiable.</w:t>
      </w:r>
    </w:p>
    <w:p w:rsidR="00DF17E9" w:rsidRDefault="00DF17E9" w:rsidP="00044843">
      <w:r>
        <w:t>The table below contains quantifiable contingent liabilities as at 30 June 2016.</w:t>
      </w:r>
    </w:p>
    <w:p w:rsidR="00DF17E9" w:rsidRPr="00092971" w:rsidRDefault="00DF17E9" w:rsidP="00044843">
      <w:pPr>
        <w:pStyle w:val="Subheading"/>
        <w:tabs>
          <w:tab w:val="right" w:pos="4410"/>
        </w:tabs>
        <w:rPr>
          <w:bCs/>
          <w:lang w:val="en-US"/>
        </w:rPr>
      </w:pPr>
      <w:r>
        <w:lastRenderedPageBreak/>
        <w:t>Quantifiable contingent liabilities</w:t>
      </w:r>
      <w:r>
        <w:tab/>
      </w:r>
      <w:r w:rsidRPr="00D652F5">
        <w:rPr>
          <w:rStyle w:val="TableUnitsChar"/>
        </w:rPr>
        <w:t>($ million</w:t>
      </w:r>
      <w:r>
        <w:rPr>
          <w:rStyle w:val="TableUnitsChar"/>
        </w:rPr>
        <w:t>)</w:t>
      </w:r>
    </w:p>
    <w:tbl>
      <w:tblPr>
        <w:tblStyle w:val="TableDTFGeneral"/>
        <w:tblW w:w="4484" w:type="dxa"/>
        <w:tblLayout w:type="fixed"/>
        <w:tblLook w:val="02A0" w:firstRow="1" w:lastRow="0" w:firstColumn="1" w:lastColumn="0" w:noHBand="1" w:noVBand="0"/>
      </w:tblPr>
      <w:tblGrid>
        <w:gridCol w:w="2942"/>
        <w:gridCol w:w="777"/>
        <w:gridCol w:w="765"/>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vMerge w:val="restart"/>
          </w:tcPr>
          <w:p w:rsidR="00FA1641" w:rsidRPr="00092971" w:rsidRDefault="00FA1641" w:rsidP="00044843">
            <w:pPr>
              <w:ind w:left="0"/>
              <w:jc w:val="right"/>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542" w:type="dxa"/>
            <w:gridSpan w:val="2"/>
          </w:tcPr>
          <w:p w:rsidR="00FA1641" w:rsidRPr="00092971" w:rsidRDefault="00FA1641" w:rsidP="00FA1641">
            <w:pPr>
              <w:rPr>
                <w:color w:val="FFFFFF"/>
              </w:rPr>
            </w:pPr>
            <w:r w:rsidRPr="00092971">
              <w:rPr>
                <w:color w:val="FFFFFF"/>
              </w:rPr>
              <w:t>State of Victoria</w:t>
            </w:r>
          </w:p>
        </w:tc>
      </w:tr>
      <w:tr w:rsidR="00FA1641"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vMerge/>
          </w:tcPr>
          <w:p w:rsidR="00FA1641" w:rsidRPr="00092971" w:rsidRDefault="00FA1641" w:rsidP="00044843">
            <w:pPr>
              <w:ind w:left="0" w:firstLine="0"/>
              <w:jc w:val="right"/>
              <w:rPr>
                <w:color w:val="FFFFFF"/>
              </w:rPr>
            </w:pPr>
          </w:p>
        </w:tc>
        <w:tc>
          <w:tcPr>
            <w:cnfStyle w:val="000010000000" w:firstRow="0" w:lastRow="0" w:firstColumn="0" w:lastColumn="0" w:oddVBand="1" w:evenVBand="0" w:oddHBand="0" w:evenHBand="0" w:firstRowFirstColumn="0" w:firstRowLastColumn="0" w:lastRowFirstColumn="0" w:lastRowLastColumn="0"/>
            <w:tcW w:w="777" w:type="dxa"/>
          </w:tcPr>
          <w:p w:rsidR="00FA1641" w:rsidRPr="00092971" w:rsidRDefault="00FA1641" w:rsidP="00044843">
            <w:pPr>
              <w:rPr>
                <w:color w:val="FFFFFF"/>
              </w:rPr>
            </w:pPr>
            <w:r w:rsidRPr="00092971">
              <w:rPr>
                <w:color w:val="FFFFFF"/>
              </w:rPr>
              <w:t>2016</w:t>
            </w:r>
          </w:p>
        </w:tc>
        <w:tc>
          <w:tcPr>
            <w:tcW w:w="765"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Pr>
          <w:p w:rsidR="00DF17E9" w:rsidRPr="00092971" w:rsidRDefault="00DF17E9" w:rsidP="00FA1641">
            <w:pPr>
              <w:ind w:left="113" w:hanging="113"/>
              <w:rPr>
                <w:color w:val="000000"/>
              </w:rPr>
            </w:pPr>
            <w:r w:rsidRPr="00092971">
              <w:rPr>
                <w:color w:val="000000"/>
              </w:rPr>
              <w:t>General government</w:t>
            </w:r>
          </w:p>
        </w:tc>
        <w:tc>
          <w:tcPr>
            <w:cnfStyle w:val="000010000000" w:firstRow="0" w:lastRow="0" w:firstColumn="0" w:lastColumn="0" w:oddVBand="1" w:evenVBand="0" w:oddHBand="0" w:evenHBand="0" w:firstRowFirstColumn="0" w:firstRowLastColumn="0" w:lastRowFirstColumn="0" w:lastRowLastColumn="0"/>
            <w:tcW w:w="777" w:type="dxa"/>
          </w:tcPr>
          <w:p w:rsidR="00DF17E9" w:rsidRPr="00092971" w:rsidRDefault="00DF17E9" w:rsidP="00044843">
            <w:pPr>
              <w:rPr>
                <w:color w:val="000000"/>
              </w:rPr>
            </w:pPr>
            <w:r w:rsidRPr="00092971">
              <w:rPr>
                <w:color w:val="000000"/>
              </w:rPr>
              <w:t>11 426</w:t>
            </w:r>
          </w:p>
        </w:tc>
        <w:tc>
          <w:tcPr>
            <w:tcW w:w="76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11 551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Pr>
          <w:p w:rsidR="00DF17E9" w:rsidRPr="00092971" w:rsidRDefault="00DF17E9" w:rsidP="00FA1641">
            <w:pPr>
              <w:ind w:left="113" w:hanging="113"/>
              <w:rPr>
                <w:color w:val="000000"/>
              </w:rPr>
            </w:pPr>
            <w:r w:rsidRPr="00092971">
              <w:rPr>
                <w:color w:val="000000"/>
              </w:rPr>
              <w:t>Public non-financial corporations</w:t>
            </w:r>
          </w:p>
        </w:tc>
        <w:tc>
          <w:tcPr>
            <w:cnfStyle w:val="000010000000" w:firstRow="0" w:lastRow="0" w:firstColumn="0" w:lastColumn="0" w:oddVBand="1" w:evenVBand="0" w:oddHBand="0" w:evenHBand="0" w:firstRowFirstColumn="0" w:firstRowLastColumn="0" w:lastRowFirstColumn="0" w:lastRowLastColumn="0"/>
            <w:tcW w:w="777" w:type="dxa"/>
          </w:tcPr>
          <w:p w:rsidR="00DF17E9" w:rsidRPr="00092971" w:rsidRDefault="00DF17E9" w:rsidP="00044843">
            <w:r w:rsidRPr="00092971">
              <w:rPr>
                <w:color w:val="000000"/>
              </w:rPr>
              <w:t>186</w:t>
            </w:r>
          </w:p>
        </w:tc>
        <w:tc>
          <w:tcPr>
            <w:tcW w:w="76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217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Borders>
              <w:bottom w:val="nil"/>
            </w:tcBorders>
          </w:tcPr>
          <w:p w:rsidR="00DF17E9" w:rsidRPr="00092971" w:rsidRDefault="00DF17E9" w:rsidP="00FA1641">
            <w:pPr>
              <w:ind w:left="113" w:hanging="113"/>
              <w:rPr>
                <w:color w:val="000000"/>
              </w:rPr>
            </w:pPr>
            <w:r w:rsidRPr="00092971">
              <w:rPr>
                <w:color w:val="000000"/>
              </w:rPr>
              <w:t>Public financial corporations</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tcPr>
          <w:p w:rsidR="00DF17E9" w:rsidRPr="00092971" w:rsidRDefault="00DF17E9" w:rsidP="00044843">
            <w:r w:rsidRPr="00092971">
              <w:rPr>
                <w:color w:val="000000"/>
              </w:rPr>
              <w:t>11</w:t>
            </w:r>
          </w:p>
        </w:tc>
        <w:tc>
          <w:tcPr>
            <w:tcW w:w="76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Borders>
              <w:bottom w:val="single" w:sz="6" w:space="0" w:color="auto"/>
            </w:tcBorders>
          </w:tcPr>
          <w:p w:rsidR="00DF17E9" w:rsidRPr="00092971" w:rsidRDefault="00DF17E9" w:rsidP="00FA1641">
            <w:pPr>
              <w:ind w:left="113" w:hanging="113"/>
              <w:rPr>
                <w:color w:val="000000"/>
              </w:rPr>
            </w:pPr>
            <w:r w:rsidRPr="00092971">
              <w:rPr>
                <w:i/>
                <w:color w:val="000000"/>
              </w:rPr>
              <w:t xml:space="preserve">Eliminations </w:t>
            </w:r>
            <w:r w:rsidRPr="00092971">
              <w:rPr>
                <w:i/>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6" w:space="0" w:color="auto"/>
            </w:tcBorders>
          </w:tcPr>
          <w:p w:rsidR="00DF17E9" w:rsidRPr="00092971" w:rsidRDefault="00DF17E9" w:rsidP="00044843">
            <w:pPr>
              <w:rPr>
                <w:color w:val="000000"/>
              </w:rPr>
            </w:pPr>
            <w:r w:rsidRPr="00092971">
              <w:rPr>
                <w:color w:val="000000"/>
              </w:rPr>
              <w:t>(10 905)</w:t>
            </w:r>
          </w:p>
        </w:tc>
        <w:tc>
          <w:tcPr>
            <w:tcW w:w="76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(10 869)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Borders>
              <w:top w:val="single" w:sz="6" w:space="0" w:color="auto"/>
              <w:bottom w:val="single" w:sz="12" w:space="0" w:color="auto"/>
            </w:tcBorders>
          </w:tcPr>
          <w:p w:rsidR="00DF17E9" w:rsidRPr="00092971" w:rsidRDefault="00DF17E9" w:rsidP="00FA1641">
            <w:pPr>
              <w:ind w:left="113" w:hanging="113"/>
              <w:rPr>
                <w:color w:val="000000"/>
              </w:rPr>
            </w:pPr>
            <w:r w:rsidRPr="00092971">
              <w:rPr>
                <w:b/>
                <w:color w:val="000000"/>
              </w:rPr>
              <w:t xml:space="preserve">Total contingent liabilities – </w:t>
            </w:r>
            <w:r w:rsidR="00FA1641">
              <w:rPr>
                <w:b/>
                <w:color w:val="000000"/>
              </w:rPr>
              <w:br/>
            </w:r>
            <w:r w:rsidRPr="00092971">
              <w:rPr>
                <w:b/>
                <w:color w:val="000000"/>
              </w:rPr>
              <w:t>State of Victoria</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bottom w:val="single" w:sz="12" w:space="0" w:color="auto"/>
            </w:tcBorders>
          </w:tcPr>
          <w:p w:rsidR="00DF17E9" w:rsidRPr="00092971" w:rsidRDefault="00DF17E9" w:rsidP="00044843">
            <w:r w:rsidRPr="00092971">
              <w:rPr>
                <w:b/>
                <w:color w:val="000000"/>
              </w:rPr>
              <w:t>718</w:t>
            </w:r>
          </w:p>
        </w:tc>
        <w:tc>
          <w:tcPr>
            <w:tcW w:w="76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900</w:t>
            </w:r>
          </w:p>
        </w:tc>
      </w:tr>
      <w:tr w:rsidR="00DF17E9" w:rsidRPr="00092971"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2942" w:type="dxa"/>
            <w:tcBorders>
              <w:top w:val="single" w:sz="12" w:space="0" w:color="auto"/>
            </w:tcBorders>
          </w:tcPr>
          <w:p w:rsidR="00DF17E9" w:rsidRPr="00092971" w:rsidRDefault="00DF17E9" w:rsidP="00FA1641">
            <w:pPr>
              <w:ind w:left="113" w:hanging="113"/>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777" w:type="dxa"/>
            <w:tcBorders>
              <w:top w:val="single" w:sz="12" w:space="0" w:color="auto"/>
            </w:tcBorders>
          </w:tcPr>
          <w:p w:rsidR="00DF17E9" w:rsidRPr="00092971" w:rsidRDefault="00DF17E9" w:rsidP="00044843">
            <w:pPr>
              <w:rPr>
                <w:color w:val="000000"/>
              </w:rPr>
            </w:pPr>
            <w:r w:rsidRPr="00092971">
              <w:rPr>
                <w:color w:val="000000"/>
              </w:rPr>
              <w:t xml:space="preserve"> </w:t>
            </w:r>
          </w:p>
        </w:tc>
        <w:tc>
          <w:tcPr>
            <w:tcW w:w="765" w:type="dxa"/>
            <w:tcBorders>
              <w:top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Pr>
          <w:p w:rsidR="00DF17E9" w:rsidRPr="00092971" w:rsidRDefault="00DF17E9" w:rsidP="00FA1641">
            <w:pPr>
              <w:ind w:left="113" w:hanging="113"/>
              <w:rPr>
                <w:color w:val="000000"/>
              </w:rPr>
            </w:pPr>
            <w:r w:rsidRPr="00092971">
              <w:rPr>
                <w:color w:val="000000"/>
              </w:rPr>
              <w:t>Guarantees, indemnities and warranties</w:t>
            </w:r>
          </w:p>
        </w:tc>
        <w:tc>
          <w:tcPr>
            <w:cnfStyle w:val="000010000000" w:firstRow="0" w:lastRow="0" w:firstColumn="0" w:lastColumn="0" w:oddVBand="1" w:evenVBand="0" w:oddHBand="0" w:evenHBand="0" w:firstRowFirstColumn="0" w:firstRowLastColumn="0" w:lastRowFirstColumn="0" w:lastRowLastColumn="0"/>
            <w:tcW w:w="777" w:type="dxa"/>
          </w:tcPr>
          <w:p w:rsidR="00DF17E9" w:rsidRPr="00092971" w:rsidRDefault="00DF17E9" w:rsidP="00044843">
            <w:r w:rsidRPr="00092971">
              <w:rPr>
                <w:color w:val="000000"/>
              </w:rPr>
              <w:t>301</w:t>
            </w:r>
          </w:p>
        </w:tc>
        <w:tc>
          <w:tcPr>
            <w:tcW w:w="76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Borders>
              <w:bottom w:val="nil"/>
            </w:tcBorders>
          </w:tcPr>
          <w:p w:rsidR="00DF17E9" w:rsidRPr="00092971" w:rsidRDefault="00DF17E9" w:rsidP="00FA1641">
            <w:pPr>
              <w:ind w:left="113" w:hanging="113"/>
              <w:rPr>
                <w:color w:val="000000"/>
              </w:rPr>
            </w:pPr>
            <w:r w:rsidRPr="00092971">
              <w:rPr>
                <w:color w:val="000000"/>
              </w:rPr>
              <w:t>Legal proceedings and disputes</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tcPr>
          <w:p w:rsidR="00DF17E9" w:rsidRPr="00092971" w:rsidRDefault="00DF17E9" w:rsidP="00044843">
            <w:r w:rsidRPr="00092971">
              <w:rPr>
                <w:color w:val="000000"/>
              </w:rPr>
              <w:t>179</w:t>
            </w:r>
          </w:p>
        </w:tc>
        <w:tc>
          <w:tcPr>
            <w:tcW w:w="76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264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Borders>
              <w:bottom w:val="single" w:sz="6" w:space="0" w:color="auto"/>
            </w:tcBorders>
          </w:tcPr>
          <w:p w:rsidR="00DF17E9" w:rsidRPr="00092971" w:rsidRDefault="00DF17E9" w:rsidP="00FA1641">
            <w:pPr>
              <w:ind w:left="113" w:hanging="113"/>
              <w:rPr>
                <w:color w:val="000000"/>
              </w:rPr>
            </w:pPr>
            <w:r w:rsidRPr="00092971">
              <w:rPr>
                <w:color w:val="000000"/>
              </w:rPr>
              <w:t>Other</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6" w:space="0" w:color="auto"/>
            </w:tcBorders>
          </w:tcPr>
          <w:p w:rsidR="00DF17E9" w:rsidRPr="00092971" w:rsidRDefault="00DF17E9" w:rsidP="00044843">
            <w:r w:rsidRPr="00092971">
              <w:rPr>
                <w:color w:val="000000"/>
              </w:rPr>
              <w:t>238</w:t>
            </w:r>
          </w:p>
        </w:tc>
        <w:tc>
          <w:tcPr>
            <w:tcW w:w="76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288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2942" w:type="dxa"/>
            <w:tcBorders>
              <w:top w:val="single" w:sz="6" w:space="0" w:color="auto"/>
              <w:bottom w:val="single" w:sz="12" w:space="0" w:color="auto"/>
            </w:tcBorders>
          </w:tcPr>
          <w:p w:rsidR="00DF17E9" w:rsidRPr="00092971" w:rsidRDefault="00DF17E9" w:rsidP="00FA1641">
            <w:pPr>
              <w:ind w:left="113" w:hanging="113"/>
              <w:rPr>
                <w:color w:val="000000"/>
              </w:rPr>
            </w:pPr>
            <w:r w:rsidRPr="00092971">
              <w:rPr>
                <w:b/>
                <w:color w:val="000000"/>
              </w:rPr>
              <w:t xml:space="preserve">Total contingent liabilities – </w:t>
            </w:r>
            <w:r w:rsidR="00FA1641">
              <w:rPr>
                <w:b/>
                <w:color w:val="000000"/>
              </w:rPr>
              <w:br/>
            </w:r>
            <w:r w:rsidRPr="00092971">
              <w:rPr>
                <w:b/>
                <w:color w:val="000000"/>
              </w:rPr>
              <w:t>State of Victoria</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bottom w:val="single" w:sz="12" w:space="0" w:color="auto"/>
            </w:tcBorders>
          </w:tcPr>
          <w:p w:rsidR="00DF17E9" w:rsidRPr="00092971" w:rsidRDefault="00DF17E9" w:rsidP="00044843">
            <w:r w:rsidRPr="00092971">
              <w:rPr>
                <w:b/>
                <w:color w:val="000000"/>
              </w:rPr>
              <w:t>718</w:t>
            </w:r>
          </w:p>
        </w:tc>
        <w:tc>
          <w:tcPr>
            <w:tcW w:w="76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900</w:t>
            </w:r>
          </w:p>
        </w:tc>
      </w:tr>
    </w:tbl>
    <w:p w:rsidR="00DF17E9" w:rsidRDefault="00DF17E9" w:rsidP="00044843">
      <w:pPr>
        <w:pStyle w:val="Note"/>
      </w:pPr>
      <w:r>
        <w:t>Note:</w:t>
      </w:r>
    </w:p>
    <w:p w:rsidR="00DF17E9" w:rsidRDefault="00DF17E9" w:rsidP="00044843">
      <w:pPr>
        <w:pStyle w:val="Note"/>
      </w:pPr>
      <w:r>
        <w:t>(a)</w:t>
      </w:r>
      <w:r>
        <w:tab/>
        <w:t>Mainly represents the guarantee of borrowings provided by the Treasurer for the public sector borrowings portfolio.</w:t>
      </w:r>
    </w:p>
    <w:p w:rsidR="00DF17E9" w:rsidRDefault="00DF17E9" w:rsidP="00044843"/>
    <w:p w:rsidR="00DF17E9" w:rsidRDefault="00DF17E9" w:rsidP="00044843">
      <w:pPr>
        <w:pStyle w:val="Subheadingunderline"/>
      </w:pPr>
      <w:r w:rsidRPr="008A091D">
        <w:t>Non</w:t>
      </w:r>
      <w:r w:rsidRPr="008A091D">
        <w:noBreakHyphen/>
        <w:t>quantifiable contingent liabilities</w:t>
      </w:r>
    </w:p>
    <w:p w:rsidR="00DF17E9" w:rsidRPr="008A091D" w:rsidRDefault="00DF17E9" w:rsidP="00044843">
      <w:r w:rsidRPr="008A091D">
        <w:t>A number of potential obligations are non</w:t>
      </w:r>
      <w:r w:rsidRPr="008A091D">
        <w:noBreakHyphen/>
        <w:t>quantifiable at this time arising from:</w:t>
      </w:r>
    </w:p>
    <w:p w:rsidR="00DF17E9" w:rsidRPr="00140FD6" w:rsidRDefault="00DF17E9" w:rsidP="00044843">
      <w:pPr>
        <w:pStyle w:val="ListBullet"/>
        <w:numPr>
          <w:ilvl w:val="0"/>
          <w:numId w:val="9"/>
        </w:numPr>
        <w:ind w:left="397" w:hanging="397"/>
      </w:pPr>
      <w:r w:rsidRPr="008A091D">
        <w:t>indemni</w:t>
      </w:r>
      <w:r w:rsidRPr="00140FD6">
        <w:t>ties provided in relation to transactions, including financial arrangements and consultancy services, as well as for directors and administrators;</w:t>
      </w:r>
    </w:p>
    <w:p w:rsidR="00DF17E9" w:rsidRPr="00140FD6" w:rsidRDefault="00DF17E9" w:rsidP="00044843">
      <w:pPr>
        <w:pStyle w:val="ListBullet"/>
        <w:numPr>
          <w:ilvl w:val="0"/>
          <w:numId w:val="9"/>
        </w:numPr>
        <w:ind w:left="397" w:hanging="397"/>
      </w:pPr>
      <w:r w:rsidRPr="00140FD6">
        <w:t>performance guarantees, warranties, letters of comfort and the like;</w:t>
      </w:r>
    </w:p>
    <w:p w:rsidR="00DF17E9" w:rsidRPr="00140FD6" w:rsidRDefault="00DF17E9" w:rsidP="00044843">
      <w:pPr>
        <w:pStyle w:val="ListBullet"/>
        <w:numPr>
          <w:ilvl w:val="0"/>
          <w:numId w:val="9"/>
        </w:numPr>
        <w:ind w:left="397" w:hanging="397"/>
      </w:pPr>
      <w:r w:rsidRPr="00140FD6">
        <w:t>deeds in respect of certain obligations; and</w:t>
      </w:r>
    </w:p>
    <w:p w:rsidR="00DF17E9" w:rsidRPr="008A091D" w:rsidRDefault="00DF17E9" w:rsidP="00044843">
      <w:pPr>
        <w:pStyle w:val="ListBullet"/>
        <w:numPr>
          <w:ilvl w:val="0"/>
          <w:numId w:val="9"/>
        </w:numPr>
        <w:ind w:left="397" w:hanging="397"/>
      </w:pPr>
      <w:r w:rsidRPr="00140FD6">
        <w:t>unclaimed monies, which may be subject to future cl</w:t>
      </w:r>
      <w:r w:rsidRPr="008A091D">
        <w:t>aims by the general public against the State.</w:t>
      </w:r>
    </w:p>
    <w:p w:rsidR="00DF17E9" w:rsidRDefault="00DF17E9" w:rsidP="00044843">
      <w:r w:rsidRPr="008A091D">
        <w:t>An overview of the more significant non</w:t>
      </w:r>
      <w:r w:rsidRPr="008A091D">
        <w:noBreakHyphen/>
        <w:t>qu</w:t>
      </w:r>
      <w:r>
        <w:t>antifiable liabilities follows:</w:t>
      </w:r>
    </w:p>
    <w:p w:rsidR="00DF17E9" w:rsidRPr="00BC7006" w:rsidRDefault="00DF17E9" w:rsidP="00044843">
      <w:pPr>
        <w:pStyle w:val="Subheadingunderline"/>
        <w:pBdr>
          <w:bottom w:val="none" w:sz="0" w:space="0" w:color="auto"/>
        </w:pBdr>
        <w:rPr>
          <w:i/>
        </w:rPr>
      </w:pPr>
      <w:r w:rsidRPr="00BC7006">
        <w:rPr>
          <w:i/>
        </w:rPr>
        <w:t xml:space="preserve">AgriBio </w:t>
      </w:r>
      <w:r w:rsidRPr="00BC7006">
        <w:rPr>
          <w:i/>
          <w:lang w:val="en"/>
        </w:rPr>
        <w:t xml:space="preserve">Centre for </w:t>
      </w:r>
      <w:r w:rsidRPr="00BC7006">
        <w:rPr>
          <w:i/>
        </w:rPr>
        <w:t>AgriBioscience (formerly known as The Biosciences Research Centre)</w:t>
      </w:r>
    </w:p>
    <w:p w:rsidR="00DF17E9" w:rsidRDefault="00DF17E9" w:rsidP="00044843">
      <w:r w:rsidRPr="001339A5">
        <w:t>The quarterly service fee payment obligations of the AgriBio Centre for AgriBioscience on behalf of the joint venture participants</w:t>
      </w:r>
      <w:r>
        <w:t xml:space="preserve"> (Department of Economic Development, Jobs, Transport and Resources, and La Trobe University)</w:t>
      </w:r>
      <w:r w:rsidRPr="001339A5">
        <w:t xml:space="preserve"> are supported by the State of Victoria via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pursuant to the project agreement. The State underwrites the risk of any default by BRC.</w:t>
      </w:r>
    </w:p>
    <w:p w:rsidR="00DF17E9" w:rsidRPr="00BC7006" w:rsidRDefault="00DF17E9" w:rsidP="00044843">
      <w:pPr>
        <w:pStyle w:val="Subheadingunderline"/>
        <w:pBdr>
          <w:bottom w:val="none" w:sz="0" w:space="0" w:color="auto"/>
        </w:pBdr>
        <w:rPr>
          <w:i/>
        </w:rPr>
      </w:pPr>
      <w:r w:rsidRPr="00BC7006">
        <w:rPr>
          <w:i/>
        </w:rPr>
        <w:lastRenderedPageBreak/>
        <w:t>Department of Education and Training</w:t>
      </w:r>
    </w:p>
    <w:p w:rsidR="00DF17E9" w:rsidRPr="001339A5" w:rsidRDefault="00DF17E9" w:rsidP="00044843">
      <w:r w:rsidRPr="001339A5">
        <w:t>The Department has a number of unquantifiable contingent liabilities, arising from indemnities provided by it, as follows:</w:t>
      </w:r>
    </w:p>
    <w:p w:rsidR="00DF17E9" w:rsidRDefault="00DF17E9" w:rsidP="00044843">
      <w:pPr>
        <w:pStyle w:val="ListBullet"/>
        <w:numPr>
          <w:ilvl w:val="0"/>
          <w:numId w:val="9"/>
        </w:numPr>
        <w:ind w:left="397" w:hanging="397"/>
      </w:pPr>
      <w:r w:rsidRPr="004436BC">
        <w:t xml:space="preserve">Volunteer school workers and volunteer student workers: the </w:t>
      </w:r>
      <w:r w:rsidRPr="004436BC">
        <w:rPr>
          <w:i/>
        </w:rPr>
        <w:t>Ed</w:t>
      </w:r>
      <w:r>
        <w:rPr>
          <w:i/>
        </w:rPr>
        <w:t>ucation and Training Reform Act </w:t>
      </w:r>
      <w:r w:rsidRPr="004436BC">
        <w:rPr>
          <w:i/>
        </w:rPr>
        <w:t>2006</w:t>
      </w:r>
      <w:r w:rsidRPr="004436BC">
        <w:t xml:space="preserve"> </w:t>
      </w:r>
      <w:r w:rsidRPr="00540C56">
        <w:t>provides a specific indemnity for personal injuries suffered by volunteer school workers and volunteer student workers arising out of or in the course of engaging in school work or community work respectively</w:t>
      </w:r>
      <w:r>
        <w:t>.</w:t>
      </w:r>
    </w:p>
    <w:p w:rsidR="00DF17E9" w:rsidRDefault="00DF17E9" w:rsidP="00044843">
      <w:pPr>
        <w:pStyle w:val="ListBullet"/>
        <w:numPr>
          <w:ilvl w:val="0"/>
          <w:numId w:val="9"/>
        </w:numPr>
        <w:ind w:left="397" w:hanging="397"/>
      </w:pPr>
      <w:r>
        <w:t>M</w:t>
      </w:r>
      <w:r w:rsidRPr="001339A5">
        <w:t xml:space="preserve">embers of school councils: </w:t>
      </w:r>
      <w:r w:rsidRPr="00540C56">
        <w:t xml:space="preserve">the </w:t>
      </w:r>
      <w:r w:rsidRPr="00540C56">
        <w:rPr>
          <w:i/>
        </w:rPr>
        <w:t>Ed</w:t>
      </w:r>
      <w:r>
        <w:rPr>
          <w:i/>
        </w:rPr>
        <w:t>ucation and Training Reform Act </w:t>
      </w:r>
      <w:r w:rsidRPr="00540C56">
        <w:rPr>
          <w:i/>
        </w:rPr>
        <w:t>2006</w:t>
      </w:r>
      <w:r w:rsidRPr="00540C56">
        <w:t xml:space="preserve"> provides an indemnity to members of school councils for any legal liability, whether in contract, negligence or defamation.</w:t>
      </w:r>
    </w:p>
    <w:p w:rsidR="00DF17E9" w:rsidRDefault="00DF17E9" w:rsidP="00044843">
      <w:pPr>
        <w:pStyle w:val="ListBullet"/>
        <w:numPr>
          <w:ilvl w:val="0"/>
          <w:numId w:val="9"/>
        </w:numPr>
        <w:ind w:left="397" w:hanging="397"/>
      </w:pPr>
      <w:r>
        <w:t>T</w:t>
      </w:r>
      <w:r w:rsidRPr="001339A5">
        <w:t>eachers</w:t>
      </w:r>
      <w:r>
        <w:t xml:space="preserve">: </w:t>
      </w:r>
      <w:r w:rsidRPr="00540C56">
        <w:t>if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w:t>
      </w:r>
    </w:p>
    <w:p w:rsidR="00DF17E9" w:rsidRDefault="00DF17E9" w:rsidP="00044843">
      <w:pPr>
        <w:pStyle w:val="ListBullet"/>
        <w:numPr>
          <w:ilvl w:val="0"/>
          <w:numId w:val="9"/>
        </w:numPr>
        <w:ind w:left="397" w:hanging="397"/>
      </w:pPr>
      <w:r w:rsidRPr="006535CD">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w:t>
      </w:r>
      <w:r>
        <w:t>’</w:t>
      </w:r>
      <w:r w:rsidRPr="006535CD">
        <w:t>s educational program and any insurance cover for the school council, and will likely indemnify if the Department is satisfied that:</w:t>
      </w:r>
    </w:p>
    <w:p w:rsidR="00DF17E9" w:rsidRDefault="00DF17E9" w:rsidP="00044843">
      <w:pPr>
        <w:pStyle w:val="ListBullet2"/>
        <w:numPr>
          <w:ilvl w:val="1"/>
          <w:numId w:val="16"/>
        </w:numPr>
        <w:ind w:left="794" w:hanging="397"/>
      </w:pPr>
      <w:r w:rsidRPr="006535CD">
        <w:t>the school council acted in good faith and according to issued guidelines and directions; and</w:t>
      </w:r>
    </w:p>
    <w:p w:rsidR="00DF17E9" w:rsidRDefault="00DF17E9" w:rsidP="00044843">
      <w:pPr>
        <w:pStyle w:val="ListBullet2"/>
        <w:numPr>
          <w:ilvl w:val="1"/>
          <w:numId w:val="16"/>
        </w:numPr>
        <w:ind w:left="794" w:hanging="397"/>
      </w:pPr>
      <w:r w:rsidRPr="006535CD">
        <w:t>the school council has insufficient funds to pay the claim.</w:t>
      </w:r>
    </w:p>
    <w:p w:rsidR="00DF17E9" w:rsidRPr="00BC7006" w:rsidRDefault="00DF17E9" w:rsidP="00044843">
      <w:pPr>
        <w:pStyle w:val="Subheadingunderline"/>
        <w:pBdr>
          <w:bottom w:val="none" w:sz="0" w:space="0" w:color="auto"/>
        </w:pBdr>
        <w:rPr>
          <w:i/>
        </w:rPr>
      </w:pPr>
      <w:r w:rsidRPr="00BC7006">
        <w:rPr>
          <w:i/>
        </w:rPr>
        <w:t xml:space="preserve">Public acquisition overlays for the future development of rail and road infrastructure </w:t>
      </w:r>
    </w:p>
    <w:p w:rsidR="00DF17E9" w:rsidRPr="001339A5" w:rsidRDefault="00DF17E9" w:rsidP="00044843">
      <w:r w:rsidRPr="001339A5">
        <w:t>Public acquisition overlays are in place to reserve certain areas of land for future development of rail and roa</w:t>
      </w:r>
      <w:r>
        <w:t>d infrastructure. Under Section </w:t>
      </w:r>
      <w:r w:rsidRPr="001339A5">
        <w:t xml:space="preserve">98 of the </w:t>
      </w:r>
      <w:r w:rsidRPr="001339A5">
        <w:rPr>
          <w:i/>
        </w:rPr>
        <w:t>Planning and Environment Act</w:t>
      </w:r>
      <w:r>
        <w:t> </w:t>
      </w:r>
      <w:r w:rsidRPr="001339A5">
        <w:rPr>
          <w:i/>
        </w:rPr>
        <w:t>1987</w:t>
      </w:r>
      <w:r w:rsidRPr="001339A5">
        <w:t xml:space="preserve">, the State has a legislative responsibility to </w:t>
      </w:r>
      <w:r>
        <w:t>compensate</w:t>
      </w:r>
      <w:r w:rsidRPr="001339A5">
        <w:t xml:space="preserve"> eligible land and property owners who face either:</w:t>
      </w:r>
    </w:p>
    <w:p w:rsidR="00DF17E9" w:rsidRPr="001339A5" w:rsidRDefault="00DF17E9" w:rsidP="00044843">
      <w:pPr>
        <w:pStyle w:val="ListBullet"/>
        <w:numPr>
          <w:ilvl w:val="0"/>
          <w:numId w:val="9"/>
        </w:numPr>
        <w:ind w:left="397" w:hanging="397"/>
      </w:pPr>
      <w:r w:rsidRPr="001339A5">
        <w:lastRenderedPageBreak/>
        <w:t xml:space="preserve">loss on sale – an eligible landowner is entitled to compensation for the incremental loss on sale when a property affected by a public acquisition overlay is sold for less than its </w:t>
      </w:r>
      <w:r w:rsidRPr="000F4038">
        <w:t>market</w:t>
      </w:r>
      <w:r w:rsidRPr="001339A5">
        <w:t xml:space="preserve"> value; or</w:t>
      </w:r>
    </w:p>
    <w:p w:rsidR="00DF17E9" w:rsidRPr="001339A5" w:rsidRDefault="00DF17E9" w:rsidP="00044843">
      <w:pPr>
        <w:pStyle w:val="ListBullet"/>
        <w:numPr>
          <w:ilvl w:val="0"/>
          <w:numId w:val="9"/>
        </w:numPr>
        <w:ind w:left="397" w:hanging="397"/>
      </w:pPr>
      <w:r w:rsidRPr="001339A5">
        <w:t xml:space="preserve">financial loss – the entitlement to financial loss compensation is triggered when a development </w:t>
      </w:r>
      <w:r w:rsidRPr="000F4038">
        <w:t>permit</w:t>
      </w:r>
      <w:r w:rsidRPr="001339A5">
        <w:t xml:space="preserve"> is refused because the property is required for a public purpose.</w:t>
      </w:r>
    </w:p>
    <w:p w:rsidR="00DF17E9" w:rsidRPr="001339A5" w:rsidRDefault="00DF17E9" w:rsidP="00044843">
      <w:r w:rsidRPr="001339A5">
        <w:t>Compensation and purchase claims occur as a result of claims by</w:t>
      </w:r>
      <w:r>
        <w:t xml:space="preserve"> land owners. The</w:t>
      </w:r>
      <w:r w:rsidRPr="001339A5">
        <w:t xml:space="preserve"> future liability depends on factors including the number of claims received and the prevailing value of land at the time the claim is made, which cannot be reliably quantified.</w:t>
      </w:r>
      <w:r>
        <w:t xml:space="preserve"> </w:t>
      </w:r>
    </w:p>
    <w:p w:rsidR="00DF17E9" w:rsidRPr="00BC7006" w:rsidRDefault="00DF17E9" w:rsidP="00044843">
      <w:pPr>
        <w:pStyle w:val="Subheadingunderline"/>
        <w:pBdr>
          <w:bottom w:val="none" w:sz="0" w:space="0" w:color="auto"/>
        </w:pBdr>
        <w:rPr>
          <w:i/>
        </w:rPr>
      </w:pPr>
      <w:r w:rsidRPr="00BC7006">
        <w:rPr>
          <w:i/>
        </w:rPr>
        <w:t>Public transport rail partnership agreements</w:t>
      </w:r>
    </w:p>
    <w:p w:rsidR="00DF17E9" w:rsidRPr="001339A5" w:rsidRDefault="00DF17E9" w:rsidP="00044843">
      <w:r w:rsidRPr="001339A5">
        <w:t xml:space="preserve">Public Transport Victoria (PTV) is party to partnership contractual arrangements with franchisees to operate metropolitan rail transport </w:t>
      </w:r>
      <w:r>
        <w:t>services in the State,</w:t>
      </w:r>
      <w:r w:rsidRPr="001339A5">
        <w:t xml:space="preserve"> from 30 November 2009 until 30 November 2017. The major con</w:t>
      </w:r>
      <w:r>
        <w:t xml:space="preserve">tingent liabilities arising </w:t>
      </w:r>
      <w:r w:rsidRPr="001339A5">
        <w:t>in the event of early te</w:t>
      </w:r>
      <w:r>
        <w:t>rmination or expiry of the contract are</w:t>
      </w:r>
      <w:r w:rsidRPr="001339A5">
        <w:t>:</w:t>
      </w:r>
    </w:p>
    <w:p w:rsidR="00DF17E9" w:rsidRPr="00D05714" w:rsidRDefault="00DF17E9" w:rsidP="00044843">
      <w:pPr>
        <w:pStyle w:val="ListBullet"/>
        <w:numPr>
          <w:ilvl w:val="0"/>
          <w:numId w:val="9"/>
        </w:numPr>
        <w:ind w:left="397" w:hanging="397"/>
      </w:pPr>
      <w:r w:rsidRPr="00D05714">
        <w:t>partnership assets – to maintain continuity of services, at early termination or expiry of the franchise contract, assets will revert to PTV or a successor. In the case of some assets, a reversion back to PTV would entail those assets being purchased; and</w:t>
      </w:r>
    </w:p>
    <w:p w:rsidR="00DF17E9" w:rsidRDefault="00DF17E9" w:rsidP="00044843">
      <w:pPr>
        <w:pStyle w:val="ListBullet"/>
        <w:numPr>
          <w:ilvl w:val="0"/>
          <w:numId w:val="9"/>
        </w:numPr>
        <w:ind w:left="397" w:hanging="397"/>
      </w:pPr>
      <w:r w:rsidRPr="00D05714">
        <w:t xml:space="preserve">unfunded superannuation – at the early termination or expiry of the contract, PTV will assume any unfunded superannuation amounts (apart from contributions the operator is required to pay over the contract term) to the extent that the State becomes the successor operator. </w:t>
      </w:r>
    </w:p>
    <w:p w:rsidR="00DF17E9" w:rsidRPr="00BC7006" w:rsidRDefault="00DF17E9" w:rsidP="00044843">
      <w:pPr>
        <w:pStyle w:val="Subheadingunderline"/>
        <w:pBdr>
          <w:bottom w:val="none" w:sz="0" w:space="0" w:color="auto"/>
        </w:pBdr>
        <w:rPr>
          <w:i/>
        </w:rPr>
      </w:pPr>
      <w:r w:rsidRPr="00BC7006">
        <w:rPr>
          <w:i/>
        </w:rPr>
        <w:t>Level Crossing Removal Program</w:t>
      </w:r>
    </w:p>
    <w:p w:rsidR="00DF17E9" w:rsidRPr="00D05714" w:rsidRDefault="00DF17E9" w:rsidP="00044843">
      <w:r w:rsidRPr="00A84C71">
        <w:t>The State has introduced a voluntary purchase scheme for residential prope</w:t>
      </w:r>
      <w:r>
        <w:t>rties directly impacted by the Caulfield-</w:t>
      </w:r>
      <w:r w:rsidRPr="00A84C71">
        <w:t xml:space="preserve">Dandenong </w:t>
      </w:r>
      <w:r>
        <w:t>level crossing removal project.</w:t>
      </w:r>
      <w:r w:rsidRPr="00A84C71">
        <w:t xml:space="preserve"> The sche</w:t>
      </w:r>
      <w:r>
        <w:t xml:space="preserve">me commenced on 29 March 2016. </w:t>
      </w:r>
      <w:r w:rsidRPr="00A84C71">
        <w:t>The Level Crossing Removal Authority is anticipating future claims by property owners for either outright purchase and associated costs or costs related to landscaping if property owners ch</w:t>
      </w:r>
      <w:r>
        <w:t xml:space="preserve">oose to stay. </w:t>
      </w:r>
      <w:r w:rsidRPr="00A84C71">
        <w:t>Due to the uncertainty of the take-up of the offer</w:t>
      </w:r>
      <w:r>
        <w:t>,</w:t>
      </w:r>
      <w:r w:rsidRPr="00A84C71">
        <w:t xml:space="preserve"> it is not feasible to quantify the value of the liability at this stage.</w:t>
      </w:r>
    </w:p>
    <w:p w:rsidR="00DF17E9" w:rsidRPr="00BC7006" w:rsidRDefault="00DF17E9" w:rsidP="00044843">
      <w:pPr>
        <w:pStyle w:val="Subheadingunderline"/>
        <w:pBdr>
          <w:bottom w:val="none" w:sz="0" w:space="0" w:color="auto"/>
        </w:pBdr>
        <w:rPr>
          <w:i/>
        </w:rPr>
      </w:pPr>
      <w:r w:rsidRPr="00BC7006">
        <w:rPr>
          <w:i/>
        </w:rPr>
        <w:lastRenderedPageBreak/>
        <w:t>Fiskville independent investigation and closure of training college</w:t>
      </w:r>
    </w:p>
    <w:p w:rsidR="00DF17E9" w:rsidRPr="00F82797" w:rsidRDefault="00DF17E9" w:rsidP="00044843">
      <w:r w:rsidRPr="00F82797">
        <w:t xml:space="preserve">An independent investigation was undertaken into the historical use of </w:t>
      </w:r>
      <w:r>
        <w:t xml:space="preserve">chemicals for live firefighting </w:t>
      </w:r>
      <w:r w:rsidRPr="00F82797">
        <w:t>training at Fiskville between 1971 and 1999. The report of the ind</w:t>
      </w:r>
      <w:r>
        <w:t xml:space="preserve">ependent investigation has been </w:t>
      </w:r>
      <w:r w:rsidRPr="00F82797">
        <w:t>released and the Country Fire Authority (CFA) has accepted all of</w:t>
      </w:r>
      <w:r>
        <w:t xml:space="preserve"> the facts, recommendations and </w:t>
      </w:r>
      <w:r w:rsidRPr="00F82797">
        <w:t>conclusions and is committed to implementing all recommendations.</w:t>
      </w:r>
      <w:r>
        <w:t xml:space="preserve"> </w:t>
      </w:r>
    </w:p>
    <w:p w:rsidR="00DF17E9" w:rsidRDefault="00DF17E9" w:rsidP="00044843">
      <w:r w:rsidRPr="00E306AB">
        <w:t>In August 2012, the CFA established a program office to manage the implementation of the report</w:t>
      </w:r>
      <w:r>
        <w:t>’</w:t>
      </w:r>
      <w:r w:rsidRPr="00E306AB">
        <w:t>s recom</w:t>
      </w:r>
      <w:r>
        <w:t>mendations and an additional 11 </w:t>
      </w:r>
      <w:r w:rsidRPr="00E306AB">
        <w:t xml:space="preserve">management initiatives to which the CFA Board committed in its response to the report. </w:t>
      </w:r>
    </w:p>
    <w:p w:rsidR="00DF17E9" w:rsidRDefault="00DF17E9" w:rsidP="00044843">
      <w:r w:rsidRPr="009A2307">
        <w:t>On 26 March 2015, the Government announced the permanent closure of Fiskville Training College (</w:t>
      </w:r>
      <w:r>
        <w:t>“</w:t>
      </w:r>
      <w:r w:rsidRPr="009A2307">
        <w:t>Fiskville</w:t>
      </w:r>
      <w:r>
        <w:t>”</w:t>
      </w:r>
      <w:r w:rsidRPr="009A2307">
        <w:t>). Fiskville and Victorian Emergency Management Training Centre training grounds owned by CFA at the Pen</w:t>
      </w:r>
      <w:r>
        <w:t>s</w:t>
      </w:r>
      <w:r w:rsidRPr="009A2307">
        <w:t>hurst, Bangholme, West Sale, Wangaratta, Huntly, and Longerenong have been the subject of notices issued by the Environment Protection Agency (EPA).</w:t>
      </w:r>
    </w:p>
    <w:p w:rsidR="00DF17E9" w:rsidRPr="009A2307" w:rsidRDefault="00DF17E9" w:rsidP="00044843">
      <w:r w:rsidRPr="009A2307">
        <w:t>CFA has a number of contingent liabilities arising from the closure of Fiskville and the notices issued by EPA. These relate to any further notices that may be issued by EPA, any regulatory infringements that may be imposed by EPA, compensation that may be sought, any legal claims that may be made, recommendations made by the Victorian Parliamentary Inquiry into the CFA Training College at Fiskville and the costs of relocating the Firefighters’ Memorial previously located at Fiskville.</w:t>
      </w:r>
    </w:p>
    <w:p w:rsidR="00DF17E9" w:rsidRPr="009A2307" w:rsidRDefault="00DF17E9" w:rsidP="00044843">
      <w:r w:rsidRPr="009A2307">
        <w:t xml:space="preserve">At this stage it is impractical to quantify the financial effects of these contingent liabilities. </w:t>
      </w:r>
    </w:p>
    <w:p w:rsidR="00DF17E9" w:rsidRPr="00BC7006" w:rsidRDefault="00DF17E9" w:rsidP="00044843">
      <w:pPr>
        <w:pStyle w:val="Subheadingunderline"/>
        <w:pBdr>
          <w:bottom w:val="none" w:sz="0" w:space="0" w:color="auto"/>
        </w:pBdr>
        <w:rPr>
          <w:i/>
        </w:rPr>
      </w:pPr>
      <w:r w:rsidRPr="00BC7006">
        <w:rPr>
          <w:i/>
        </w:rPr>
        <w:t>Public lottery licence litigation</w:t>
      </w:r>
    </w:p>
    <w:p w:rsidR="00DF17E9" w:rsidRDefault="00DF17E9" w:rsidP="00044843">
      <w:r w:rsidRPr="00EC0E30">
        <w:t xml:space="preserve">On 27 August 2014, Intralot Australia Pty Ltd (Intralot) served a Writ and Statement of Claim on the State seeking damages of $63.4 million and costs. Intralot alleges </w:t>
      </w:r>
      <w:r w:rsidRPr="00CC59C7">
        <w:t>Tattersall's Sweeps Pty Ltd</w:t>
      </w:r>
      <w:r w:rsidRPr="00EC0E30">
        <w:t xml:space="preserve"> were granted favourable treatment with respect to the awarding o</w:t>
      </w:r>
      <w:r>
        <w:t>f public lottery licenses on 24 </w:t>
      </w:r>
      <w:r w:rsidRPr="00EC0E30">
        <w:t>October 2007. The State has lodged its defence and the Court has ordered mediation take place before the matter is listed for a directions hearing towards the end of 2016.</w:t>
      </w:r>
    </w:p>
    <w:p w:rsidR="00DF17E9" w:rsidRPr="00BC7006" w:rsidRDefault="00DF17E9" w:rsidP="00044843">
      <w:pPr>
        <w:pStyle w:val="Subheadingunderline"/>
        <w:pBdr>
          <w:bottom w:val="none" w:sz="0" w:space="0" w:color="auto"/>
        </w:pBdr>
        <w:rPr>
          <w:i/>
        </w:rPr>
      </w:pPr>
      <w:r w:rsidRPr="00BC7006">
        <w:rPr>
          <w:i/>
        </w:rPr>
        <w:lastRenderedPageBreak/>
        <w:t>Compulsory property acquisitions</w:t>
      </w:r>
    </w:p>
    <w:p w:rsidR="00DF17E9" w:rsidRDefault="00DF17E9" w:rsidP="00044843">
      <w:pPr>
        <w:rPr>
          <w:rFonts w:eastAsia="Calibri"/>
        </w:rPr>
      </w:pPr>
      <w:r w:rsidRPr="001339A5">
        <w:rPr>
          <w:rFonts w:eastAsia="Calibri"/>
        </w:rPr>
        <w:t xml:space="preserve">The State has compulsorily acquired a number of properties (residential and commercial) through the </w:t>
      </w:r>
      <w:r w:rsidRPr="001339A5">
        <w:rPr>
          <w:rFonts w:eastAsia="Calibri"/>
          <w:i/>
        </w:rPr>
        <w:t>Land Acquisition and Compensation Act 1986</w:t>
      </w:r>
      <w:r w:rsidRPr="001339A5">
        <w:rPr>
          <w:rFonts w:eastAsia="Calibri"/>
        </w:rPr>
        <w:t xml:space="preserve"> to facilitate delivery of various projects. Possible future claims for compensation arising from the compulsory acquisition of these properties cannot be quantified at this stage.</w:t>
      </w:r>
    </w:p>
    <w:p w:rsidR="00DF17E9" w:rsidRPr="001339A5" w:rsidRDefault="00DF17E9" w:rsidP="00044843">
      <w:pPr>
        <w:pStyle w:val="Subheadingunderline"/>
        <w:pBdr>
          <w:bottom w:val="none" w:sz="0" w:space="0" w:color="auto"/>
        </w:pBdr>
      </w:pPr>
      <w:r w:rsidRPr="00BC7006">
        <w:rPr>
          <w:i/>
        </w:rPr>
        <w:t>Land remediation – environmental concerns</w:t>
      </w:r>
    </w:p>
    <w:p w:rsidR="00DF17E9" w:rsidRDefault="00DF17E9" w:rsidP="00044843">
      <w:pPr>
        <w:rPr>
          <w:rFonts w:ascii="Calibri" w:hAnsi="Calibri"/>
          <w:b/>
          <w:i/>
          <w:kern w:val="28"/>
          <w:sz w:val="24"/>
        </w:rPr>
      </w:pPr>
      <w:r w:rsidRPr="001339A5">
        <w:t>In addition to properties for which remediation costs have been provided in the State</w:t>
      </w:r>
      <w:r>
        <w:t>’</w:t>
      </w:r>
      <w:r w:rsidRPr="001339A5">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w:t>
      </w:r>
      <w:r>
        <w:t xml:space="preserve"> </w:t>
      </w:r>
    </w:p>
    <w:p w:rsidR="00DF17E9" w:rsidRPr="00BC7006" w:rsidRDefault="00DF17E9" w:rsidP="00044843">
      <w:pPr>
        <w:pStyle w:val="Subheadingunderline"/>
        <w:pBdr>
          <w:bottom w:val="none" w:sz="0" w:space="0" w:color="auto"/>
        </w:pBdr>
        <w:rPr>
          <w:i/>
        </w:rPr>
      </w:pPr>
      <w:r w:rsidRPr="00BC7006">
        <w:rPr>
          <w:i/>
        </w:rPr>
        <w:t>Native Title</w:t>
      </w:r>
    </w:p>
    <w:p w:rsidR="00DF17E9" w:rsidRDefault="00DF17E9" w:rsidP="00044843">
      <w:r w:rsidRPr="0049539B">
        <w:t xml:space="preserve">A number of claims have been filed with the Federal Court under the Commonwealth </w:t>
      </w:r>
      <w:r>
        <w:rPr>
          <w:i/>
        </w:rPr>
        <w:t>Native Title Act </w:t>
      </w:r>
      <w:r w:rsidRPr="00F352FF">
        <w:rPr>
          <w:i/>
        </w:rPr>
        <w:t>1993</w:t>
      </w:r>
      <w:r w:rsidRPr="0049539B">
        <w:t xml:space="preserve"> that affect Victoria. It is not feasible at this time to quantify any future liabili</w:t>
      </w:r>
      <w:r w:rsidRPr="00D05714">
        <w:t>t</w:t>
      </w:r>
      <w:r w:rsidRPr="0049539B">
        <w:t>y</w:t>
      </w:r>
      <w:r>
        <w:t xml:space="preserve">. </w:t>
      </w:r>
    </w:p>
    <w:p w:rsidR="00DF17E9" w:rsidRPr="00BC7006" w:rsidRDefault="00DF17E9" w:rsidP="00044843">
      <w:pPr>
        <w:pStyle w:val="Subheadingunderline"/>
        <w:pBdr>
          <w:bottom w:val="none" w:sz="0" w:space="0" w:color="auto"/>
        </w:pBdr>
        <w:rPr>
          <w:i/>
        </w:rPr>
      </w:pPr>
      <w:r w:rsidRPr="00BC7006">
        <w:rPr>
          <w:i/>
        </w:rPr>
        <w:t>Melbourne Park redevelopment</w:t>
      </w:r>
    </w:p>
    <w:p w:rsidR="00DF17E9" w:rsidRDefault="00DF17E9" w:rsidP="00044843">
      <w:pPr>
        <w:rPr>
          <w:lang w:eastAsia="en-AU"/>
        </w:rPr>
      </w:pPr>
      <w:r w:rsidRPr="001339A5">
        <w:rPr>
          <w:lang w:eastAsia="en-AU"/>
        </w:rPr>
        <w:t>In 2010, the State entered into a capital works agreement with Tennis Australia and the Melbourne and Olympic Park Trust for the Australian Open to remain at Melbourne Park until 2036. The agreement contains a number of conditions including that the State will invest in further improvements to Melbourne Park in three stages or (if an agreed i</w:t>
      </w:r>
      <w:r>
        <w:rPr>
          <w:lang w:eastAsia="en-AU"/>
        </w:rPr>
        <w:t>nvestment threshold is reached)</w:t>
      </w:r>
      <w:r w:rsidRPr="001339A5">
        <w:rPr>
          <w:lang w:eastAsia="en-AU"/>
        </w:rPr>
        <w:t xml:space="preserve"> pay a rights fee to retain the Australian Open at Melbourne Park until 2036. </w:t>
      </w:r>
    </w:p>
    <w:p w:rsidR="00DF17E9" w:rsidRPr="000F6B0C" w:rsidRDefault="00DF17E9" w:rsidP="00044843">
      <w:pPr>
        <w:rPr>
          <w:lang w:eastAsia="en-AU"/>
        </w:rPr>
      </w:pPr>
      <w:r w:rsidRPr="001339A5">
        <w:rPr>
          <w:lang w:eastAsia="en-AU"/>
        </w:rPr>
        <w:t xml:space="preserve">In the </w:t>
      </w:r>
      <w:r w:rsidRPr="001339A5">
        <w:rPr>
          <w:i/>
          <w:iCs/>
          <w:lang w:eastAsia="en-AU"/>
        </w:rPr>
        <w:t>2010</w:t>
      </w:r>
      <w:r>
        <w:rPr>
          <w:i/>
          <w:iCs/>
          <w:lang w:eastAsia="en-AU"/>
        </w:rPr>
        <w:noBreakHyphen/>
      </w:r>
      <w:r w:rsidRPr="001339A5">
        <w:rPr>
          <w:i/>
          <w:iCs/>
          <w:lang w:eastAsia="en-AU"/>
        </w:rPr>
        <w:t>11 Budget</w:t>
      </w:r>
      <w:r>
        <w:rPr>
          <w:lang w:eastAsia="en-AU"/>
        </w:rPr>
        <w:t>, Stage </w:t>
      </w:r>
      <w:r w:rsidRPr="001339A5">
        <w:rPr>
          <w:lang w:eastAsia="en-AU"/>
        </w:rPr>
        <w:t>1 of the Melbourne Park redevelopment with a total estimated investment of $363</w:t>
      </w:r>
      <w:r>
        <w:rPr>
          <w:lang w:eastAsia="en-AU"/>
        </w:rPr>
        <w:t xml:space="preserve"> million was announced. In January </w:t>
      </w:r>
      <w:r w:rsidRPr="001339A5">
        <w:rPr>
          <w:lang w:eastAsia="en-AU"/>
        </w:rPr>
        <w:t>2014, a further $338</w:t>
      </w:r>
      <w:r>
        <w:rPr>
          <w:lang w:eastAsia="en-AU"/>
        </w:rPr>
        <w:t> million of</w:t>
      </w:r>
      <w:r w:rsidRPr="001339A5">
        <w:rPr>
          <w:lang w:eastAsia="en-AU"/>
        </w:rPr>
        <w:t xml:space="preserve"> total estimated investment was announced by the State for Stage 2 of the redevelopment</w:t>
      </w:r>
      <w:r>
        <w:rPr>
          <w:lang w:eastAsia="en-AU"/>
        </w:rPr>
        <w:t xml:space="preserve">. </w:t>
      </w:r>
    </w:p>
    <w:p w:rsidR="00DF17E9" w:rsidRDefault="00DF17E9">
      <w:pPr>
        <w:rPr>
          <w:rFonts w:asciiTheme="majorHAnsi" w:hAnsiTheme="majorHAnsi"/>
          <w:b/>
          <w:i/>
          <w:spacing w:val="-2"/>
        </w:rPr>
      </w:pPr>
      <w:r>
        <w:rPr>
          <w:i/>
        </w:rPr>
        <w:br w:type="page"/>
      </w:r>
    </w:p>
    <w:p w:rsidR="00DF17E9" w:rsidRPr="00BC7006" w:rsidRDefault="00DF17E9" w:rsidP="00044843">
      <w:pPr>
        <w:pStyle w:val="Subheadingunderline"/>
        <w:pBdr>
          <w:bottom w:val="none" w:sz="0" w:space="0" w:color="auto"/>
        </w:pBdr>
        <w:rPr>
          <w:i/>
        </w:rPr>
      </w:pPr>
      <w:r w:rsidRPr="00BC7006">
        <w:rPr>
          <w:i/>
        </w:rPr>
        <w:lastRenderedPageBreak/>
        <w:t>Royal Melbourne Showgrounds redevelopment</w:t>
      </w:r>
    </w:p>
    <w:p w:rsidR="00DF17E9" w:rsidRDefault="00DF17E9" w:rsidP="00044843">
      <w:r w:rsidRPr="001339A5">
        <w:t>Under the State</w:t>
      </w:r>
      <w:r>
        <w:t>’</w:t>
      </w:r>
      <w:r w:rsidRPr="001339A5">
        <w:t>s commitment to the Royal Agriculture Society of Victoria (RASV), the State has agreed to support certain obligations of RASV which may arise out of the joint venture agreement. In accordance with the terms set out in the State</w:t>
      </w:r>
      <w:r>
        <w:t>’s</w:t>
      </w:r>
      <w:r w:rsidRPr="001339A5">
        <w:t xml:space="preserve"> commitment to RASV, the State will pay (in the form of a loan) the amount requested by RASV. If any outstanding loan amount remains </w:t>
      </w:r>
      <w:r>
        <w:t>unpaid at the date, which is 25 </w:t>
      </w:r>
      <w:r w:rsidRPr="001339A5">
        <w:t>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DF17E9" w:rsidRPr="001339A5" w:rsidRDefault="00DF17E9" w:rsidP="00044843">
      <w:r w:rsidRPr="00634A03">
        <w:t>Under the State Support Deed – Core Land, the State has undertaken to ensure the performance of the payment obligations in favour of the Concessionaire and the performance of the joint venture financial obligations in favour of the security trustee.</w:t>
      </w:r>
      <w:r>
        <w:t xml:space="preserve"> </w:t>
      </w:r>
    </w:p>
    <w:p w:rsidR="00DF17E9" w:rsidRPr="00B77523" w:rsidRDefault="00DF17E9" w:rsidP="00044843">
      <w:r w:rsidRPr="001339A5">
        <w:t>The State has also entered into an agreement through the State Support Deed – Non</w:t>
      </w:r>
      <w:r>
        <w:noBreakHyphen/>
      </w:r>
      <w:r w:rsidRPr="001339A5">
        <w:t>Core Land with Showgrounds Retail Developments Pty Ltd and the RASV, whereby the State agrees to support certain payment obligations of the RASV that may arise under the non</w:t>
      </w:r>
      <w:r>
        <w:noBreakHyphen/>
      </w:r>
      <w:r w:rsidRPr="001339A5">
        <w:t>core development agreement.</w:t>
      </w:r>
      <w:r>
        <w:t xml:space="preserve"> </w:t>
      </w:r>
    </w:p>
    <w:p w:rsidR="00DF17E9" w:rsidRPr="00BC7006" w:rsidRDefault="00DF17E9" w:rsidP="00044843">
      <w:pPr>
        <w:pStyle w:val="Subheadingunderline"/>
        <w:pBdr>
          <w:bottom w:val="none" w:sz="0" w:space="0" w:color="auto"/>
        </w:pBdr>
        <w:rPr>
          <w:i/>
        </w:rPr>
      </w:pPr>
      <w:r w:rsidRPr="00BC7006">
        <w:rPr>
          <w:i/>
        </w:rPr>
        <w:t>Victorian Managed Insurance Authority – insurance cover</w:t>
      </w:r>
    </w:p>
    <w:p w:rsidR="00DF17E9" w:rsidRPr="001339A5" w:rsidRDefault="00DF17E9" w:rsidP="00044843">
      <w:r w:rsidRPr="001339A5">
        <w:t>The Victorian Managed Insurance Authority (VMIA) was establi</w:t>
      </w:r>
      <w:r>
        <w:t>shed in 1996 as an insurer for s</w:t>
      </w:r>
      <w:r w:rsidRPr="001339A5">
        <w:t xml:space="preserve">tate government departments, participating bodies and other entities as defined under the </w:t>
      </w:r>
      <w:r w:rsidRPr="001339A5">
        <w:rPr>
          <w:i/>
        </w:rPr>
        <w:t xml:space="preserve">Victorian </w:t>
      </w:r>
      <w:r>
        <w:rPr>
          <w:i/>
        </w:rPr>
        <w:t>Managed Insurance Authority Act </w:t>
      </w:r>
      <w:r w:rsidRPr="001339A5">
        <w:rPr>
          <w:i/>
        </w:rPr>
        <w:t>1996</w:t>
      </w:r>
      <w:r w:rsidRPr="001339A5">
        <w:t>.</w:t>
      </w:r>
      <w:r>
        <w:t xml:space="preserve"> The</w:t>
      </w:r>
      <w:r w:rsidRPr="001339A5">
        <w:t xml:space="preserve"> VMIA provides its clients with a range of insurance cover, including for property, public and products liability, professional indemnity and contract works. </w:t>
      </w:r>
      <w:r>
        <w:t xml:space="preserve">The </w:t>
      </w:r>
      <w:r w:rsidRPr="001339A5">
        <w:t>VMIA reinsures in the private market for losses above $50</w:t>
      </w:r>
      <w:r>
        <w:t> million</w:t>
      </w:r>
      <w:r w:rsidRPr="001339A5">
        <w:t xml:space="preserve"> arising out of any one occ</w:t>
      </w:r>
      <w:r>
        <w:t>urrence, up to a maximum of $1 billion</w:t>
      </w:r>
      <w:r w:rsidRPr="001339A5">
        <w:t xml:space="preserve"> for public and products liability, and for losses above $50</w:t>
      </w:r>
      <w:r>
        <w:t> million</w:t>
      </w:r>
      <w:r w:rsidRPr="001339A5">
        <w:t xml:space="preserve"> arising out of any on</w:t>
      </w:r>
      <w:r>
        <w:t>e event, up to a maximum of $3.3 billion</w:t>
      </w:r>
      <w:r w:rsidRPr="001339A5">
        <w:t xml:space="preserve"> for property. The risk of losses above these reinsured levels is borne by the State.</w:t>
      </w:r>
    </w:p>
    <w:p w:rsidR="00DF17E9" w:rsidRDefault="00DF17E9" w:rsidP="00044843">
      <w:r w:rsidRPr="00B06076">
        <w:t>With effect from 28 August 2015, VMIA purchased additional reinsurance cover for property and public liability losses to better cover the State</w:t>
      </w:r>
      <w:r>
        <w:t>’</w:t>
      </w:r>
      <w:r w:rsidRPr="00B06076">
        <w:t>s potential liabilities.</w:t>
      </w:r>
    </w:p>
    <w:p w:rsidR="00DF17E9" w:rsidRDefault="00DF17E9" w:rsidP="00044843">
      <w:r>
        <w:lastRenderedPageBreak/>
        <w:t xml:space="preserve">The </w:t>
      </w:r>
      <w:r w:rsidRPr="001339A5">
        <w:t>VMIA also insures the Department of Health</w:t>
      </w:r>
      <w:r>
        <w:t xml:space="preserve"> and Human Services</w:t>
      </w:r>
      <w:r w:rsidRPr="001339A5">
        <w:t xml:space="preserve"> for all public sector medical indemnity claims incurred in each policy year from 1 July 2003, regardless of when claims are finally settled. Under the indemnity deed to provide stop loss protection for</w:t>
      </w:r>
      <w:r>
        <w:t xml:space="preserve"> the</w:t>
      </w:r>
      <w:r w:rsidRPr="001339A5">
        <w:t xml:space="preserve"> VMIA, </w:t>
      </w:r>
      <w:r>
        <w:t xml:space="preserve">DTF </w:t>
      </w:r>
      <w:r w:rsidRPr="001339A5">
        <w:t>has agreed to reimburse</w:t>
      </w:r>
      <w:r>
        <w:t xml:space="preserve"> the</w:t>
      </w:r>
      <w:r w:rsidRPr="001339A5">
        <w:t xml:space="preserve"> VMIA if the ultimate claims payouts exceed by more than 20</w:t>
      </w:r>
      <w:r>
        <w:t> per cent</w:t>
      </w:r>
      <w:r w:rsidRPr="001339A5">
        <w:t xml:space="preserve"> of the initial estimate on which the risk premium was based.</w:t>
      </w:r>
    </w:p>
    <w:p w:rsidR="00DF17E9" w:rsidRPr="00BC7006" w:rsidRDefault="00DF17E9" w:rsidP="00044843">
      <w:pPr>
        <w:pStyle w:val="Subheadingunderline"/>
        <w:pBdr>
          <w:bottom w:val="none" w:sz="0" w:space="0" w:color="auto"/>
        </w:pBdr>
        <w:rPr>
          <w:i/>
        </w:rPr>
      </w:pPr>
      <w:r w:rsidRPr="00BC7006">
        <w:rPr>
          <w:i/>
        </w:rPr>
        <w:t>December 2015 bushfires</w:t>
      </w:r>
    </w:p>
    <w:p w:rsidR="00DF17E9" w:rsidRDefault="00DF17E9" w:rsidP="00044843">
      <w:r w:rsidRPr="00FF1DD1">
        <w:t xml:space="preserve">On 19 and 25 December 2015, Victoria experienced significant loss and damage to homes, community properties, roads and infrastructure as a result of several large bushfires in widespread parts of Victoria including the </w:t>
      </w:r>
      <w:r>
        <w:t xml:space="preserve">Wye River, </w:t>
      </w:r>
      <w:r w:rsidRPr="00FF1DD1">
        <w:t xml:space="preserve">Separation Creek, Barnawartha and Scotsburn areas. </w:t>
      </w:r>
    </w:p>
    <w:p w:rsidR="00DF17E9" w:rsidRDefault="00DF17E9" w:rsidP="00044843">
      <w:r w:rsidRPr="00FF1DD1">
        <w:t>In order to minimise the environmental, social and economic impact of the bushfires, the State developed a comprehensive project plan with a single contractor (Grocon) for a coordinated clean-up of residential properties which home</w:t>
      </w:r>
      <w:r>
        <w:t xml:space="preserve"> </w:t>
      </w:r>
      <w:r w:rsidRPr="00FF1DD1">
        <w:t xml:space="preserve">owners could opt into. </w:t>
      </w:r>
    </w:p>
    <w:p w:rsidR="00DF17E9" w:rsidRDefault="00DF17E9" w:rsidP="00044843">
      <w:r w:rsidRPr="00FF1DD1">
        <w:t xml:space="preserve">Given the safety concerns and complexities involved in the removal of bushfire waste in the affected areas, the Victorian Government is contributing towards the cost of the clean-up. The costs of the clean-up will be </w:t>
      </w:r>
      <w:r>
        <w:t xml:space="preserve">jointly </w:t>
      </w:r>
      <w:r w:rsidRPr="00FF1DD1">
        <w:t>shared with the insurers and the Commonwealth Government (under Category A of the Commonwealth-State Natural Disaster Relief and Recovery Arrangements (NDRRA</w:t>
      </w:r>
      <w:r>
        <w:t>)</w:t>
      </w:r>
      <w:r w:rsidRPr="00FF1DD1">
        <w:t xml:space="preserve">). </w:t>
      </w:r>
    </w:p>
    <w:p w:rsidR="00DF17E9" w:rsidRDefault="00DF17E9" w:rsidP="00044843">
      <w:r w:rsidRPr="00FF1DD1">
        <w:t>Any assistance for individuals and households, and local councils is provided jointly under the NDRRA by the Victorian and Commonwealth Governments.</w:t>
      </w:r>
    </w:p>
    <w:p w:rsidR="00DF17E9" w:rsidRDefault="00DF17E9" w:rsidP="00044843">
      <w:r w:rsidRPr="00BE7624">
        <w:rPr>
          <w:lang w:eastAsia="en-AU"/>
        </w:rPr>
        <w:t>At this stage it</w:t>
      </w:r>
      <w:r w:rsidRPr="00BE7624">
        <w:t xml:space="preserve"> is impractical to quantify the financial effects of these contingent liabilities.</w:t>
      </w:r>
    </w:p>
    <w:p w:rsidR="00DF17E9" w:rsidRDefault="00DF17E9">
      <w:pPr>
        <w:rPr>
          <w:rFonts w:asciiTheme="majorHAnsi" w:eastAsiaTheme="majorEastAsia" w:hAnsiTheme="majorHAnsi" w:cstheme="majorBidi"/>
          <w:b/>
          <w:spacing w:val="-2"/>
          <w:sz w:val="24"/>
          <w:szCs w:val="26"/>
        </w:rPr>
      </w:pPr>
      <w:r>
        <w:br w:type="page"/>
      </w:r>
    </w:p>
    <w:p w:rsidR="00DF17E9" w:rsidRPr="00E82E56" w:rsidRDefault="00DF17E9" w:rsidP="00044843">
      <w:pPr>
        <w:pStyle w:val="Heading2"/>
      </w:pPr>
      <w:bookmarkStart w:id="63" w:name="_Toc459976625"/>
      <w:r w:rsidRPr="00E82E56">
        <w:lastRenderedPageBreak/>
        <w:t>Fair value determination</w:t>
      </w:r>
      <w:bookmarkEnd w:id="63"/>
    </w:p>
    <w:p w:rsidR="00DF17E9" w:rsidRDefault="00DF17E9" w:rsidP="004350F7">
      <w:pPr>
        <w:spacing w:after="100" w:line="257" w:lineRule="auto"/>
      </w:pPr>
      <w:r>
        <w:t xml:space="preserve">This section sets out information on how the State determines fair value for financial reporting purposes. Fair value is </w:t>
      </w:r>
      <w:r w:rsidRPr="00CF104D">
        <w:t xml:space="preserve">the price that would be received to sell an asset or paid to transfer a liability in an orderly transaction between market participants at the measurement date. </w:t>
      </w:r>
    </w:p>
    <w:p w:rsidR="00DF17E9" w:rsidRDefault="00DF17E9" w:rsidP="004350F7">
      <w:pPr>
        <w:spacing w:after="100" w:line="257" w:lineRule="auto"/>
      </w:pPr>
      <w:r>
        <w:t>Fair values are determined for the following assets and liabilities:</w:t>
      </w:r>
    </w:p>
    <w:p w:rsidR="00DF17E9" w:rsidRDefault="00DF17E9" w:rsidP="00044843">
      <w:pPr>
        <w:pStyle w:val="ListBullet"/>
        <w:numPr>
          <w:ilvl w:val="0"/>
          <w:numId w:val="9"/>
        </w:numPr>
        <w:ind w:left="397" w:hanging="397"/>
      </w:pPr>
      <w:r>
        <w:t>financial assets and liabilities at fair value through operating result;</w:t>
      </w:r>
    </w:p>
    <w:p w:rsidR="00DF17E9" w:rsidRDefault="00DF17E9" w:rsidP="00044843">
      <w:pPr>
        <w:pStyle w:val="ListBullet"/>
        <w:numPr>
          <w:ilvl w:val="0"/>
          <w:numId w:val="9"/>
        </w:numPr>
        <w:ind w:left="397" w:hanging="397"/>
      </w:pPr>
      <w:r>
        <w:t>available-for-sale financial assets;</w:t>
      </w:r>
    </w:p>
    <w:p w:rsidR="00DF17E9" w:rsidRDefault="00DF17E9" w:rsidP="00044843">
      <w:pPr>
        <w:pStyle w:val="ListBullet"/>
        <w:numPr>
          <w:ilvl w:val="0"/>
          <w:numId w:val="9"/>
        </w:numPr>
        <w:ind w:left="397" w:hanging="397"/>
      </w:pPr>
      <w:r>
        <w:t>land, buildings, infrastructure, plant and equipment;</w:t>
      </w:r>
    </w:p>
    <w:p w:rsidR="00DF17E9" w:rsidRDefault="00DF17E9" w:rsidP="00044843">
      <w:pPr>
        <w:pStyle w:val="ListBullet"/>
        <w:numPr>
          <w:ilvl w:val="0"/>
          <w:numId w:val="9"/>
        </w:numPr>
        <w:ind w:left="397" w:hanging="397"/>
      </w:pPr>
      <w:r>
        <w:t>investment properties; and</w:t>
      </w:r>
    </w:p>
    <w:p w:rsidR="00DF17E9" w:rsidRPr="00CF104D" w:rsidRDefault="00DF17E9" w:rsidP="00044843">
      <w:pPr>
        <w:numPr>
          <w:ilvl w:val="0"/>
          <w:numId w:val="19"/>
        </w:numPr>
        <w:shd w:val="clear" w:color="auto" w:fill="FFFFFF" w:themeFill="background1"/>
        <w:spacing w:line="240" w:lineRule="auto"/>
      </w:pPr>
      <w:r>
        <w:t>biological assets.</w:t>
      </w:r>
    </w:p>
    <w:p w:rsidR="00DF17E9" w:rsidRDefault="00DF17E9" w:rsidP="004350F7">
      <w:pPr>
        <w:shd w:val="clear" w:color="auto" w:fill="FFFFFF" w:themeFill="background1"/>
        <w:spacing w:after="100" w:line="257" w:lineRule="auto"/>
      </w:pPr>
      <w:r>
        <w:t xml:space="preserve">In addition, the fair values of other assets and liabilities are determined for disclosure purposes (financial assets and liabilities carried at amortised cost). </w:t>
      </w:r>
    </w:p>
    <w:p w:rsidR="00DF17E9" w:rsidRDefault="00DF17E9" w:rsidP="004350F7">
      <w:pPr>
        <w:shd w:val="clear" w:color="auto" w:fill="FFFFFF" w:themeFill="background1"/>
        <w:spacing w:after="100" w:line="257" w:lineRule="auto"/>
      </w:pPr>
      <w:r w:rsidRPr="00CF104D">
        <w:t xml:space="preserve">The State determines the policies and procedures </w:t>
      </w:r>
      <w:r>
        <w:t xml:space="preserve">for determining fair values </w:t>
      </w:r>
      <w:r w:rsidRPr="00CF104D">
        <w:t>for both financial and non-financial asset</w:t>
      </w:r>
      <w:r>
        <w:t xml:space="preserve">s and liabilities as required. </w:t>
      </w:r>
    </w:p>
    <w:p w:rsidR="00DF17E9" w:rsidRDefault="00DF17E9" w:rsidP="004350F7">
      <w:pPr>
        <w:spacing w:after="100" w:line="257" w:lineRule="auto"/>
      </w:pPr>
      <w:r w:rsidRPr="00CF104D">
        <w:t>For the purpose of fair value disclosures, the State has determined classes of assets and liabilities on the basis of the nature, characteristics and risks of the asset or liability</w:t>
      </w:r>
      <w:r>
        <w:t>.</w:t>
      </w:r>
    </w:p>
    <w:p w:rsidR="00DF17E9" w:rsidRPr="006E6D36" w:rsidRDefault="00DF17E9" w:rsidP="00044843">
      <w:pPr>
        <w:shd w:val="clear" w:color="auto" w:fill="FFFFFF" w:themeFill="background1"/>
        <w:rPr>
          <w:rFonts w:asciiTheme="majorHAnsi" w:eastAsiaTheme="majorEastAsia" w:hAnsiTheme="majorHAnsi" w:cstheme="majorBidi"/>
          <w:b/>
          <w:bCs/>
          <w:spacing w:val="-2"/>
          <w:szCs w:val="26"/>
        </w:rPr>
      </w:pPr>
      <w:r w:rsidRPr="006E6D36">
        <w:rPr>
          <w:rFonts w:asciiTheme="majorHAnsi" w:eastAsiaTheme="majorEastAsia" w:hAnsiTheme="majorHAnsi" w:cstheme="majorBidi"/>
          <w:b/>
          <w:bCs/>
          <w:spacing w:val="-2"/>
          <w:szCs w:val="26"/>
        </w:rPr>
        <w:t>Fair value hierarchy</w:t>
      </w:r>
    </w:p>
    <w:p w:rsidR="00DF17E9" w:rsidRDefault="00DF17E9" w:rsidP="004350F7">
      <w:pPr>
        <w:shd w:val="clear" w:color="auto" w:fill="FFFFFF" w:themeFill="background1"/>
        <w:spacing w:after="100" w:line="257" w:lineRule="auto"/>
      </w:pPr>
      <w:r>
        <w:t>In determining fair values a number of inputs are used. To increase consistency and comparability in the financial statements, these inputs are categorised into three levels, also known as the fair value hierarchy. The levels are as follows:</w:t>
      </w:r>
    </w:p>
    <w:p w:rsidR="00DF17E9" w:rsidRPr="00A172CA" w:rsidRDefault="00DF17E9" w:rsidP="00044843">
      <w:pPr>
        <w:pStyle w:val="ListBullet"/>
        <w:numPr>
          <w:ilvl w:val="0"/>
          <w:numId w:val="9"/>
        </w:numPr>
        <w:ind w:left="397" w:hanging="397"/>
      </w:pPr>
      <w:r w:rsidRPr="00CF104D">
        <w:t>Level 1 – Quoted (unadjusted) market prices in active</w:t>
      </w:r>
      <w:r w:rsidRPr="00A172CA">
        <w:t xml:space="preserve"> markets for identical assets or liabilities;</w:t>
      </w:r>
    </w:p>
    <w:p w:rsidR="00DF17E9" w:rsidRPr="00A172CA" w:rsidRDefault="00DF17E9" w:rsidP="00044843">
      <w:pPr>
        <w:pStyle w:val="ListBullet"/>
        <w:numPr>
          <w:ilvl w:val="0"/>
          <w:numId w:val="9"/>
        </w:numPr>
        <w:ind w:left="397" w:hanging="397"/>
      </w:pPr>
      <w:r w:rsidRPr="00A172CA">
        <w:t>Level 2 – Valuation techniques for which the lowest level input that is significant to the fair value measurement is directly or indirectly observable; and</w:t>
      </w:r>
    </w:p>
    <w:p w:rsidR="00DF17E9" w:rsidRDefault="00DF17E9" w:rsidP="00044843">
      <w:pPr>
        <w:pStyle w:val="ListBullet"/>
        <w:numPr>
          <w:ilvl w:val="0"/>
          <w:numId w:val="9"/>
        </w:numPr>
        <w:ind w:left="397" w:hanging="397"/>
      </w:pPr>
      <w:r w:rsidRPr="00A172CA">
        <w:t>Level 3 – Valuation techniques for which the lowest leve</w:t>
      </w:r>
      <w:r w:rsidRPr="00CF104D">
        <w:t>l input that is significant to the fair value measurement is</w:t>
      </w:r>
      <w:r>
        <w:t xml:space="preserve"> unobservable.</w:t>
      </w:r>
    </w:p>
    <w:p w:rsidR="00DF17E9" w:rsidRPr="00E4364D" w:rsidRDefault="00DF17E9" w:rsidP="004350F7">
      <w:pPr>
        <w:pStyle w:val="ListBullet"/>
        <w:numPr>
          <w:ilvl w:val="0"/>
          <w:numId w:val="0"/>
        </w:numPr>
        <w:spacing w:after="100" w:line="257" w:lineRule="auto"/>
      </w:pPr>
      <w:r w:rsidRPr="00E4364D">
        <w:t>The State determines whether transfers have occurred between levels in the hierarchy by reassessing categorisation (based on the lowest level input that is significant to the fair value measurement as a whole) at the end of each reporting period.</w:t>
      </w:r>
    </w:p>
    <w:p w:rsidR="00DF17E9" w:rsidRDefault="00DF17E9" w:rsidP="00044843">
      <w:pPr>
        <w:pStyle w:val="Heading3"/>
        <w:numPr>
          <w:ilvl w:val="0"/>
          <w:numId w:val="0"/>
        </w:numPr>
      </w:pPr>
      <w:r>
        <w:lastRenderedPageBreak/>
        <w:t>Fair value disclosure</w:t>
      </w:r>
    </w:p>
    <w:p w:rsidR="00DF17E9" w:rsidRPr="0035557D" w:rsidRDefault="00DF17E9" w:rsidP="004350F7">
      <w:pPr>
        <w:spacing w:after="100" w:line="257" w:lineRule="auto"/>
      </w:pPr>
      <w:r w:rsidRPr="0035557D">
        <w:t xml:space="preserve">For those assets and liabilities for which fair value determination is </w:t>
      </w:r>
      <w:r>
        <w:t>applied</w:t>
      </w:r>
      <w:r w:rsidRPr="0035557D">
        <w:t>, the following disclosures are provided:</w:t>
      </w:r>
    </w:p>
    <w:p w:rsidR="00DF17E9" w:rsidRDefault="00DF17E9" w:rsidP="00044843">
      <w:pPr>
        <w:pStyle w:val="ListBullet"/>
        <w:numPr>
          <w:ilvl w:val="0"/>
          <w:numId w:val="9"/>
        </w:numPr>
        <w:ind w:left="397" w:hanging="397"/>
      </w:pPr>
      <w:r>
        <w:t>c</w:t>
      </w:r>
      <w:r w:rsidRPr="00CF104D">
        <w:t>arrying amount and the fair value (which would be the same for those assets measured at fair value)</w:t>
      </w:r>
      <w:r>
        <w:t>;</w:t>
      </w:r>
    </w:p>
    <w:p w:rsidR="00DF17E9" w:rsidRDefault="00DF17E9" w:rsidP="00044843">
      <w:pPr>
        <w:pStyle w:val="ListBullet"/>
        <w:numPr>
          <w:ilvl w:val="0"/>
          <w:numId w:val="9"/>
        </w:numPr>
        <w:ind w:left="397" w:hanging="397"/>
      </w:pPr>
      <w:r>
        <w:t>which level of the fair value hierarchy was used to determine the fair value;</w:t>
      </w:r>
    </w:p>
    <w:p w:rsidR="00DF17E9" w:rsidRDefault="00DF17E9" w:rsidP="00044843">
      <w:pPr>
        <w:pStyle w:val="ListBullet"/>
        <w:numPr>
          <w:ilvl w:val="0"/>
          <w:numId w:val="9"/>
        </w:numPr>
        <w:ind w:left="397" w:hanging="397"/>
      </w:pPr>
      <w:r>
        <w:t>in respect of those assets and liabilities subject to fair value determination using Level 3 inputs:</w:t>
      </w:r>
    </w:p>
    <w:p w:rsidR="00DF17E9" w:rsidRPr="00A172CA" w:rsidRDefault="00DF17E9" w:rsidP="00044843">
      <w:pPr>
        <w:pStyle w:val="ListBullet2"/>
        <w:numPr>
          <w:ilvl w:val="1"/>
          <w:numId w:val="9"/>
        </w:numPr>
        <w:ind w:left="794" w:hanging="397"/>
      </w:pPr>
      <w:r w:rsidRPr="00F2470C">
        <w:t>a reconciliation of the movements in fair valu</w:t>
      </w:r>
      <w:r w:rsidRPr="00A172CA">
        <w:t>es from the beginning of the year to the end; and</w:t>
      </w:r>
    </w:p>
    <w:p w:rsidR="00DF17E9" w:rsidRPr="00F2470C" w:rsidRDefault="00DF17E9" w:rsidP="00044843">
      <w:pPr>
        <w:pStyle w:val="ListBullet2"/>
        <w:numPr>
          <w:ilvl w:val="1"/>
          <w:numId w:val="9"/>
        </w:numPr>
        <w:ind w:left="794" w:hanging="397"/>
      </w:pPr>
      <w:r w:rsidRPr="00A172CA">
        <w:t>details of significant unobservable inputs used</w:t>
      </w:r>
      <w:r w:rsidRPr="00F2470C">
        <w:t xml:space="preserve"> in the fair value determination.</w:t>
      </w:r>
    </w:p>
    <w:p w:rsidR="00DF17E9" w:rsidRDefault="00DF17E9" w:rsidP="004350F7">
      <w:pPr>
        <w:spacing w:after="100" w:line="257" w:lineRule="auto"/>
      </w:pPr>
      <w:r>
        <w:t>This section is divided between financial instruments and non-financial physical assets.</w:t>
      </w:r>
    </w:p>
    <w:p w:rsidR="00DF17E9" w:rsidRPr="00E82E56" w:rsidRDefault="00DF17E9" w:rsidP="00044843">
      <w:pPr>
        <w:pStyle w:val="Heading2"/>
      </w:pPr>
      <w:bookmarkStart w:id="64" w:name="_Toc459976626"/>
      <w:r w:rsidRPr="00E82E56">
        <w:t>Fair value determination of financial assets and liabilities</w:t>
      </w:r>
      <w:bookmarkEnd w:id="64"/>
    </w:p>
    <w:p w:rsidR="00DF17E9" w:rsidRPr="002225EC" w:rsidRDefault="00DF17E9" w:rsidP="00044843">
      <w:pPr>
        <w:rPr>
          <w:rFonts w:asciiTheme="majorHAnsi" w:eastAsiaTheme="majorEastAsia" w:hAnsiTheme="majorHAnsi" w:cstheme="majorBidi"/>
          <w:b/>
          <w:bCs/>
          <w:spacing w:val="-2"/>
          <w:szCs w:val="26"/>
        </w:rPr>
      </w:pPr>
      <w:r w:rsidRPr="002225EC">
        <w:rPr>
          <w:rFonts w:asciiTheme="majorHAnsi" w:eastAsiaTheme="majorEastAsia" w:hAnsiTheme="majorHAnsi" w:cstheme="majorBidi"/>
          <w:b/>
          <w:bCs/>
          <w:spacing w:val="-2"/>
          <w:szCs w:val="26"/>
        </w:rPr>
        <w:t>How fair values are determined</w:t>
      </w:r>
    </w:p>
    <w:p w:rsidR="00DF17E9" w:rsidRPr="00CF104D" w:rsidRDefault="00DF17E9" w:rsidP="004350F7">
      <w:pPr>
        <w:spacing w:after="100" w:line="257" w:lineRule="auto"/>
      </w:pPr>
      <w:r w:rsidRPr="00CF104D">
        <w:t>The fair values of the State’s financial assets and liabilities are determined as follows:</w:t>
      </w:r>
    </w:p>
    <w:p w:rsidR="00DF17E9" w:rsidRPr="00A172CA" w:rsidRDefault="00DF17E9" w:rsidP="00044843">
      <w:pPr>
        <w:pStyle w:val="ListBullet"/>
        <w:numPr>
          <w:ilvl w:val="0"/>
          <w:numId w:val="9"/>
        </w:numPr>
        <w:ind w:left="397" w:hanging="397"/>
      </w:pPr>
      <w:r>
        <w:t xml:space="preserve">Level 1 – </w:t>
      </w:r>
      <w:r w:rsidRPr="00CF104D">
        <w:t xml:space="preserve">the financial </w:t>
      </w:r>
      <w:r>
        <w:t xml:space="preserve">instruments </w:t>
      </w:r>
      <w:r w:rsidRPr="00CF104D">
        <w:t>with stand</w:t>
      </w:r>
      <w:r w:rsidRPr="00A172CA">
        <w:t>ard terms and conditions and traded in an active liquid market are determined with reference to quoted market prices;</w:t>
      </w:r>
    </w:p>
    <w:p w:rsidR="00DF17E9" w:rsidRPr="00A172CA" w:rsidRDefault="00DF17E9" w:rsidP="00044843">
      <w:pPr>
        <w:pStyle w:val="ListBullet"/>
        <w:numPr>
          <w:ilvl w:val="0"/>
          <w:numId w:val="9"/>
        </w:numPr>
        <w:ind w:left="397" w:hanging="397"/>
      </w:pPr>
      <w:r w:rsidRPr="00A172CA">
        <w:t>Level 2 – 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rsidR="00DF17E9" w:rsidRDefault="00DF17E9" w:rsidP="00044843">
      <w:pPr>
        <w:pStyle w:val="ListBullet"/>
        <w:numPr>
          <w:ilvl w:val="0"/>
          <w:numId w:val="9"/>
        </w:numPr>
        <w:ind w:left="397" w:hanging="397"/>
      </w:pPr>
      <w:r w:rsidRPr="00A172CA">
        <w:t>Level 3 – the fair value of derivative instruments, such as interest rate futures contracts, are calculated using quoted prices. Where such prices are not available, use is made of discounted cash flow analysis using the applicab</w:t>
      </w:r>
      <w:r w:rsidRPr="00CF104D">
        <w:t>le yield curve for the duration of the instrument for non-optional derivatives, and option pricing models for optional derivatives.</w:t>
      </w:r>
    </w:p>
    <w:p w:rsidR="00DF17E9" w:rsidRDefault="00DF17E9" w:rsidP="003E5B73">
      <w:pPr>
        <w:sectPr w:rsidR="00DF17E9" w:rsidSect="00044843">
          <w:type w:val="continuous"/>
          <w:pgSz w:w="11906" w:h="16838" w:code="9"/>
          <w:pgMar w:top="1134" w:right="1134" w:bottom="1134" w:left="1134" w:header="624" w:footer="567" w:gutter="0"/>
          <w:cols w:num="2" w:space="708"/>
          <w:docGrid w:linePitch="360"/>
        </w:sectPr>
      </w:pPr>
    </w:p>
    <w:p w:rsidR="00DF17E9" w:rsidRPr="00092971" w:rsidRDefault="00DF17E9" w:rsidP="00044843">
      <w:pPr>
        <w:pStyle w:val="Subheading"/>
        <w:rPr>
          <w:bCs/>
          <w:lang w:val="en-US"/>
        </w:rPr>
      </w:pPr>
      <w:r>
        <w:lastRenderedPageBreak/>
        <w:t>Carrying amounts, fair values and fair value hierarchy</w:t>
      </w:r>
      <w:r>
        <w:tab/>
      </w:r>
      <w:r w:rsidRPr="00901FA3">
        <w:rPr>
          <w:rStyle w:val="TableUnitsChar"/>
        </w:rPr>
        <w:t>($ million)</w:t>
      </w:r>
    </w:p>
    <w:tbl>
      <w:tblPr>
        <w:tblStyle w:val="TableDTFGeneral"/>
        <w:tblW w:w="9638" w:type="dxa"/>
        <w:tblLayout w:type="fixed"/>
        <w:tblLook w:val="02A0" w:firstRow="1" w:lastRow="0" w:firstColumn="1" w:lastColumn="0" w:noHBand="1" w:noVBand="0"/>
      </w:tblPr>
      <w:tblGrid>
        <w:gridCol w:w="5983"/>
        <w:gridCol w:w="913"/>
        <w:gridCol w:w="914"/>
        <w:gridCol w:w="914"/>
        <w:gridCol w:w="914"/>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vMerge w:val="restart"/>
            <w:vAlign w:val="top"/>
          </w:tcPr>
          <w:p w:rsidR="00FA1641" w:rsidRPr="00092971" w:rsidRDefault="00FA1641" w:rsidP="00FA1641">
            <w:pPr>
              <w:ind w:left="0" w:firstLine="0"/>
              <w:rPr>
                <w:color w:val="FFFFFF"/>
              </w:rPr>
            </w:pPr>
            <w:r w:rsidRPr="00092971">
              <w:rPr>
                <w:color w:val="FFFFFF"/>
              </w:rPr>
              <w:t>State of Victoria</w:t>
            </w:r>
          </w:p>
        </w:tc>
        <w:tc>
          <w:tcPr>
            <w:cnfStyle w:val="000010000000" w:firstRow="0" w:lastRow="0" w:firstColumn="0" w:lastColumn="0" w:oddVBand="1" w:evenVBand="0" w:oddHBand="0" w:evenHBand="0" w:firstRowFirstColumn="0" w:firstRowLastColumn="0" w:lastRowFirstColumn="0" w:lastRowLastColumn="0"/>
            <w:tcW w:w="1827" w:type="dxa"/>
            <w:gridSpan w:val="2"/>
            <w:tcBorders>
              <w:bottom w:val="nil"/>
            </w:tcBorders>
          </w:tcPr>
          <w:p w:rsidR="00FA1641" w:rsidRPr="00092971" w:rsidRDefault="00FA1641" w:rsidP="00FA1641">
            <w:pPr>
              <w:jc w:val="center"/>
              <w:rPr>
                <w:color w:val="FFFFFF"/>
              </w:rPr>
            </w:pPr>
            <w:r w:rsidRPr="00092971">
              <w:rPr>
                <w:color w:val="FFFFFF"/>
              </w:rPr>
              <w:t>2016</w:t>
            </w:r>
          </w:p>
        </w:tc>
        <w:tc>
          <w:tcPr>
            <w:tcW w:w="1828" w:type="dxa"/>
            <w:gridSpan w:val="2"/>
            <w:tcBorders>
              <w:bottom w:val="nil"/>
            </w:tcBorders>
          </w:tcPr>
          <w:p w:rsidR="00FA1641" w:rsidRPr="00092971" w:rsidRDefault="00FA1641"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FA1641"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vMerge/>
            <w:tcBorders>
              <w:bottom w:val="single" w:sz="6" w:space="0" w:color="auto"/>
            </w:tcBorders>
          </w:tcPr>
          <w:p w:rsidR="00FA1641" w:rsidRPr="00092971" w:rsidRDefault="00FA1641"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FA1641" w:rsidRPr="00092971" w:rsidRDefault="00FA1641" w:rsidP="00044843">
            <w:pPr>
              <w:rPr>
                <w:color w:val="FFFFFF"/>
              </w:rPr>
            </w:pPr>
            <w:r w:rsidRPr="00092971">
              <w:rPr>
                <w:color w:val="FFFFFF"/>
              </w:rPr>
              <w:t xml:space="preserve">Carrying </w:t>
            </w:r>
          </w:p>
          <w:p w:rsidR="00FA1641" w:rsidRPr="00092971" w:rsidRDefault="00FA1641" w:rsidP="00044843">
            <w:pPr>
              <w:rPr>
                <w:color w:val="FFFFFF"/>
              </w:rPr>
            </w:pPr>
            <w:r w:rsidRPr="00092971">
              <w:rPr>
                <w:color w:val="FFFFFF"/>
              </w:rPr>
              <w:t>amount</w:t>
            </w:r>
          </w:p>
        </w:tc>
        <w:tc>
          <w:tcPr>
            <w:tcW w:w="914" w:type="dxa"/>
            <w:tcBorders>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w:t>
            </w:r>
          </w:p>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value</w:t>
            </w:r>
          </w:p>
        </w:tc>
        <w:tc>
          <w:tcPr>
            <w:cnfStyle w:val="000010000000" w:firstRow="0" w:lastRow="0" w:firstColumn="0" w:lastColumn="0" w:oddVBand="1" w:evenVBand="0" w:oddHBand="0" w:evenHBand="0" w:firstRowFirstColumn="0" w:firstRowLastColumn="0" w:lastRowFirstColumn="0" w:lastRowLastColumn="0"/>
            <w:tcW w:w="914" w:type="dxa"/>
            <w:tcBorders>
              <w:bottom w:val="single" w:sz="6" w:space="0" w:color="auto"/>
            </w:tcBorders>
          </w:tcPr>
          <w:p w:rsidR="00FA1641" w:rsidRPr="00092971" w:rsidRDefault="00FA1641" w:rsidP="00044843">
            <w:pPr>
              <w:rPr>
                <w:color w:val="FFFFFF"/>
              </w:rPr>
            </w:pPr>
            <w:r w:rsidRPr="00092971">
              <w:rPr>
                <w:color w:val="FFFFFF"/>
              </w:rPr>
              <w:t xml:space="preserve">Carrying </w:t>
            </w:r>
          </w:p>
          <w:p w:rsidR="00FA1641" w:rsidRPr="00092971" w:rsidRDefault="00FA1641" w:rsidP="00044843">
            <w:pPr>
              <w:rPr>
                <w:color w:val="FFFFFF"/>
              </w:rPr>
            </w:pPr>
            <w:r w:rsidRPr="00092971">
              <w:rPr>
                <w:color w:val="FFFFFF"/>
              </w:rPr>
              <w:t>amount</w:t>
            </w:r>
          </w:p>
        </w:tc>
        <w:tc>
          <w:tcPr>
            <w:tcW w:w="914" w:type="dxa"/>
            <w:tcBorders>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w:t>
            </w:r>
          </w:p>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value</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rsidR="00DF17E9" w:rsidRPr="00092971" w:rsidRDefault="00DF17E9" w:rsidP="00044843">
            <w:pPr>
              <w:ind w:left="0" w:firstLine="0"/>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tcBorders>
          </w:tcPr>
          <w:p w:rsidR="00DF17E9" w:rsidRPr="00092971" w:rsidRDefault="00DF17E9" w:rsidP="00044843">
            <w:pPr>
              <w:jc w:val="left"/>
              <w:rPr>
                <w:color w:val="000000"/>
              </w:rPr>
            </w:pPr>
            <w:r w:rsidRPr="00092971">
              <w:rPr>
                <w:color w:val="000000"/>
              </w:rPr>
              <w:t xml:space="preserve"> </w:t>
            </w:r>
          </w:p>
        </w:tc>
        <w:tc>
          <w:tcPr>
            <w:tcW w:w="914"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4" w:type="dxa"/>
            <w:tcBorders>
              <w:top w:val="single" w:sz="6" w:space="0" w:color="auto"/>
            </w:tcBorders>
          </w:tcPr>
          <w:p w:rsidR="00DF17E9" w:rsidRPr="00092971" w:rsidRDefault="00DF17E9" w:rsidP="00044843">
            <w:pPr>
              <w:jc w:val="left"/>
              <w:rPr>
                <w:color w:val="000000"/>
              </w:rPr>
            </w:pPr>
            <w:r w:rsidRPr="00092971">
              <w:rPr>
                <w:color w:val="000000"/>
              </w:rPr>
              <w:t xml:space="preserve"> </w:t>
            </w:r>
          </w:p>
        </w:tc>
        <w:tc>
          <w:tcPr>
            <w:tcW w:w="914"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 xml:space="preserve">Non-current receivables </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r w:rsidRPr="00092971">
              <w:rPr>
                <w:color w:val="000000"/>
              </w:rPr>
              <w:t>142</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142</w:t>
            </w:r>
          </w:p>
        </w:tc>
        <w:tc>
          <w:tcPr>
            <w:cnfStyle w:val="000010000000" w:firstRow="0" w:lastRow="0" w:firstColumn="0" w:lastColumn="0" w:oddVBand="1" w:evenVBand="0" w:oddHBand="0" w:evenHBand="0" w:firstRowFirstColumn="0" w:firstRowLastColumn="0" w:lastRowFirstColumn="0" w:lastRowLastColumn="0"/>
            <w:tcW w:w="914" w:type="dxa"/>
          </w:tcPr>
          <w:p w:rsidR="00DF17E9" w:rsidRPr="00092971" w:rsidRDefault="00DF17E9" w:rsidP="00044843">
            <w:r w:rsidRPr="00092971">
              <w:rPr>
                <w:color w:val="000000"/>
              </w:rPr>
              <w:t>174</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174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092971" w:rsidRDefault="00DF17E9" w:rsidP="00044843">
            <w:pPr>
              <w:rPr>
                <w:color w:val="000000"/>
              </w:rPr>
            </w:pPr>
            <w:r w:rsidRPr="00092971">
              <w:rPr>
                <w:color w:val="000000"/>
              </w:rPr>
              <w:t xml:space="preserve"> </w:t>
            </w:r>
          </w:p>
        </w:tc>
        <w:tc>
          <w:tcPr>
            <w:tcW w:w="914"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4" w:type="dxa"/>
            <w:tcBorders>
              <w:bottom w:val="nil"/>
            </w:tcBorders>
          </w:tcPr>
          <w:p w:rsidR="00DF17E9" w:rsidRPr="00092971" w:rsidRDefault="00DF17E9" w:rsidP="00044843">
            <w:pPr>
              <w:rPr>
                <w:color w:val="000000"/>
              </w:rPr>
            </w:pPr>
            <w:r w:rsidRPr="00092971">
              <w:rPr>
                <w:color w:val="000000"/>
              </w:rPr>
              <w:t xml:space="preserve"> </w:t>
            </w:r>
          </w:p>
        </w:tc>
        <w:tc>
          <w:tcPr>
            <w:tcW w:w="914"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12" w:space="0" w:color="auto"/>
            </w:tcBorders>
          </w:tcPr>
          <w:p w:rsidR="00DF17E9" w:rsidRPr="00092971" w:rsidRDefault="00DF17E9" w:rsidP="00044843">
            <w:pPr>
              <w:ind w:left="0" w:firstLine="0"/>
              <w:rPr>
                <w:color w:val="000000"/>
              </w:rPr>
            </w:pPr>
            <w:r w:rsidRPr="00092971">
              <w:rPr>
                <w:color w:val="000000"/>
              </w:rPr>
              <w:t>Finance lease liabilities</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12" w:space="0" w:color="auto"/>
            </w:tcBorders>
          </w:tcPr>
          <w:p w:rsidR="00DF17E9" w:rsidRPr="00092971" w:rsidRDefault="00DF17E9" w:rsidP="00044843">
            <w:pPr>
              <w:rPr>
                <w:color w:val="000000"/>
              </w:rPr>
            </w:pPr>
            <w:r w:rsidRPr="00092971">
              <w:rPr>
                <w:color w:val="000000"/>
              </w:rPr>
              <w:t>9 640</w:t>
            </w:r>
          </w:p>
        </w:tc>
        <w:tc>
          <w:tcPr>
            <w:tcW w:w="914"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9 614</w:t>
            </w:r>
          </w:p>
        </w:tc>
        <w:tc>
          <w:tcPr>
            <w:cnfStyle w:val="000010000000" w:firstRow="0" w:lastRow="0" w:firstColumn="0" w:lastColumn="0" w:oddVBand="1" w:evenVBand="0" w:oddHBand="0" w:evenHBand="0" w:firstRowFirstColumn="0" w:firstRowLastColumn="0" w:lastRowFirstColumn="0" w:lastRowLastColumn="0"/>
            <w:tcW w:w="914" w:type="dxa"/>
            <w:tcBorders>
              <w:bottom w:val="single" w:sz="12" w:space="0" w:color="auto"/>
            </w:tcBorders>
          </w:tcPr>
          <w:p w:rsidR="00DF17E9" w:rsidRPr="00092971" w:rsidRDefault="00DF17E9" w:rsidP="00044843">
            <w:pPr>
              <w:rPr>
                <w:color w:val="000000"/>
              </w:rPr>
            </w:pPr>
            <w:r w:rsidRPr="00092971">
              <w:rPr>
                <w:color w:val="000000"/>
              </w:rPr>
              <w:t>8 760</w:t>
            </w:r>
          </w:p>
        </w:tc>
        <w:tc>
          <w:tcPr>
            <w:tcW w:w="914" w:type="dxa"/>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8 724</w:t>
            </w:r>
          </w:p>
        </w:tc>
      </w:tr>
    </w:tbl>
    <w:p w:rsidR="00DF17E9" w:rsidRPr="00092971" w:rsidRDefault="00DF17E9" w:rsidP="00044843">
      <w:pPr>
        <w:spacing w:after="0"/>
        <w:rPr>
          <w:rFonts w:asciiTheme="majorHAnsi" w:hAnsiTheme="majorHAnsi"/>
          <w:b/>
          <w:bCs/>
          <w:color w:val="000000"/>
          <w:spacing w:val="4"/>
          <w:sz w:val="17"/>
          <w:lang w:val="en-US"/>
        </w:rPr>
      </w:pPr>
    </w:p>
    <w:tbl>
      <w:tblPr>
        <w:tblStyle w:val="TableDTFGeneral"/>
        <w:tblW w:w="9638" w:type="dxa"/>
        <w:tblLayout w:type="fixed"/>
        <w:tblLook w:val="02A0" w:firstRow="1" w:lastRow="0" w:firstColumn="1" w:lastColumn="0" w:noHBand="1" w:noVBand="0"/>
      </w:tblPr>
      <w:tblGrid>
        <w:gridCol w:w="5983"/>
        <w:gridCol w:w="913"/>
        <w:gridCol w:w="914"/>
        <w:gridCol w:w="914"/>
        <w:gridCol w:w="914"/>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FFFFFF"/>
              </w:rPr>
            </w:pPr>
            <w:r w:rsidRPr="00092971">
              <w:rPr>
                <w:color w:val="FFFFFF"/>
              </w:rPr>
              <w:t>General government sector</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FFFFFF"/>
              </w:rPr>
            </w:pPr>
            <w:r w:rsidRPr="00092971">
              <w:rPr>
                <w:color w:val="FFFFFF"/>
              </w:rPr>
              <w:t xml:space="preserve"> </w:t>
            </w:r>
          </w:p>
        </w:tc>
        <w:tc>
          <w:tcPr>
            <w:tcW w:w="914"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4" w:type="dxa"/>
          </w:tcPr>
          <w:p w:rsidR="00DF17E9" w:rsidRPr="00092971" w:rsidRDefault="00DF17E9" w:rsidP="00044843">
            <w:pPr>
              <w:rPr>
                <w:color w:val="FFFFFF"/>
              </w:rPr>
            </w:pPr>
            <w:r w:rsidRPr="00092971">
              <w:rPr>
                <w:color w:val="FFFFFF"/>
              </w:rPr>
              <w:t xml:space="preserve"> </w:t>
            </w:r>
          </w:p>
        </w:tc>
        <w:tc>
          <w:tcPr>
            <w:tcW w:w="914"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 xml:space="preserve"> </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4" w:type="dxa"/>
          </w:tcPr>
          <w:p w:rsidR="00DF17E9" w:rsidRPr="00092971" w:rsidRDefault="00DF17E9" w:rsidP="00044843">
            <w:pPr>
              <w:rPr>
                <w:color w:val="000000"/>
              </w:rPr>
            </w:pPr>
            <w:r w:rsidRPr="00092971">
              <w:rPr>
                <w:color w:val="000000"/>
              </w:rPr>
              <w:t xml:space="preserve"> </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Non-current receivables</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r w:rsidRPr="00092971">
              <w:rPr>
                <w:color w:val="000000"/>
              </w:rPr>
              <w:t>478</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478</w:t>
            </w:r>
          </w:p>
        </w:tc>
        <w:tc>
          <w:tcPr>
            <w:cnfStyle w:val="000010000000" w:firstRow="0" w:lastRow="0" w:firstColumn="0" w:lastColumn="0" w:oddVBand="1" w:evenVBand="0" w:oddHBand="0" w:evenHBand="0" w:firstRowFirstColumn="0" w:firstRowLastColumn="0" w:lastRowFirstColumn="0" w:lastRowLastColumn="0"/>
            <w:tcW w:w="914" w:type="dxa"/>
          </w:tcPr>
          <w:p w:rsidR="00DF17E9" w:rsidRPr="00092971" w:rsidRDefault="00DF17E9" w:rsidP="00044843">
            <w:r w:rsidRPr="00092971">
              <w:rPr>
                <w:color w:val="000000"/>
              </w:rPr>
              <w:t>753</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753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jc w:val="left"/>
              <w:rPr>
                <w:color w:val="000000"/>
              </w:rPr>
            </w:pPr>
            <w:r w:rsidRPr="00092971">
              <w:rPr>
                <w:color w:val="000000"/>
              </w:rPr>
              <w:t xml:space="preserve"> </w:t>
            </w:r>
          </w:p>
        </w:tc>
        <w:tc>
          <w:tcPr>
            <w:tcW w:w="914"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4" w:type="dxa"/>
          </w:tcPr>
          <w:p w:rsidR="00DF17E9" w:rsidRPr="00092971" w:rsidRDefault="00DF17E9" w:rsidP="00044843">
            <w:pPr>
              <w:jc w:val="left"/>
              <w:rPr>
                <w:color w:val="000000"/>
              </w:rPr>
            </w:pPr>
            <w:r w:rsidRPr="00092971">
              <w:rPr>
                <w:color w:val="000000"/>
              </w:rPr>
              <w:t xml:space="preserve"> </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Finance lease liabilities</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9 009</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9 009</w:t>
            </w:r>
          </w:p>
        </w:tc>
        <w:tc>
          <w:tcPr>
            <w:cnfStyle w:val="000010000000" w:firstRow="0" w:lastRow="0" w:firstColumn="0" w:lastColumn="0" w:oddVBand="1" w:evenVBand="0" w:oddHBand="0" w:evenHBand="0" w:firstRowFirstColumn="0" w:firstRowLastColumn="0" w:lastRowFirstColumn="0" w:lastRowLastColumn="0"/>
            <w:tcW w:w="914" w:type="dxa"/>
          </w:tcPr>
          <w:p w:rsidR="00DF17E9" w:rsidRPr="00092971" w:rsidRDefault="00DF17E9" w:rsidP="00044843">
            <w:pPr>
              <w:rPr>
                <w:color w:val="000000"/>
              </w:rPr>
            </w:pPr>
            <w:r w:rsidRPr="00092971">
              <w:rPr>
                <w:color w:val="000000"/>
              </w:rPr>
              <w:t>8 059</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8 058</w:t>
            </w:r>
          </w:p>
        </w:tc>
      </w:tr>
    </w:tbl>
    <w:p w:rsidR="00DF17E9" w:rsidRDefault="00DF17E9" w:rsidP="00044843"/>
    <w:p w:rsidR="00DF17E9" w:rsidRPr="00092971" w:rsidRDefault="00DF17E9" w:rsidP="00044843">
      <w:pPr>
        <w:pStyle w:val="Subheading"/>
        <w:rPr>
          <w:rStyle w:val="TableUnitsChar"/>
          <w:bCs/>
          <w:lang w:val="en-US"/>
        </w:rPr>
      </w:pPr>
      <w:r>
        <w:t>Financial assets and liabilities measured at fair value</w:t>
      </w:r>
      <w:r>
        <w:rPr>
          <w:vertAlign w:val="superscript"/>
        </w:rPr>
        <w:t xml:space="preserve"> (a)</w:t>
      </w:r>
      <w:r>
        <w:tab/>
      </w:r>
      <w:r w:rsidRPr="00901FA3">
        <w:rPr>
          <w:rStyle w:val="TableUnitsChar"/>
        </w:rPr>
        <w:t>($ million)</w:t>
      </w:r>
    </w:p>
    <w:tbl>
      <w:tblPr>
        <w:tblStyle w:val="TableDTFGeneral"/>
        <w:tblW w:w="9660" w:type="dxa"/>
        <w:tblLayout w:type="fixed"/>
        <w:tblLook w:val="02A0" w:firstRow="1" w:lastRow="0" w:firstColumn="1" w:lastColumn="0" w:noHBand="1" w:noVBand="0"/>
      </w:tblPr>
      <w:tblGrid>
        <w:gridCol w:w="5699"/>
        <w:gridCol w:w="1195"/>
        <w:gridCol w:w="8"/>
        <w:gridCol w:w="905"/>
        <w:gridCol w:w="913"/>
        <w:gridCol w:w="940"/>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vMerge w:val="restart"/>
          </w:tcPr>
          <w:p w:rsidR="00FA1641" w:rsidRDefault="00FA1641" w:rsidP="00FA1641">
            <w:pPr>
              <w:ind w:left="0" w:firstLine="0"/>
              <w:rPr>
                <w:color w:val="FFFFFF"/>
              </w:rPr>
            </w:pPr>
            <w:r>
              <w:rPr>
                <w:color w:val="FFFFFF"/>
              </w:rPr>
              <w:t>State of Victoria</w:t>
            </w:r>
          </w:p>
          <w:p w:rsidR="00FA1641" w:rsidRPr="00092971" w:rsidRDefault="00FA1641" w:rsidP="00FA1641">
            <w:pPr>
              <w:ind w:left="0" w:firstLine="0"/>
              <w:rPr>
                <w:i w:val="0"/>
                <w:color w:val="FFFFFF"/>
              </w:rPr>
            </w:pPr>
          </w:p>
          <w:p w:rsidR="00FA1641" w:rsidRPr="00092971" w:rsidRDefault="00FA1641" w:rsidP="00FA1641">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1203" w:type="dxa"/>
            <w:gridSpan w:val="2"/>
            <w:vMerge w:val="restart"/>
          </w:tcPr>
          <w:p w:rsidR="00FA1641" w:rsidRPr="00092971" w:rsidRDefault="00FA1641" w:rsidP="00044843">
            <w:pPr>
              <w:rPr>
                <w:color w:val="FFFFFF"/>
              </w:rPr>
            </w:pPr>
            <w:r w:rsidRPr="00092971">
              <w:rPr>
                <w:color w:val="FFFFFF"/>
              </w:rPr>
              <w:t xml:space="preserve">Carrying </w:t>
            </w:r>
          </w:p>
          <w:p w:rsidR="00FA1641" w:rsidRPr="00092971" w:rsidRDefault="00FA1641" w:rsidP="00FA1641">
            <w:pPr>
              <w:rPr>
                <w:color w:val="FFFFFF"/>
              </w:rPr>
            </w:pPr>
            <w:r w:rsidRPr="00092971">
              <w:rPr>
                <w:color w:val="FFFFFF"/>
              </w:rPr>
              <w:t>amount as at</w:t>
            </w:r>
            <w:r>
              <w:rPr>
                <w:color w:val="FFFFFF"/>
              </w:rPr>
              <w:t xml:space="preserve"> </w:t>
            </w:r>
            <w:r w:rsidRPr="00092971">
              <w:rPr>
                <w:color w:val="FFFFFF"/>
              </w:rPr>
              <w:t xml:space="preserve">30 June </w:t>
            </w:r>
          </w:p>
        </w:tc>
        <w:tc>
          <w:tcPr>
            <w:tcW w:w="2758" w:type="dxa"/>
            <w:gridSpan w:val="3"/>
            <w:tcBorders>
              <w:bottom w:val="nil"/>
            </w:tcBorders>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value measurement at </w:t>
            </w:r>
            <w:r>
              <w:rPr>
                <w:color w:val="FFFFFF"/>
              </w:rPr>
              <w:br/>
            </w:r>
            <w:r w:rsidRPr="00092971">
              <w:rPr>
                <w:color w:val="FFFFFF"/>
              </w:rPr>
              <w:t xml:space="preserve">end of reporting period using: </w:t>
            </w:r>
          </w:p>
        </w:tc>
      </w:tr>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vMerge/>
            <w:tcBorders>
              <w:bottom w:val="single" w:sz="6" w:space="0" w:color="auto"/>
            </w:tcBorders>
          </w:tcPr>
          <w:p w:rsidR="00FA1641" w:rsidRPr="00092971" w:rsidRDefault="00FA1641"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203" w:type="dxa"/>
            <w:gridSpan w:val="2"/>
            <w:vMerge/>
            <w:tcBorders>
              <w:bottom w:val="single" w:sz="6" w:space="0" w:color="auto"/>
            </w:tcBorders>
          </w:tcPr>
          <w:p w:rsidR="00FA1641" w:rsidRPr="00092971" w:rsidRDefault="00FA1641" w:rsidP="00044843">
            <w:pPr>
              <w:rPr>
                <w:color w:val="FFFFFF"/>
              </w:rPr>
            </w:pPr>
          </w:p>
        </w:tc>
        <w:tc>
          <w:tcPr>
            <w:tcW w:w="905" w:type="dxa"/>
            <w:tcBorders>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FA1641" w:rsidRPr="00092971" w:rsidRDefault="00FA1641" w:rsidP="00044843">
            <w:pPr>
              <w:rPr>
                <w:color w:val="FFFFFF"/>
              </w:rPr>
            </w:pPr>
            <w:r w:rsidRPr="00092971">
              <w:rPr>
                <w:color w:val="FFFFFF"/>
              </w:rPr>
              <w:t>Level 2</w:t>
            </w:r>
          </w:p>
        </w:tc>
        <w:tc>
          <w:tcPr>
            <w:tcW w:w="940" w:type="dxa"/>
            <w:tcBorders>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95" w:type="dxa"/>
            <w:tcBorders>
              <w:top w:val="single" w:sz="6" w:space="0" w:color="auto"/>
            </w:tcBorders>
          </w:tcPr>
          <w:p w:rsidR="00DF17E9" w:rsidRPr="00092971" w:rsidRDefault="00DF17E9" w:rsidP="00044843">
            <w:pPr>
              <w:rPr>
                <w:color w:val="FF0000"/>
              </w:rPr>
            </w:pPr>
            <w:r w:rsidRPr="00092971">
              <w:rPr>
                <w:color w:val="FF0000"/>
              </w:rPr>
              <w:t xml:space="preserve"> </w:t>
            </w:r>
          </w:p>
        </w:tc>
        <w:tc>
          <w:tcPr>
            <w:tcW w:w="913" w:type="dxa"/>
            <w:gridSpan w:val="2"/>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0000"/>
              </w:rPr>
            </w:pPr>
            <w:r w:rsidRPr="00092971">
              <w:rPr>
                <w:i/>
                <w:color w:val="FF0000"/>
              </w:rPr>
              <w:t xml:space="preserve"> </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tcBorders>
          </w:tcPr>
          <w:p w:rsidR="00DF17E9" w:rsidRPr="00092971" w:rsidRDefault="00DF17E9" w:rsidP="00044843">
            <w:pPr>
              <w:jc w:val="left"/>
              <w:rPr>
                <w:color w:val="FF0000"/>
              </w:rPr>
            </w:pPr>
            <w:r w:rsidRPr="00092971">
              <w:rPr>
                <w:i/>
                <w:color w:val="FF0000"/>
              </w:rPr>
              <w:t xml:space="preserve"> </w:t>
            </w:r>
          </w:p>
        </w:tc>
        <w:tc>
          <w:tcPr>
            <w:tcW w:w="940"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0000"/>
              </w:rPr>
            </w:pPr>
            <w:r w:rsidRPr="00092971">
              <w:rPr>
                <w:i/>
                <w:color w:val="FF0000"/>
              </w:rPr>
              <w:t xml:space="preserve"> </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color w:val="000000"/>
              </w:rPr>
              <w:t>Cash</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092971" w:rsidRDefault="00DF17E9" w:rsidP="00044843">
            <w:pPr>
              <w:rPr>
                <w:color w:val="000000"/>
              </w:rPr>
            </w:pPr>
            <w:r w:rsidRPr="00092971">
              <w:rPr>
                <w:color w:val="000000"/>
              </w:rPr>
              <w:t>6 676</w:t>
            </w:r>
          </w:p>
        </w:tc>
        <w:tc>
          <w:tcPr>
            <w:tcW w:w="913" w:type="dxa"/>
            <w:gridSpan w:val="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6 676</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w:t>
            </w:r>
          </w:p>
        </w:tc>
        <w:tc>
          <w:tcPr>
            <w:tcW w:w="94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color w:val="000000"/>
              </w:rPr>
              <w:t>Receivables held in investment schemes</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092971" w:rsidRDefault="00DF17E9" w:rsidP="00044843">
            <w:pPr>
              <w:rPr>
                <w:color w:val="000000"/>
              </w:rPr>
            </w:pPr>
            <w:r w:rsidRPr="00092971">
              <w:rPr>
                <w:color w:val="000000"/>
              </w:rPr>
              <w:t>..</w:t>
            </w:r>
          </w:p>
        </w:tc>
        <w:tc>
          <w:tcPr>
            <w:tcW w:w="913" w:type="dxa"/>
            <w:gridSpan w:val="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w:t>
            </w:r>
          </w:p>
        </w:tc>
        <w:tc>
          <w:tcPr>
            <w:tcW w:w="94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color w:val="000000"/>
              </w:rPr>
              <w:t>Derivative assets</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092971" w:rsidRDefault="00DF17E9" w:rsidP="00044843">
            <w:pPr>
              <w:rPr>
                <w:color w:val="000000"/>
              </w:rPr>
            </w:pPr>
            <w:r w:rsidRPr="00092971">
              <w:rPr>
                <w:color w:val="000000"/>
              </w:rPr>
              <w:t>1 122</w:t>
            </w:r>
          </w:p>
        </w:tc>
        <w:tc>
          <w:tcPr>
            <w:tcW w:w="913" w:type="dxa"/>
            <w:gridSpan w:val="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74</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1 048</w:t>
            </w:r>
          </w:p>
        </w:tc>
        <w:tc>
          <w:tcPr>
            <w:tcW w:w="94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bottom w:val="nil"/>
            </w:tcBorders>
          </w:tcPr>
          <w:p w:rsidR="00DF17E9" w:rsidRPr="00092971" w:rsidRDefault="00DF17E9" w:rsidP="00044843">
            <w:pPr>
              <w:ind w:left="113" w:hanging="113"/>
              <w:rPr>
                <w:color w:val="000000"/>
              </w:rPr>
            </w:pPr>
            <w:r w:rsidRPr="00092971">
              <w:rPr>
                <w:color w:val="000000"/>
              </w:rPr>
              <w:t>Equities and managed investment schemes</w:t>
            </w:r>
          </w:p>
        </w:tc>
        <w:tc>
          <w:tcPr>
            <w:cnfStyle w:val="000010000000" w:firstRow="0" w:lastRow="0" w:firstColumn="0" w:lastColumn="0" w:oddVBand="1" w:evenVBand="0" w:oddHBand="0" w:evenHBand="0" w:firstRowFirstColumn="0" w:firstRowLastColumn="0" w:lastRowFirstColumn="0" w:lastRowLastColumn="0"/>
            <w:tcW w:w="1195" w:type="dxa"/>
            <w:tcBorders>
              <w:bottom w:val="nil"/>
            </w:tcBorders>
          </w:tcPr>
          <w:p w:rsidR="00DF17E9" w:rsidRPr="00092971" w:rsidRDefault="00DF17E9" w:rsidP="00044843">
            <w:pPr>
              <w:rPr>
                <w:color w:val="000000"/>
              </w:rPr>
            </w:pPr>
            <w:r w:rsidRPr="00092971">
              <w:rPr>
                <w:color w:val="000000"/>
              </w:rPr>
              <w:t>24 416</w:t>
            </w:r>
          </w:p>
        </w:tc>
        <w:tc>
          <w:tcPr>
            <w:tcW w:w="913" w:type="dxa"/>
            <w:gridSpan w:val="2"/>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2 216</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092971" w:rsidRDefault="00DF17E9" w:rsidP="00044843">
            <w:pPr>
              <w:rPr>
                <w:color w:val="000000"/>
              </w:rPr>
            </w:pPr>
            <w:r w:rsidRPr="00092971">
              <w:rPr>
                <w:color w:val="000000"/>
              </w:rPr>
              <w:t>16 860</w:t>
            </w:r>
          </w:p>
        </w:tc>
        <w:tc>
          <w:tcPr>
            <w:tcW w:w="94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5 340</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rsidR="00DF17E9" w:rsidRPr="00092971" w:rsidRDefault="00DF17E9" w:rsidP="00044843">
            <w:pPr>
              <w:ind w:left="113" w:hanging="113"/>
              <w:rPr>
                <w:color w:val="000000"/>
              </w:rPr>
            </w:pPr>
            <w:r w:rsidRPr="00092971">
              <w:rPr>
                <w:color w:val="000000"/>
              </w:rPr>
              <w:t>Debt securities at fair value</w:t>
            </w:r>
          </w:p>
        </w:tc>
        <w:tc>
          <w:tcPr>
            <w:cnfStyle w:val="000010000000" w:firstRow="0" w:lastRow="0" w:firstColumn="0" w:lastColumn="0" w:oddVBand="1" w:evenVBand="0" w:oddHBand="0" w:evenHBand="0" w:firstRowFirstColumn="0" w:firstRowLastColumn="0" w:lastRowFirstColumn="0" w:lastRowLastColumn="0"/>
            <w:tcW w:w="1195" w:type="dxa"/>
            <w:tcBorders>
              <w:bottom w:val="single" w:sz="6" w:space="0" w:color="auto"/>
            </w:tcBorders>
          </w:tcPr>
          <w:p w:rsidR="00DF17E9" w:rsidRPr="00092971" w:rsidRDefault="00DF17E9" w:rsidP="00044843">
            <w:pPr>
              <w:rPr>
                <w:color w:val="000000"/>
              </w:rPr>
            </w:pPr>
            <w:r w:rsidRPr="00092971">
              <w:rPr>
                <w:color w:val="000000"/>
              </w:rPr>
              <w:t>9 484</w:t>
            </w:r>
          </w:p>
        </w:tc>
        <w:tc>
          <w:tcPr>
            <w:tcW w:w="913" w:type="dxa"/>
            <w:gridSpan w:val="2"/>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2 138</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DF17E9" w:rsidRPr="00092971" w:rsidRDefault="00DF17E9" w:rsidP="00044843">
            <w:pPr>
              <w:rPr>
                <w:color w:val="000000"/>
              </w:rPr>
            </w:pPr>
            <w:r w:rsidRPr="00092971">
              <w:rPr>
                <w:color w:val="000000"/>
              </w:rPr>
              <w:t>7 132</w:t>
            </w:r>
          </w:p>
        </w:tc>
        <w:tc>
          <w:tcPr>
            <w:tcW w:w="94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214</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1195"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41 698</w:t>
            </w:r>
          </w:p>
        </w:tc>
        <w:tc>
          <w:tcPr>
            <w:tcW w:w="913" w:type="dxa"/>
            <w:gridSpan w:val="2"/>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11 104</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25 040</w:t>
            </w:r>
          </w:p>
        </w:tc>
        <w:tc>
          <w:tcPr>
            <w:tcW w:w="940"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5 554</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rsidR="00DF17E9" w:rsidRPr="00092971" w:rsidRDefault="00DF17E9" w:rsidP="00044843">
            <w:pPr>
              <w:ind w:left="113" w:hanging="113"/>
              <w:rPr>
                <w:color w:val="000000"/>
              </w:rPr>
            </w:pPr>
            <w:r w:rsidRPr="00092971">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1195" w:type="dxa"/>
            <w:tcBorders>
              <w:top w:val="single" w:sz="6" w:space="0" w:color="auto"/>
            </w:tcBorders>
          </w:tcPr>
          <w:p w:rsidR="00DF17E9" w:rsidRPr="00092971" w:rsidRDefault="00DF17E9" w:rsidP="00044843">
            <w:pPr>
              <w:rPr>
                <w:color w:val="000000"/>
              </w:rPr>
            </w:pPr>
            <w:r w:rsidRPr="00092971">
              <w:rPr>
                <w:b/>
                <w:color w:val="000000"/>
              </w:rPr>
              <w:t xml:space="preserve"> </w:t>
            </w:r>
          </w:p>
        </w:tc>
        <w:tc>
          <w:tcPr>
            <w:tcW w:w="913" w:type="dxa"/>
            <w:gridSpan w:val="2"/>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tcBorders>
          </w:tcPr>
          <w:p w:rsidR="00DF17E9" w:rsidRPr="00092971" w:rsidRDefault="00DF17E9" w:rsidP="00044843">
            <w:pPr>
              <w:rPr>
                <w:color w:val="000000"/>
              </w:rPr>
            </w:pPr>
            <w:r w:rsidRPr="00092971">
              <w:rPr>
                <w:b/>
                <w:color w:val="000000"/>
              </w:rPr>
              <w:t xml:space="preserve"> </w:t>
            </w:r>
          </w:p>
        </w:tc>
        <w:tc>
          <w:tcPr>
            <w:tcW w:w="940"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 xml:space="preserve"> </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092971" w:rsidRDefault="00DF17E9" w:rsidP="00044843">
            <w:pPr>
              <w:rPr>
                <w:color w:val="000000"/>
              </w:rPr>
            </w:pPr>
            <w:r w:rsidRPr="00092971">
              <w:rPr>
                <w:color w:val="000000"/>
              </w:rPr>
              <w:t>42 715</w:t>
            </w:r>
          </w:p>
        </w:tc>
        <w:tc>
          <w:tcPr>
            <w:tcW w:w="913" w:type="dxa"/>
            <w:gridSpan w:val="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34 956</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7 759</w:t>
            </w:r>
          </w:p>
        </w:tc>
        <w:tc>
          <w:tcPr>
            <w:tcW w:w="940"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bottom w:val="nil"/>
            </w:tcBorders>
          </w:tcPr>
          <w:p w:rsidR="00DF17E9" w:rsidRPr="00092971" w:rsidRDefault="00DF17E9" w:rsidP="00044843">
            <w:pPr>
              <w:ind w:left="113" w:hanging="113"/>
              <w:rPr>
                <w:color w:val="000000"/>
              </w:rPr>
            </w:pPr>
            <w:r w:rsidRPr="00092971">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1195" w:type="dxa"/>
            <w:tcBorders>
              <w:bottom w:val="nil"/>
            </w:tcBorders>
          </w:tcPr>
          <w:p w:rsidR="00DF17E9" w:rsidRPr="00092971" w:rsidRDefault="00DF17E9" w:rsidP="00044843">
            <w:r w:rsidRPr="00092971">
              <w:rPr>
                <w:color w:val="000000"/>
              </w:rPr>
              <w:t>242</w:t>
            </w:r>
          </w:p>
        </w:tc>
        <w:tc>
          <w:tcPr>
            <w:tcW w:w="913" w:type="dxa"/>
            <w:gridSpan w:val="2"/>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092971" w:rsidRDefault="00DF17E9" w:rsidP="00044843">
            <w:r w:rsidRPr="00092971">
              <w:rPr>
                <w:color w:val="000000"/>
              </w:rPr>
              <w:t>242</w:t>
            </w:r>
          </w:p>
        </w:tc>
        <w:tc>
          <w:tcPr>
            <w:tcW w:w="94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rsidR="00DF17E9" w:rsidRPr="00092971" w:rsidRDefault="00DF17E9" w:rsidP="00044843">
            <w:pPr>
              <w:ind w:left="113" w:hanging="113"/>
              <w:rPr>
                <w:color w:val="000000"/>
              </w:rPr>
            </w:pPr>
            <w:r w:rsidRPr="00092971">
              <w:rPr>
                <w:color w:val="000000"/>
              </w:rPr>
              <w:t>Derivative financial liabilities</w:t>
            </w:r>
          </w:p>
        </w:tc>
        <w:tc>
          <w:tcPr>
            <w:cnfStyle w:val="000010000000" w:firstRow="0" w:lastRow="0" w:firstColumn="0" w:lastColumn="0" w:oddVBand="1" w:evenVBand="0" w:oddHBand="0" w:evenHBand="0" w:firstRowFirstColumn="0" w:firstRowLastColumn="0" w:lastRowFirstColumn="0" w:lastRowLastColumn="0"/>
            <w:tcW w:w="1195" w:type="dxa"/>
            <w:tcBorders>
              <w:bottom w:val="single" w:sz="6" w:space="0" w:color="auto"/>
            </w:tcBorders>
          </w:tcPr>
          <w:p w:rsidR="00DF17E9" w:rsidRPr="00092971" w:rsidRDefault="00DF17E9" w:rsidP="00044843">
            <w:pPr>
              <w:rPr>
                <w:color w:val="000000"/>
              </w:rPr>
            </w:pPr>
            <w:r w:rsidRPr="00092971">
              <w:rPr>
                <w:color w:val="000000"/>
              </w:rPr>
              <w:t>1 073</w:t>
            </w:r>
          </w:p>
        </w:tc>
        <w:tc>
          <w:tcPr>
            <w:tcW w:w="913" w:type="dxa"/>
            <w:gridSpan w:val="2"/>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DF17E9" w:rsidRPr="00092971" w:rsidRDefault="00DF17E9" w:rsidP="00044843">
            <w:pPr>
              <w:rPr>
                <w:color w:val="000000"/>
              </w:rPr>
            </w:pPr>
            <w:r w:rsidRPr="00092971">
              <w:rPr>
                <w:color w:val="000000"/>
              </w:rPr>
              <w:t>1 060</w:t>
            </w:r>
          </w:p>
        </w:tc>
        <w:tc>
          <w:tcPr>
            <w:tcW w:w="94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FA1641">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 financial liabilities</w:t>
            </w:r>
          </w:p>
        </w:tc>
        <w:tc>
          <w:tcPr>
            <w:cnfStyle w:val="000010000000" w:firstRow="0" w:lastRow="0" w:firstColumn="0" w:lastColumn="0" w:oddVBand="1" w:evenVBand="0" w:oddHBand="0" w:evenHBand="0" w:firstRowFirstColumn="0" w:firstRowLastColumn="0" w:lastRowFirstColumn="0" w:lastRowLastColumn="0"/>
            <w:tcW w:w="119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44 030</w:t>
            </w:r>
          </w:p>
        </w:tc>
        <w:tc>
          <w:tcPr>
            <w:tcW w:w="913" w:type="dxa"/>
            <w:gridSpan w:val="2"/>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34 969</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9 061</w:t>
            </w:r>
          </w:p>
        </w:tc>
        <w:tc>
          <w:tcPr>
            <w:tcW w:w="940"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Pr="00092971" w:rsidRDefault="00DF17E9" w:rsidP="00044843">
      <w:pPr>
        <w:rPr>
          <w:rStyle w:val="TableUnitsChar"/>
          <w:b/>
          <w:bCs/>
          <w:lang w:val="en-US"/>
        </w:rPr>
      </w:pPr>
    </w:p>
    <w:tbl>
      <w:tblPr>
        <w:tblStyle w:val="TableDTFGeneral"/>
        <w:tblW w:w="9643" w:type="dxa"/>
        <w:tblLayout w:type="fixed"/>
        <w:tblLook w:val="02A0" w:firstRow="1" w:lastRow="0" w:firstColumn="1" w:lastColumn="0" w:noHBand="1" w:noVBand="0"/>
      </w:tblPr>
      <w:tblGrid>
        <w:gridCol w:w="5698"/>
        <w:gridCol w:w="1191"/>
        <w:gridCol w:w="918"/>
        <w:gridCol w:w="918"/>
        <w:gridCol w:w="918"/>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1191" w:type="dxa"/>
          </w:tcPr>
          <w:p w:rsidR="00DF17E9" w:rsidRPr="00092971" w:rsidRDefault="00DF17E9" w:rsidP="00044843">
            <w:pPr>
              <w:jc w:val="center"/>
              <w:rPr>
                <w:color w:val="FFFFFF"/>
              </w:rPr>
            </w:pPr>
            <w:r w:rsidRPr="00092971">
              <w:rPr>
                <w:color w:val="FFFFFF"/>
              </w:rPr>
              <w:t xml:space="preserve"> </w:t>
            </w:r>
          </w:p>
        </w:tc>
        <w:tc>
          <w:tcPr>
            <w:tcW w:w="918"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18" w:type="dxa"/>
          </w:tcPr>
          <w:p w:rsidR="00DF17E9" w:rsidRPr="00092971" w:rsidRDefault="00DF17E9" w:rsidP="00044843">
            <w:pPr>
              <w:jc w:val="center"/>
              <w:rPr>
                <w:color w:val="FFFFFF"/>
              </w:rPr>
            </w:pPr>
            <w:r w:rsidRPr="00092971">
              <w:rPr>
                <w:color w:val="FFFFFF"/>
              </w:rPr>
              <w:t xml:space="preserve"> </w:t>
            </w:r>
          </w:p>
        </w:tc>
        <w:tc>
          <w:tcPr>
            <w:tcW w:w="918"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91" w:type="dxa"/>
          </w:tcPr>
          <w:p w:rsidR="00DF17E9" w:rsidRPr="00092971" w:rsidRDefault="00DF17E9" w:rsidP="00044843">
            <w:pPr>
              <w:jc w:val="left"/>
              <w:rPr>
                <w:color w:val="000000"/>
              </w:rPr>
            </w:pPr>
            <w:r w:rsidRPr="00092971">
              <w:rPr>
                <w:color w:val="000000"/>
              </w:rPr>
              <w:t xml:space="preserve"> </w:t>
            </w:r>
          </w:p>
        </w:tc>
        <w:tc>
          <w:tcPr>
            <w:tcW w:w="918"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18" w:type="dxa"/>
          </w:tcPr>
          <w:p w:rsidR="00DF17E9" w:rsidRPr="00092971" w:rsidRDefault="00DF17E9" w:rsidP="00044843">
            <w:pPr>
              <w:jc w:val="left"/>
              <w:rPr>
                <w:color w:val="000000"/>
              </w:rPr>
            </w:pPr>
            <w:r w:rsidRPr="00092971">
              <w:rPr>
                <w:i/>
                <w:color w:val="000000"/>
              </w:rPr>
              <w:t xml:space="preserve"> </w:t>
            </w:r>
          </w:p>
        </w:tc>
        <w:tc>
          <w:tcPr>
            <w:tcW w:w="918"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color w:val="000000"/>
              </w:rPr>
              <w:t>Cash</w:t>
            </w:r>
          </w:p>
        </w:tc>
        <w:tc>
          <w:tcPr>
            <w:cnfStyle w:val="000010000000" w:firstRow="0" w:lastRow="0" w:firstColumn="0" w:lastColumn="0" w:oddVBand="1" w:evenVBand="0" w:oddHBand="0" w:evenHBand="0" w:firstRowFirstColumn="0" w:firstRowLastColumn="0" w:lastRowFirstColumn="0" w:lastRowLastColumn="0"/>
            <w:tcW w:w="1191" w:type="dxa"/>
          </w:tcPr>
          <w:p w:rsidR="00DF17E9" w:rsidRPr="00092971" w:rsidRDefault="00DF17E9" w:rsidP="00044843">
            <w:pPr>
              <w:rPr>
                <w:color w:val="000000"/>
              </w:rPr>
            </w:pPr>
            <w:r w:rsidRPr="00092971">
              <w:rPr>
                <w:color w:val="000000"/>
              </w:rPr>
              <w:t>6 521</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6 521</w:t>
            </w:r>
          </w:p>
        </w:tc>
        <w:tc>
          <w:tcPr>
            <w:cnfStyle w:val="000010000000" w:firstRow="0" w:lastRow="0" w:firstColumn="0" w:lastColumn="0" w:oddVBand="1" w:evenVBand="0" w:oddHBand="0" w:evenHBand="0" w:firstRowFirstColumn="0" w:firstRowLastColumn="0" w:lastRowFirstColumn="0" w:lastRowLastColumn="0"/>
            <w:tcW w:w="918" w:type="dxa"/>
          </w:tcPr>
          <w:p w:rsidR="00DF17E9" w:rsidRPr="00092971" w:rsidRDefault="00DF17E9" w:rsidP="00044843">
            <w:pPr>
              <w:rPr>
                <w:color w:val="000000"/>
              </w:rPr>
            </w:pPr>
            <w:r w:rsidRPr="00092971">
              <w:rPr>
                <w:color w:val="000000"/>
              </w:rPr>
              <w:t>..</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color w:val="000000"/>
              </w:rPr>
              <w:t>Receivables held in investment schemes</w:t>
            </w:r>
          </w:p>
        </w:tc>
        <w:tc>
          <w:tcPr>
            <w:cnfStyle w:val="000010000000" w:firstRow="0" w:lastRow="0" w:firstColumn="0" w:lastColumn="0" w:oddVBand="1" w:evenVBand="0" w:oddHBand="0" w:evenHBand="0" w:firstRowFirstColumn="0" w:firstRowLastColumn="0" w:lastRowFirstColumn="0" w:lastRowLastColumn="0"/>
            <w:tcW w:w="1191" w:type="dxa"/>
          </w:tcPr>
          <w:p w:rsidR="00DF17E9" w:rsidRPr="00092971" w:rsidRDefault="00DF17E9" w:rsidP="00044843">
            <w:pPr>
              <w:rPr>
                <w:color w:val="000000"/>
              </w:rPr>
            </w:pPr>
            <w:r w:rsidRPr="00092971">
              <w:rPr>
                <w:color w:val="000000"/>
              </w:rPr>
              <w:t>..</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8" w:type="dxa"/>
          </w:tcPr>
          <w:p w:rsidR="00DF17E9" w:rsidRPr="00092971" w:rsidRDefault="00DF17E9" w:rsidP="00044843">
            <w:pPr>
              <w:rPr>
                <w:color w:val="000000"/>
              </w:rPr>
            </w:pPr>
            <w:r w:rsidRPr="00092971">
              <w:rPr>
                <w:color w:val="000000"/>
              </w:rPr>
              <w:t>..</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color w:val="000000"/>
              </w:rPr>
              <w:t>Derivative assets</w:t>
            </w:r>
          </w:p>
        </w:tc>
        <w:tc>
          <w:tcPr>
            <w:cnfStyle w:val="000010000000" w:firstRow="0" w:lastRow="0" w:firstColumn="0" w:lastColumn="0" w:oddVBand="1" w:evenVBand="0" w:oddHBand="0" w:evenHBand="0" w:firstRowFirstColumn="0" w:firstRowLastColumn="0" w:lastRowFirstColumn="0" w:lastRowLastColumn="0"/>
            <w:tcW w:w="1191" w:type="dxa"/>
          </w:tcPr>
          <w:p w:rsidR="00DF17E9" w:rsidRPr="00092971" w:rsidRDefault="00DF17E9" w:rsidP="00044843">
            <w:r w:rsidRPr="00092971">
              <w:rPr>
                <w:color w:val="000000"/>
              </w:rPr>
              <w:t>655</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50</w:t>
            </w:r>
          </w:p>
        </w:tc>
        <w:tc>
          <w:tcPr>
            <w:cnfStyle w:val="000010000000" w:firstRow="0" w:lastRow="0" w:firstColumn="0" w:lastColumn="0" w:oddVBand="1" w:evenVBand="0" w:oddHBand="0" w:evenHBand="0" w:firstRowFirstColumn="0" w:firstRowLastColumn="0" w:lastRowFirstColumn="0" w:lastRowLastColumn="0"/>
            <w:tcW w:w="918" w:type="dxa"/>
          </w:tcPr>
          <w:p w:rsidR="00DF17E9" w:rsidRPr="00092971" w:rsidRDefault="00DF17E9" w:rsidP="00044843">
            <w:r w:rsidRPr="00092971">
              <w:rPr>
                <w:color w:val="000000"/>
              </w:rPr>
              <w:t>605</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092971" w:rsidRDefault="00DF17E9" w:rsidP="00044843">
            <w:pPr>
              <w:ind w:left="113" w:hanging="113"/>
              <w:rPr>
                <w:color w:val="000000"/>
              </w:rPr>
            </w:pPr>
            <w:r w:rsidRPr="00092971">
              <w:rPr>
                <w:color w:val="000000"/>
              </w:rPr>
              <w:t>Equities and managed investment schemes</w:t>
            </w:r>
          </w:p>
        </w:tc>
        <w:tc>
          <w:tcPr>
            <w:cnfStyle w:val="000010000000" w:firstRow="0" w:lastRow="0" w:firstColumn="0" w:lastColumn="0" w:oddVBand="1" w:evenVBand="0" w:oddHBand="0" w:evenHBand="0" w:firstRowFirstColumn="0" w:firstRowLastColumn="0" w:lastRowFirstColumn="0" w:lastRowLastColumn="0"/>
            <w:tcW w:w="1191" w:type="dxa"/>
            <w:tcBorders>
              <w:bottom w:val="nil"/>
            </w:tcBorders>
          </w:tcPr>
          <w:p w:rsidR="00DF17E9" w:rsidRPr="00092971" w:rsidRDefault="00DF17E9" w:rsidP="00044843">
            <w:pPr>
              <w:rPr>
                <w:color w:val="000000"/>
              </w:rPr>
            </w:pPr>
            <w:r w:rsidRPr="00092971">
              <w:rPr>
                <w:color w:val="000000"/>
              </w:rPr>
              <w:t>24 196</w:t>
            </w:r>
          </w:p>
        </w:tc>
        <w:tc>
          <w:tcPr>
            <w:tcW w:w="91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1 870</w:t>
            </w:r>
          </w:p>
        </w:tc>
        <w:tc>
          <w:tcPr>
            <w:cnfStyle w:val="000010000000" w:firstRow="0" w:lastRow="0" w:firstColumn="0" w:lastColumn="0" w:oddVBand="1" w:evenVBand="0" w:oddHBand="0" w:evenHBand="0" w:firstRowFirstColumn="0" w:firstRowLastColumn="0" w:lastRowFirstColumn="0" w:lastRowLastColumn="0"/>
            <w:tcW w:w="918" w:type="dxa"/>
            <w:tcBorders>
              <w:bottom w:val="nil"/>
            </w:tcBorders>
          </w:tcPr>
          <w:p w:rsidR="00DF17E9" w:rsidRPr="00092971" w:rsidRDefault="00DF17E9" w:rsidP="00044843">
            <w:pPr>
              <w:rPr>
                <w:color w:val="000000"/>
              </w:rPr>
            </w:pPr>
            <w:r w:rsidRPr="00092971">
              <w:rPr>
                <w:color w:val="000000"/>
              </w:rPr>
              <w:t>17 255</w:t>
            </w:r>
          </w:p>
        </w:tc>
        <w:tc>
          <w:tcPr>
            <w:tcW w:w="91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5 071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092971" w:rsidRDefault="00DF17E9" w:rsidP="00044843">
            <w:pPr>
              <w:ind w:left="113" w:hanging="113"/>
              <w:rPr>
                <w:color w:val="000000"/>
              </w:rPr>
            </w:pPr>
            <w:r w:rsidRPr="00092971">
              <w:rPr>
                <w:color w:val="000000"/>
              </w:rPr>
              <w:t>Debt securities at fair value</w:t>
            </w:r>
          </w:p>
        </w:tc>
        <w:tc>
          <w:tcPr>
            <w:cnfStyle w:val="000010000000" w:firstRow="0" w:lastRow="0" w:firstColumn="0" w:lastColumn="0" w:oddVBand="1" w:evenVBand="0" w:oddHBand="0" w:evenHBand="0" w:firstRowFirstColumn="0" w:firstRowLastColumn="0" w:lastRowFirstColumn="0" w:lastRowLastColumn="0"/>
            <w:tcW w:w="1191" w:type="dxa"/>
            <w:tcBorders>
              <w:bottom w:val="single" w:sz="6" w:space="0" w:color="auto"/>
            </w:tcBorders>
          </w:tcPr>
          <w:p w:rsidR="00DF17E9" w:rsidRPr="00092971" w:rsidRDefault="00DF17E9" w:rsidP="00044843">
            <w:pPr>
              <w:rPr>
                <w:color w:val="000000"/>
              </w:rPr>
            </w:pPr>
            <w:r w:rsidRPr="00092971">
              <w:rPr>
                <w:color w:val="000000"/>
              </w:rPr>
              <w:t>8 917</w:t>
            </w:r>
          </w:p>
        </w:tc>
        <w:tc>
          <w:tcPr>
            <w:tcW w:w="91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1 777</w:t>
            </w:r>
          </w:p>
        </w:tc>
        <w:tc>
          <w:tcPr>
            <w:cnfStyle w:val="000010000000" w:firstRow="0" w:lastRow="0" w:firstColumn="0" w:lastColumn="0" w:oddVBand="1" w:evenVBand="0" w:oddHBand="0" w:evenHBand="0" w:firstRowFirstColumn="0" w:firstRowLastColumn="0" w:lastRowFirstColumn="0" w:lastRowLastColumn="0"/>
            <w:tcW w:w="918" w:type="dxa"/>
            <w:tcBorders>
              <w:bottom w:val="single" w:sz="6" w:space="0" w:color="auto"/>
            </w:tcBorders>
          </w:tcPr>
          <w:p w:rsidR="00DF17E9" w:rsidRPr="00092971" w:rsidRDefault="00DF17E9" w:rsidP="00044843">
            <w:pPr>
              <w:rPr>
                <w:color w:val="000000"/>
              </w:rPr>
            </w:pPr>
            <w:r w:rsidRPr="00092971">
              <w:rPr>
                <w:color w:val="000000"/>
              </w:rPr>
              <w:t>6 913</w:t>
            </w:r>
          </w:p>
        </w:tc>
        <w:tc>
          <w:tcPr>
            <w:tcW w:w="91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6" w:space="0" w:color="auto"/>
            </w:tcBorders>
          </w:tcPr>
          <w:p w:rsidR="00DF17E9" w:rsidRPr="00092971" w:rsidRDefault="00DF17E9" w:rsidP="00044843">
            <w:pPr>
              <w:ind w:left="113" w:hanging="113"/>
              <w:rPr>
                <w:color w:val="000000"/>
              </w:rPr>
            </w:pPr>
            <w:r w:rsidRPr="00092971">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1191"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40 289</w:t>
            </w:r>
          </w:p>
        </w:tc>
        <w:tc>
          <w:tcPr>
            <w:tcW w:w="918"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10 218</w:t>
            </w:r>
          </w:p>
        </w:tc>
        <w:tc>
          <w:tcPr>
            <w:cnfStyle w:val="000010000000" w:firstRow="0" w:lastRow="0" w:firstColumn="0" w:lastColumn="0" w:oddVBand="1" w:evenVBand="0" w:oddHBand="0" w:evenHBand="0" w:firstRowFirstColumn="0" w:firstRowLastColumn="0" w:lastRowFirstColumn="0" w:lastRowLastColumn="0"/>
            <w:tcW w:w="918" w:type="dxa"/>
            <w:tcBorders>
              <w:top w:val="single" w:sz="6" w:space="0" w:color="auto"/>
              <w:bottom w:val="single" w:sz="6" w:space="0" w:color="auto"/>
            </w:tcBorders>
          </w:tcPr>
          <w:p w:rsidR="00DF17E9" w:rsidRPr="00092971" w:rsidRDefault="00DF17E9" w:rsidP="00044843">
            <w:pPr>
              <w:rPr>
                <w:color w:val="000000"/>
              </w:rPr>
            </w:pPr>
            <w:r w:rsidRPr="00092971">
              <w:rPr>
                <w:b/>
                <w:color w:val="000000"/>
              </w:rPr>
              <w:t>24 773</w:t>
            </w:r>
          </w:p>
        </w:tc>
        <w:tc>
          <w:tcPr>
            <w:tcW w:w="918" w:type="dxa"/>
            <w:tcBorders>
              <w:top w:val="single" w:sz="6" w:space="0" w:color="auto"/>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5 298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tcBorders>
          </w:tcPr>
          <w:p w:rsidR="00DF17E9" w:rsidRPr="00092971" w:rsidRDefault="00DF17E9" w:rsidP="00044843">
            <w:pPr>
              <w:ind w:left="113" w:hanging="113"/>
              <w:rPr>
                <w:color w:val="000000"/>
              </w:rPr>
            </w:pPr>
            <w:r w:rsidRPr="00092971">
              <w:rPr>
                <w:b/>
                <w:color w:val="000000"/>
              </w:rPr>
              <w:t>Financial liabilities</w:t>
            </w:r>
          </w:p>
        </w:tc>
        <w:tc>
          <w:tcPr>
            <w:cnfStyle w:val="000010000000" w:firstRow="0" w:lastRow="0" w:firstColumn="0" w:lastColumn="0" w:oddVBand="1" w:evenVBand="0" w:oddHBand="0" w:evenHBand="0" w:firstRowFirstColumn="0" w:firstRowLastColumn="0" w:lastRowFirstColumn="0" w:lastRowLastColumn="0"/>
            <w:tcW w:w="1191" w:type="dxa"/>
            <w:tcBorders>
              <w:top w:val="single" w:sz="6" w:space="0" w:color="auto"/>
            </w:tcBorders>
          </w:tcPr>
          <w:p w:rsidR="00DF17E9" w:rsidRPr="00092971" w:rsidRDefault="00DF17E9" w:rsidP="00044843">
            <w:pPr>
              <w:rPr>
                <w:color w:val="000000"/>
              </w:rPr>
            </w:pPr>
          </w:p>
        </w:tc>
        <w:tc>
          <w:tcPr>
            <w:tcW w:w="918"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18" w:type="dxa"/>
            <w:tcBorders>
              <w:top w:val="single" w:sz="6" w:space="0" w:color="auto"/>
            </w:tcBorders>
          </w:tcPr>
          <w:p w:rsidR="00DF17E9" w:rsidRPr="00092971" w:rsidRDefault="00DF17E9" w:rsidP="00044843">
            <w:pPr>
              <w:rPr>
                <w:color w:val="000000"/>
              </w:rPr>
            </w:pPr>
          </w:p>
        </w:tc>
        <w:tc>
          <w:tcPr>
            <w:tcW w:w="918"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color w:val="000000"/>
              </w:rPr>
              <w:t>Domestic borrowings</w:t>
            </w:r>
          </w:p>
        </w:tc>
        <w:tc>
          <w:tcPr>
            <w:cnfStyle w:val="000010000000" w:firstRow="0" w:lastRow="0" w:firstColumn="0" w:lastColumn="0" w:oddVBand="1" w:evenVBand="0" w:oddHBand="0" w:evenHBand="0" w:firstRowFirstColumn="0" w:firstRowLastColumn="0" w:lastRowFirstColumn="0" w:lastRowLastColumn="0"/>
            <w:tcW w:w="1191" w:type="dxa"/>
          </w:tcPr>
          <w:p w:rsidR="00DF17E9" w:rsidRPr="00092971" w:rsidRDefault="00DF17E9" w:rsidP="00044843">
            <w:pPr>
              <w:rPr>
                <w:color w:val="000000"/>
              </w:rPr>
            </w:pPr>
            <w:r w:rsidRPr="00092971">
              <w:rPr>
                <w:color w:val="000000"/>
              </w:rPr>
              <w:t>41 757</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35 183</w:t>
            </w:r>
          </w:p>
        </w:tc>
        <w:tc>
          <w:tcPr>
            <w:cnfStyle w:val="000010000000" w:firstRow="0" w:lastRow="0" w:firstColumn="0" w:lastColumn="0" w:oddVBand="1" w:evenVBand="0" w:oddHBand="0" w:evenHBand="0" w:firstRowFirstColumn="0" w:firstRowLastColumn="0" w:lastRowFirstColumn="0" w:lastRowLastColumn="0"/>
            <w:tcW w:w="918" w:type="dxa"/>
          </w:tcPr>
          <w:p w:rsidR="00DF17E9" w:rsidRPr="00092971" w:rsidRDefault="00DF17E9" w:rsidP="00044843">
            <w:pPr>
              <w:rPr>
                <w:color w:val="000000"/>
              </w:rPr>
            </w:pPr>
            <w:r w:rsidRPr="00092971">
              <w:rPr>
                <w:color w:val="000000"/>
              </w:rPr>
              <w:t>6 574</w:t>
            </w:r>
          </w:p>
        </w:tc>
        <w:tc>
          <w:tcPr>
            <w:tcW w:w="91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092971" w:rsidRDefault="00DF17E9" w:rsidP="00044843">
            <w:pPr>
              <w:ind w:left="113" w:hanging="113"/>
              <w:rPr>
                <w:color w:val="000000"/>
              </w:rPr>
            </w:pPr>
            <w:r w:rsidRPr="00092971">
              <w:rPr>
                <w:color w:val="000000"/>
              </w:rPr>
              <w:t>Foreign currency borrowings</w:t>
            </w:r>
          </w:p>
        </w:tc>
        <w:tc>
          <w:tcPr>
            <w:cnfStyle w:val="000010000000" w:firstRow="0" w:lastRow="0" w:firstColumn="0" w:lastColumn="0" w:oddVBand="1" w:evenVBand="0" w:oddHBand="0" w:evenHBand="0" w:firstRowFirstColumn="0" w:firstRowLastColumn="0" w:lastRowFirstColumn="0" w:lastRowLastColumn="0"/>
            <w:tcW w:w="1191" w:type="dxa"/>
            <w:tcBorders>
              <w:bottom w:val="nil"/>
            </w:tcBorders>
          </w:tcPr>
          <w:p w:rsidR="00DF17E9" w:rsidRPr="00092971" w:rsidRDefault="00DF17E9" w:rsidP="00044843">
            <w:r w:rsidRPr="00092971">
              <w:rPr>
                <w:color w:val="000000"/>
              </w:rPr>
              <w:t>119</w:t>
            </w:r>
          </w:p>
        </w:tc>
        <w:tc>
          <w:tcPr>
            <w:tcW w:w="91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8" w:type="dxa"/>
            <w:tcBorders>
              <w:bottom w:val="nil"/>
            </w:tcBorders>
          </w:tcPr>
          <w:p w:rsidR="00DF17E9" w:rsidRPr="00092971" w:rsidRDefault="00DF17E9" w:rsidP="00044843">
            <w:r w:rsidRPr="00092971">
              <w:rPr>
                <w:color w:val="000000"/>
              </w:rPr>
              <w:t>119</w:t>
            </w:r>
          </w:p>
        </w:tc>
        <w:tc>
          <w:tcPr>
            <w:tcW w:w="91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092971" w:rsidRDefault="00DF17E9" w:rsidP="00044843">
            <w:pPr>
              <w:ind w:left="113" w:hanging="113"/>
              <w:rPr>
                <w:color w:val="000000"/>
              </w:rPr>
            </w:pPr>
            <w:r w:rsidRPr="00092971">
              <w:rPr>
                <w:color w:val="000000"/>
              </w:rPr>
              <w:t>Derivative financial liabilities</w:t>
            </w:r>
          </w:p>
        </w:tc>
        <w:tc>
          <w:tcPr>
            <w:cnfStyle w:val="000010000000" w:firstRow="0" w:lastRow="0" w:firstColumn="0" w:lastColumn="0" w:oddVBand="1" w:evenVBand="0" w:oddHBand="0" w:evenHBand="0" w:firstRowFirstColumn="0" w:firstRowLastColumn="0" w:lastRowFirstColumn="0" w:lastRowLastColumn="0"/>
            <w:tcW w:w="1191" w:type="dxa"/>
            <w:tcBorders>
              <w:bottom w:val="single" w:sz="6" w:space="0" w:color="auto"/>
            </w:tcBorders>
          </w:tcPr>
          <w:p w:rsidR="00DF17E9" w:rsidRPr="00092971" w:rsidRDefault="00DF17E9" w:rsidP="00044843">
            <w:r w:rsidRPr="00092971">
              <w:rPr>
                <w:color w:val="000000"/>
              </w:rPr>
              <w:t>752</w:t>
            </w:r>
          </w:p>
        </w:tc>
        <w:tc>
          <w:tcPr>
            <w:tcW w:w="91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w:t>
            </w:r>
          </w:p>
        </w:tc>
        <w:tc>
          <w:tcPr>
            <w:cnfStyle w:val="000010000000" w:firstRow="0" w:lastRow="0" w:firstColumn="0" w:lastColumn="0" w:oddVBand="1" w:evenVBand="0" w:oddHBand="0" w:evenHBand="0" w:firstRowFirstColumn="0" w:firstRowLastColumn="0" w:lastRowFirstColumn="0" w:lastRowLastColumn="0"/>
            <w:tcW w:w="918" w:type="dxa"/>
            <w:tcBorders>
              <w:bottom w:val="single" w:sz="6" w:space="0" w:color="auto"/>
            </w:tcBorders>
          </w:tcPr>
          <w:p w:rsidR="00DF17E9" w:rsidRPr="00092971" w:rsidRDefault="00DF17E9" w:rsidP="00044843">
            <w:r w:rsidRPr="00092971">
              <w:rPr>
                <w:color w:val="000000"/>
              </w:rPr>
              <w:t>746</w:t>
            </w:r>
          </w:p>
        </w:tc>
        <w:tc>
          <w:tcPr>
            <w:tcW w:w="91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 financial liabilities</w:t>
            </w:r>
          </w:p>
        </w:tc>
        <w:tc>
          <w:tcPr>
            <w:cnfStyle w:val="000010000000" w:firstRow="0" w:lastRow="0" w:firstColumn="0" w:lastColumn="0" w:oddVBand="1" w:evenVBand="0" w:oddHBand="0" w:evenHBand="0" w:firstRowFirstColumn="0" w:firstRowLastColumn="0" w:lastRowFirstColumn="0" w:lastRowLastColumn="0"/>
            <w:tcW w:w="1191"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42 628</w:t>
            </w:r>
          </w:p>
        </w:tc>
        <w:tc>
          <w:tcPr>
            <w:tcW w:w="91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35 189</w:t>
            </w:r>
          </w:p>
        </w:tc>
        <w:tc>
          <w:tcPr>
            <w:cnfStyle w:val="000010000000" w:firstRow="0" w:lastRow="0" w:firstColumn="0" w:lastColumn="0" w:oddVBand="1" w:evenVBand="0" w:oddHBand="0" w:evenHBand="0" w:firstRowFirstColumn="0" w:firstRowLastColumn="0" w:lastRowFirstColumn="0" w:lastRowLastColumn="0"/>
            <w:tcW w:w="918"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7 439</w:t>
            </w:r>
          </w:p>
        </w:tc>
        <w:tc>
          <w:tcPr>
            <w:tcW w:w="91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Default="00DF17E9" w:rsidP="00044843">
      <w:pPr>
        <w:rPr>
          <w:rStyle w:val="TableUnitsChar"/>
        </w:rPr>
      </w:pPr>
    </w:p>
    <w:p w:rsidR="00DF17E9" w:rsidRDefault="00DF17E9">
      <w:r>
        <w:br w:type="page"/>
      </w:r>
    </w:p>
    <w:p w:rsidR="00DF17E9" w:rsidRPr="00092971" w:rsidRDefault="00DF17E9" w:rsidP="00044843">
      <w:pPr>
        <w:pStyle w:val="Subheading"/>
        <w:rPr>
          <w:bCs/>
          <w:lang w:val="en-US"/>
        </w:rPr>
      </w:pPr>
      <w:r>
        <w:lastRenderedPageBreak/>
        <w:t xml:space="preserve">Financial assets and liabilities measured at fair value </w:t>
      </w:r>
      <w:r w:rsidRPr="00FB6390">
        <w:rPr>
          <w:i/>
        </w:rPr>
        <w:t>(continued)</w:t>
      </w:r>
      <w:r>
        <w:tab/>
      </w:r>
      <w:r w:rsidRPr="00901FA3">
        <w:rPr>
          <w:rStyle w:val="TableUnitsChar"/>
        </w:rPr>
        <w:t>($ million)</w:t>
      </w:r>
    </w:p>
    <w:tbl>
      <w:tblPr>
        <w:tblStyle w:val="TableDTFGeneral"/>
        <w:tblW w:w="9637" w:type="dxa"/>
        <w:tblLayout w:type="fixed"/>
        <w:tblLook w:val="02A0" w:firstRow="1" w:lastRow="0" w:firstColumn="1" w:lastColumn="0" w:noHBand="1" w:noVBand="0"/>
      </w:tblPr>
      <w:tblGrid>
        <w:gridCol w:w="5698"/>
        <w:gridCol w:w="1218"/>
        <w:gridCol w:w="896"/>
        <w:gridCol w:w="896"/>
        <w:gridCol w:w="929"/>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vMerge w:val="restart"/>
          </w:tcPr>
          <w:p w:rsidR="00FA1641" w:rsidRPr="00092971" w:rsidRDefault="00FA1641" w:rsidP="00FA1641">
            <w:pPr>
              <w:ind w:left="0" w:firstLine="0"/>
              <w:rPr>
                <w:i w:val="0"/>
                <w:color w:val="FFFFFF"/>
              </w:rPr>
            </w:pPr>
            <w:r w:rsidRPr="00092971">
              <w:rPr>
                <w:color w:val="FFFFFF"/>
              </w:rPr>
              <w:t>General Government Sector</w:t>
            </w:r>
            <w:r>
              <w:rPr>
                <w:color w:val="FFFFFF"/>
              </w:rPr>
              <w:br/>
            </w:r>
          </w:p>
          <w:p w:rsidR="00FA1641" w:rsidRPr="00092971" w:rsidRDefault="00FA1641" w:rsidP="00FA1641">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1218" w:type="dxa"/>
            <w:vMerge w:val="restart"/>
          </w:tcPr>
          <w:p w:rsidR="00FA1641" w:rsidRPr="00092971" w:rsidRDefault="00FA1641" w:rsidP="00044843">
            <w:pPr>
              <w:rPr>
                <w:color w:val="FFFFFF"/>
              </w:rPr>
            </w:pPr>
            <w:r w:rsidRPr="00092971">
              <w:rPr>
                <w:color w:val="FFFFFF"/>
              </w:rPr>
              <w:t xml:space="preserve">Carrying </w:t>
            </w:r>
          </w:p>
          <w:p w:rsidR="00FA1641" w:rsidRPr="00092971" w:rsidRDefault="00FA1641" w:rsidP="00FA1641">
            <w:pPr>
              <w:rPr>
                <w:color w:val="FFFFFF"/>
              </w:rPr>
            </w:pPr>
            <w:r w:rsidRPr="00092971">
              <w:rPr>
                <w:color w:val="FFFFFF"/>
              </w:rPr>
              <w:t>amount as at</w:t>
            </w:r>
            <w:r>
              <w:rPr>
                <w:color w:val="FFFFFF"/>
              </w:rPr>
              <w:t xml:space="preserve"> </w:t>
            </w:r>
            <w:r w:rsidRPr="00092971">
              <w:rPr>
                <w:color w:val="FFFFFF"/>
              </w:rPr>
              <w:t xml:space="preserve">30 June </w:t>
            </w:r>
          </w:p>
        </w:tc>
        <w:tc>
          <w:tcPr>
            <w:tcW w:w="2721" w:type="dxa"/>
            <w:gridSpan w:val="3"/>
            <w:tcBorders>
              <w:bottom w:val="nil"/>
            </w:tcBorders>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value measurement at </w:t>
            </w:r>
            <w:r>
              <w:rPr>
                <w:color w:val="FFFFFF"/>
              </w:rPr>
              <w:br/>
            </w:r>
            <w:r w:rsidRPr="00092971">
              <w:rPr>
                <w:color w:val="FFFFFF"/>
              </w:rPr>
              <w:t>end of reporting period using:</w:t>
            </w:r>
          </w:p>
        </w:tc>
      </w:tr>
      <w:tr w:rsidR="00FA1641"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vMerge/>
            <w:tcBorders>
              <w:bottom w:val="single" w:sz="6" w:space="0" w:color="auto"/>
            </w:tcBorders>
          </w:tcPr>
          <w:p w:rsidR="00FA1641" w:rsidRPr="00092971" w:rsidRDefault="00FA1641"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218" w:type="dxa"/>
            <w:vMerge/>
            <w:tcBorders>
              <w:bottom w:val="single" w:sz="6" w:space="0" w:color="auto"/>
            </w:tcBorders>
          </w:tcPr>
          <w:p w:rsidR="00FA1641" w:rsidRPr="00092971" w:rsidRDefault="00FA1641" w:rsidP="00044843">
            <w:pPr>
              <w:rPr>
                <w:color w:val="FFFFFF"/>
              </w:rPr>
            </w:pPr>
          </w:p>
        </w:tc>
        <w:tc>
          <w:tcPr>
            <w:tcW w:w="896" w:type="dxa"/>
            <w:tcBorders>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cnfStyle w:val="000010000000" w:firstRow="0" w:lastRow="0" w:firstColumn="0" w:lastColumn="0" w:oddVBand="1" w:evenVBand="0" w:oddHBand="0" w:evenHBand="0" w:firstRowFirstColumn="0" w:firstRowLastColumn="0" w:lastRowFirstColumn="0" w:lastRowLastColumn="0"/>
            <w:tcW w:w="896" w:type="dxa"/>
            <w:tcBorders>
              <w:bottom w:val="single" w:sz="6" w:space="0" w:color="auto"/>
            </w:tcBorders>
          </w:tcPr>
          <w:p w:rsidR="00FA1641" w:rsidRPr="00092971" w:rsidRDefault="00FA1641" w:rsidP="00044843">
            <w:pPr>
              <w:rPr>
                <w:color w:val="FFFFFF"/>
              </w:rPr>
            </w:pPr>
            <w:r w:rsidRPr="00092971">
              <w:rPr>
                <w:color w:val="FFFFFF"/>
              </w:rPr>
              <w:t>Level 2</w:t>
            </w:r>
          </w:p>
        </w:tc>
        <w:tc>
          <w:tcPr>
            <w:tcW w:w="929" w:type="dxa"/>
            <w:tcBorders>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tcBorders>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218" w:type="dxa"/>
            <w:tcBorders>
              <w:top w:val="single" w:sz="6" w:space="0" w:color="auto"/>
            </w:tcBorders>
          </w:tcPr>
          <w:p w:rsidR="00DF17E9" w:rsidRPr="00092971" w:rsidRDefault="00DF17E9" w:rsidP="00044843">
            <w:pPr>
              <w:rPr>
                <w:color w:val="FF0000"/>
              </w:rPr>
            </w:pPr>
            <w:r w:rsidRPr="00092971">
              <w:rPr>
                <w:color w:val="FF0000"/>
              </w:rPr>
              <w:t xml:space="preserve"> </w:t>
            </w:r>
          </w:p>
        </w:tc>
        <w:tc>
          <w:tcPr>
            <w:tcW w:w="896"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0000"/>
              </w:rPr>
            </w:pPr>
            <w:r w:rsidRPr="00092971">
              <w:rPr>
                <w:i/>
                <w:color w:val="FF0000"/>
              </w:rPr>
              <w:t xml:space="preserve"> </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tcBorders>
          </w:tcPr>
          <w:p w:rsidR="00DF17E9" w:rsidRPr="00092971" w:rsidRDefault="00DF17E9" w:rsidP="00044843">
            <w:pPr>
              <w:jc w:val="left"/>
              <w:rPr>
                <w:color w:val="FF0000"/>
              </w:rPr>
            </w:pPr>
            <w:r w:rsidRPr="00092971">
              <w:rPr>
                <w:i/>
                <w:color w:val="FF0000"/>
              </w:rPr>
              <w:t xml:space="preserve"> </w:t>
            </w:r>
          </w:p>
        </w:tc>
        <w:tc>
          <w:tcPr>
            <w:tcW w:w="929" w:type="dxa"/>
            <w:tcBorders>
              <w:top w:val="single" w:sz="6" w:space="0" w:color="auto"/>
            </w:tcBorders>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FF0000"/>
              </w:rPr>
            </w:pPr>
            <w:r w:rsidRPr="00092971">
              <w:rPr>
                <w:i/>
                <w:color w:val="FF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color w:val="000000"/>
              </w:rPr>
              <w:t>Cash</w:t>
            </w:r>
          </w:p>
        </w:tc>
        <w:tc>
          <w:tcPr>
            <w:cnfStyle w:val="000010000000" w:firstRow="0" w:lastRow="0" w:firstColumn="0" w:lastColumn="0" w:oddVBand="1" w:evenVBand="0" w:oddHBand="0" w:evenHBand="0" w:firstRowFirstColumn="0" w:firstRowLastColumn="0" w:lastRowFirstColumn="0" w:lastRowLastColumn="0"/>
            <w:tcW w:w="1218" w:type="dxa"/>
          </w:tcPr>
          <w:p w:rsidR="00DF17E9" w:rsidRPr="00092971" w:rsidRDefault="00DF17E9" w:rsidP="00044843">
            <w:pPr>
              <w:rPr>
                <w:color w:val="000000"/>
              </w:rPr>
            </w:pPr>
            <w:r w:rsidRPr="00092971">
              <w:rPr>
                <w:color w:val="000000"/>
              </w:rPr>
              <w:t>4 772</w:t>
            </w:r>
          </w:p>
        </w:tc>
        <w:tc>
          <w:tcPr>
            <w:tcW w:w="89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4 772</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w:t>
            </w:r>
          </w:p>
        </w:tc>
        <w:tc>
          <w:tcPr>
            <w:tcW w:w="92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092971" w:rsidRDefault="00DF17E9" w:rsidP="00044843">
            <w:pPr>
              <w:ind w:left="113" w:hanging="113"/>
              <w:rPr>
                <w:color w:val="000000"/>
              </w:rPr>
            </w:pPr>
            <w:r w:rsidRPr="00092971">
              <w:rPr>
                <w:color w:val="000000"/>
              </w:rPr>
              <w:t>Derivative assets</w:t>
            </w:r>
          </w:p>
        </w:tc>
        <w:tc>
          <w:tcPr>
            <w:cnfStyle w:val="000010000000" w:firstRow="0" w:lastRow="0" w:firstColumn="0" w:lastColumn="0" w:oddVBand="1" w:evenVBand="0" w:oddHBand="0" w:evenHBand="0" w:firstRowFirstColumn="0" w:firstRowLastColumn="0" w:lastRowFirstColumn="0" w:lastRowLastColumn="0"/>
            <w:tcW w:w="1218" w:type="dxa"/>
          </w:tcPr>
          <w:p w:rsidR="00DF17E9" w:rsidRPr="00092971" w:rsidRDefault="00DF17E9" w:rsidP="00044843">
            <w:r w:rsidRPr="00092971">
              <w:rPr>
                <w:color w:val="000000"/>
              </w:rPr>
              <w:t>18</w:t>
            </w:r>
          </w:p>
        </w:tc>
        <w:tc>
          <w:tcPr>
            <w:tcW w:w="89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18</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w:t>
            </w:r>
          </w:p>
        </w:tc>
        <w:tc>
          <w:tcPr>
            <w:tcW w:w="92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092971" w:rsidRDefault="00DF17E9" w:rsidP="00044843">
            <w:pPr>
              <w:ind w:left="113" w:hanging="113"/>
              <w:rPr>
                <w:color w:val="000000"/>
              </w:rPr>
            </w:pPr>
            <w:r w:rsidRPr="00092971">
              <w:rPr>
                <w:color w:val="000000"/>
              </w:rPr>
              <w:t>Equities and managed investment schemes</w:t>
            </w:r>
          </w:p>
        </w:tc>
        <w:tc>
          <w:tcPr>
            <w:cnfStyle w:val="000010000000" w:firstRow="0" w:lastRow="0" w:firstColumn="0" w:lastColumn="0" w:oddVBand="1" w:evenVBand="0" w:oddHBand="0" w:evenHBand="0" w:firstRowFirstColumn="0" w:firstRowLastColumn="0" w:lastRowFirstColumn="0" w:lastRowLastColumn="0"/>
            <w:tcW w:w="1218" w:type="dxa"/>
            <w:tcBorders>
              <w:bottom w:val="nil"/>
            </w:tcBorders>
          </w:tcPr>
          <w:p w:rsidR="00DF17E9" w:rsidRPr="00092971" w:rsidRDefault="00DF17E9" w:rsidP="00044843">
            <w:pPr>
              <w:rPr>
                <w:color w:val="000000"/>
              </w:rPr>
            </w:pPr>
            <w:r w:rsidRPr="00092971">
              <w:rPr>
                <w:color w:val="000000"/>
              </w:rPr>
              <w:t>1 307</w:t>
            </w:r>
          </w:p>
        </w:tc>
        <w:tc>
          <w:tcPr>
            <w:tcW w:w="896"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701</w:t>
            </w:r>
          </w:p>
        </w:tc>
        <w:tc>
          <w:tcPr>
            <w:cnfStyle w:val="000010000000" w:firstRow="0" w:lastRow="0" w:firstColumn="0" w:lastColumn="0" w:oddVBand="1" w:evenVBand="0" w:oddHBand="0" w:evenHBand="0" w:firstRowFirstColumn="0" w:firstRowLastColumn="0" w:lastRowFirstColumn="0" w:lastRowLastColumn="0"/>
            <w:tcW w:w="896" w:type="dxa"/>
            <w:tcBorders>
              <w:bottom w:val="nil"/>
            </w:tcBorders>
          </w:tcPr>
          <w:p w:rsidR="00DF17E9" w:rsidRPr="00092971" w:rsidRDefault="00DF17E9" w:rsidP="00044843">
            <w:r w:rsidRPr="00092971">
              <w:rPr>
                <w:color w:val="000000"/>
              </w:rPr>
              <w:t>483</w:t>
            </w:r>
          </w:p>
        </w:tc>
        <w:tc>
          <w:tcPr>
            <w:tcW w:w="92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092971" w:rsidRDefault="00DF17E9" w:rsidP="00044843">
            <w:pPr>
              <w:ind w:left="113" w:hanging="113"/>
              <w:rPr>
                <w:color w:val="000000"/>
              </w:rPr>
            </w:pPr>
            <w:r w:rsidRPr="00092971">
              <w:rPr>
                <w:color w:val="000000"/>
              </w:rPr>
              <w:t>Debt securities at fair value</w:t>
            </w:r>
          </w:p>
        </w:tc>
        <w:tc>
          <w:tcPr>
            <w:cnfStyle w:val="000010000000" w:firstRow="0" w:lastRow="0" w:firstColumn="0" w:lastColumn="0" w:oddVBand="1" w:evenVBand="0" w:oddHBand="0" w:evenHBand="0" w:firstRowFirstColumn="0" w:firstRowLastColumn="0" w:lastRowFirstColumn="0" w:lastRowLastColumn="0"/>
            <w:tcW w:w="1218" w:type="dxa"/>
            <w:tcBorders>
              <w:bottom w:val="single" w:sz="6" w:space="0" w:color="auto"/>
            </w:tcBorders>
          </w:tcPr>
          <w:p w:rsidR="00DF17E9" w:rsidRPr="00092971" w:rsidRDefault="00DF17E9" w:rsidP="00044843">
            <w:r w:rsidRPr="00092971">
              <w:rPr>
                <w:color w:val="000000"/>
              </w:rPr>
              <w:t>67</w:t>
            </w:r>
          </w:p>
        </w:tc>
        <w:tc>
          <w:tcPr>
            <w:tcW w:w="896"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67</w:t>
            </w:r>
          </w:p>
        </w:tc>
        <w:tc>
          <w:tcPr>
            <w:cnfStyle w:val="000010000000" w:firstRow="0" w:lastRow="0" w:firstColumn="0" w:lastColumn="0" w:oddVBand="1" w:evenVBand="0" w:oddHBand="0" w:evenHBand="0" w:firstRowFirstColumn="0" w:firstRowLastColumn="0" w:lastRowFirstColumn="0" w:lastRowLastColumn="0"/>
            <w:tcW w:w="896" w:type="dxa"/>
            <w:tcBorders>
              <w:bottom w:val="single" w:sz="6" w:space="0" w:color="auto"/>
            </w:tcBorders>
          </w:tcPr>
          <w:p w:rsidR="00DF17E9" w:rsidRPr="00092971" w:rsidRDefault="00DF17E9" w:rsidP="00044843">
            <w:pPr>
              <w:rPr>
                <w:color w:val="000000"/>
              </w:rPr>
            </w:pPr>
            <w:r w:rsidRPr="00092971">
              <w:rPr>
                <w:color w:val="000000"/>
              </w:rPr>
              <w:t>..</w:t>
            </w:r>
          </w:p>
        </w:tc>
        <w:tc>
          <w:tcPr>
            <w:tcW w:w="92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 xml:space="preserve">Total financial assets </w:t>
            </w:r>
          </w:p>
        </w:tc>
        <w:tc>
          <w:tcPr>
            <w:cnfStyle w:val="000010000000" w:firstRow="0" w:lastRow="0" w:firstColumn="0" w:lastColumn="0" w:oddVBand="1" w:evenVBand="0" w:oddHBand="0" w:evenHBand="0" w:firstRowFirstColumn="0" w:firstRowLastColumn="0" w:lastRowFirstColumn="0" w:lastRowLastColumn="0"/>
            <w:tcW w:w="1218"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6 164</w:t>
            </w:r>
          </w:p>
        </w:tc>
        <w:tc>
          <w:tcPr>
            <w:tcW w:w="89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5 558</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bottom w:val="single" w:sz="12" w:space="0" w:color="auto"/>
            </w:tcBorders>
          </w:tcPr>
          <w:p w:rsidR="00DF17E9" w:rsidRPr="00092971" w:rsidRDefault="00DF17E9" w:rsidP="00044843">
            <w:r w:rsidRPr="00092971">
              <w:rPr>
                <w:b/>
                <w:color w:val="000000"/>
              </w:rPr>
              <w:t>483</w:t>
            </w:r>
          </w:p>
        </w:tc>
        <w:tc>
          <w:tcPr>
            <w:tcW w:w="92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123</w:t>
            </w:r>
          </w:p>
        </w:tc>
      </w:tr>
    </w:tbl>
    <w:p w:rsidR="00DF17E9" w:rsidRPr="00092971" w:rsidRDefault="00DF17E9" w:rsidP="00044843">
      <w:pPr>
        <w:rPr>
          <w:rFonts w:asciiTheme="majorHAnsi" w:hAnsiTheme="majorHAnsi"/>
          <w:bCs/>
          <w:color w:val="000000"/>
          <w:spacing w:val="4"/>
          <w:sz w:val="17"/>
          <w:lang w:val="en-US"/>
        </w:rPr>
      </w:pPr>
    </w:p>
    <w:tbl>
      <w:tblPr>
        <w:tblStyle w:val="TableDTFGeneral"/>
        <w:tblW w:w="9702" w:type="dxa"/>
        <w:tblLayout w:type="fixed"/>
        <w:tblLook w:val="02A0" w:firstRow="1" w:lastRow="0" w:firstColumn="1" w:lastColumn="0" w:noHBand="1" w:noVBand="0"/>
      </w:tblPr>
      <w:tblGrid>
        <w:gridCol w:w="5699"/>
        <w:gridCol w:w="1217"/>
        <w:gridCol w:w="896"/>
        <w:gridCol w:w="896"/>
        <w:gridCol w:w="994"/>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1217" w:type="dxa"/>
          </w:tcPr>
          <w:p w:rsidR="00DF17E9" w:rsidRPr="00092971" w:rsidRDefault="00DF17E9" w:rsidP="00044843">
            <w:pPr>
              <w:jc w:val="center"/>
              <w:rPr>
                <w:color w:val="FFFFFF"/>
              </w:rPr>
            </w:pPr>
            <w:r w:rsidRPr="00092971">
              <w:rPr>
                <w:color w:val="FFFFFF"/>
              </w:rPr>
              <w:t xml:space="preserve"> </w:t>
            </w:r>
          </w:p>
        </w:tc>
        <w:tc>
          <w:tcPr>
            <w:tcW w:w="896"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jc w:val="center"/>
              <w:rPr>
                <w:color w:val="FFFFFF"/>
              </w:rPr>
            </w:pPr>
            <w:r w:rsidRPr="00092971">
              <w:rPr>
                <w:color w:val="FFFFFF"/>
              </w:rPr>
              <w:t xml:space="preserve"> </w:t>
            </w:r>
          </w:p>
        </w:tc>
        <w:tc>
          <w:tcPr>
            <w:tcW w:w="994" w:type="dxa"/>
          </w:tcPr>
          <w:p w:rsidR="00DF17E9" w:rsidRPr="00092971"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217" w:type="dxa"/>
          </w:tcPr>
          <w:p w:rsidR="00DF17E9" w:rsidRPr="00092971" w:rsidRDefault="00DF17E9" w:rsidP="00044843">
            <w:pPr>
              <w:jc w:val="left"/>
              <w:rPr>
                <w:color w:val="000000"/>
              </w:rPr>
            </w:pPr>
            <w:r w:rsidRPr="00092971">
              <w:rPr>
                <w:color w:val="000000"/>
              </w:rPr>
              <w:t xml:space="preserve"> </w:t>
            </w:r>
          </w:p>
        </w:tc>
        <w:tc>
          <w:tcPr>
            <w:tcW w:w="896"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jc w:val="left"/>
              <w:rPr>
                <w:color w:val="000000"/>
              </w:rPr>
            </w:pPr>
            <w:r w:rsidRPr="00092971">
              <w:rPr>
                <w:i/>
                <w:color w:val="000000"/>
              </w:rPr>
              <w:t xml:space="preserve"> </w:t>
            </w:r>
          </w:p>
        </w:tc>
        <w:tc>
          <w:tcPr>
            <w:tcW w:w="994" w:type="dxa"/>
          </w:tcPr>
          <w:p w:rsidR="00DF17E9" w:rsidRPr="00092971"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92971">
              <w:rPr>
                <w:i/>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color w:val="000000"/>
              </w:rPr>
              <w:t>Cash</w:t>
            </w:r>
          </w:p>
        </w:tc>
        <w:tc>
          <w:tcPr>
            <w:cnfStyle w:val="000010000000" w:firstRow="0" w:lastRow="0" w:firstColumn="0" w:lastColumn="0" w:oddVBand="1" w:evenVBand="0" w:oddHBand="0" w:evenHBand="0" w:firstRowFirstColumn="0" w:firstRowLastColumn="0" w:lastRowFirstColumn="0" w:lastRowLastColumn="0"/>
            <w:tcW w:w="1217" w:type="dxa"/>
          </w:tcPr>
          <w:p w:rsidR="00DF17E9" w:rsidRPr="00092971" w:rsidRDefault="00DF17E9" w:rsidP="00044843">
            <w:pPr>
              <w:rPr>
                <w:color w:val="000000"/>
              </w:rPr>
            </w:pPr>
            <w:r w:rsidRPr="00092971">
              <w:rPr>
                <w:color w:val="000000"/>
              </w:rPr>
              <w:t>4 282</w:t>
            </w:r>
          </w:p>
        </w:tc>
        <w:tc>
          <w:tcPr>
            <w:tcW w:w="89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4 282</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w:t>
            </w:r>
          </w:p>
        </w:tc>
        <w:tc>
          <w:tcPr>
            <w:tcW w:w="99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9" w:type="dxa"/>
          </w:tcPr>
          <w:p w:rsidR="00DF17E9" w:rsidRPr="00092971" w:rsidRDefault="00DF17E9" w:rsidP="00044843">
            <w:pPr>
              <w:ind w:left="113" w:hanging="113"/>
              <w:rPr>
                <w:color w:val="000000"/>
              </w:rPr>
            </w:pPr>
            <w:r w:rsidRPr="00092971">
              <w:rPr>
                <w:color w:val="000000"/>
              </w:rPr>
              <w:t>Derivative assets</w:t>
            </w:r>
          </w:p>
        </w:tc>
        <w:tc>
          <w:tcPr>
            <w:cnfStyle w:val="000010000000" w:firstRow="0" w:lastRow="0" w:firstColumn="0" w:lastColumn="0" w:oddVBand="1" w:evenVBand="0" w:oddHBand="0" w:evenHBand="0" w:firstRowFirstColumn="0" w:firstRowLastColumn="0" w:lastRowFirstColumn="0" w:lastRowLastColumn="0"/>
            <w:tcW w:w="1217" w:type="dxa"/>
          </w:tcPr>
          <w:p w:rsidR="00DF17E9" w:rsidRPr="00092971" w:rsidRDefault="00DF17E9" w:rsidP="00044843">
            <w:pPr>
              <w:rPr>
                <w:color w:val="000000"/>
              </w:rPr>
            </w:pPr>
            <w:r w:rsidRPr="00092971">
              <w:rPr>
                <w:color w:val="000000"/>
              </w:rPr>
              <w:t>..</w:t>
            </w:r>
          </w:p>
        </w:tc>
        <w:tc>
          <w:tcPr>
            <w:tcW w:w="89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w:t>
            </w:r>
          </w:p>
        </w:tc>
        <w:tc>
          <w:tcPr>
            <w:tcW w:w="99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9" w:type="dxa"/>
            <w:tcBorders>
              <w:bottom w:val="nil"/>
            </w:tcBorders>
          </w:tcPr>
          <w:p w:rsidR="00DF17E9" w:rsidRPr="00092971" w:rsidRDefault="00DF17E9" w:rsidP="00044843">
            <w:pPr>
              <w:ind w:left="113" w:hanging="113"/>
              <w:rPr>
                <w:color w:val="000000"/>
              </w:rPr>
            </w:pPr>
            <w:r w:rsidRPr="00092971">
              <w:rPr>
                <w:color w:val="000000"/>
              </w:rPr>
              <w:t xml:space="preserve">Equities and managed investment schemes </w:t>
            </w:r>
          </w:p>
        </w:tc>
        <w:tc>
          <w:tcPr>
            <w:cnfStyle w:val="000010000000" w:firstRow="0" w:lastRow="0" w:firstColumn="0" w:lastColumn="0" w:oddVBand="1" w:evenVBand="0" w:oddHBand="0" w:evenHBand="0" w:firstRowFirstColumn="0" w:firstRowLastColumn="0" w:lastRowFirstColumn="0" w:lastRowLastColumn="0"/>
            <w:tcW w:w="1217" w:type="dxa"/>
            <w:tcBorders>
              <w:bottom w:val="nil"/>
            </w:tcBorders>
          </w:tcPr>
          <w:p w:rsidR="00DF17E9" w:rsidRPr="00092971" w:rsidRDefault="00DF17E9" w:rsidP="00044843">
            <w:pPr>
              <w:rPr>
                <w:color w:val="000000"/>
              </w:rPr>
            </w:pPr>
            <w:r w:rsidRPr="00092971">
              <w:rPr>
                <w:color w:val="000000"/>
              </w:rPr>
              <w:t>1 235</w:t>
            </w:r>
          </w:p>
        </w:tc>
        <w:tc>
          <w:tcPr>
            <w:tcW w:w="896"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673</w:t>
            </w:r>
          </w:p>
        </w:tc>
        <w:tc>
          <w:tcPr>
            <w:cnfStyle w:val="000010000000" w:firstRow="0" w:lastRow="0" w:firstColumn="0" w:lastColumn="0" w:oddVBand="1" w:evenVBand="0" w:oddHBand="0" w:evenHBand="0" w:firstRowFirstColumn="0" w:firstRowLastColumn="0" w:lastRowFirstColumn="0" w:lastRowLastColumn="0"/>
            <w:tcW w:w="896" w:type="dxa"/>
            <w:tcBorders>
              <w:bottom w:val="nil"/>
            </w:tcBorders>
          </w:tcPr>
          <w:p w:rsidR="00DF17E9" w:rsidRPr="00092971" w:rsidRDefault="00DF17E9" w:rsidP="00044843">
            <w:r w:rsidRPr="00092971">
              <w:rPr>
                <w:color w:val="000000"/>
              </w:rPr>
              <w:t>562</w:t>
            </w:r>
          </w:p>
        </w:tc>
        <w:tc>
          <w:tcPr>
            <w:tcW w:w="994"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rsidR="00DF17E9" w:rsidRPr="00092971" w:rsidRDefault="00DF17E9" w:rsidP="00044843">
            <w:pPr>
              <w:ind w:left="113" w:hanging="113"/>
              <w:rPr>
                <w:color w:val="000000"/>
              </w:rPr>
            </w:pPr>
            <w:r w:rsidRPr="00092971">
              <w:rPr>
                <w:color w:val="000000"/>
              </w:rPr>
              <w:t>Debt securities at fair value</w:t>
            </w:r>
          </w:p>
        </w:tc>
        <w:tc>
          <w:tcPr>
            <w:cnfStyle w:val="000010000000" w:firstRow="0" w:lastRow="0" w:firstColumn="0" w:lastColumn="0" w:oddVBand="1" w:evenVBand="0" w:oddHBand="0" w:evenHBand="0" w:firstRowFirstColumn="0" w:firstRowLastColumn="0" w:lastRowFirstColumn="0" w:lastRowLastColumn="0"/>
            <w:tcW w:w="1217" w:type="dxa"/>
            <w:tcBorders>
              <w:bottom w:val="single" w:sz="6" w:space="0" w:color="auto"/>
            </w:tcBorders>
          </w:tcPr>
          <w:p w:rsidR="00DF17E9" w:rsidRPr="00092971" w:rsidRDefault="00DF17E9" w:rsidP="00044843">
            <w:r w:rsidRPr="00092971">
              <w:rPr>
                <w:color w:val="000000"/>
              </w:rPr>
              <w:t>41</w:t>
            </w:r>
          </w:p>
        </w:tc>
        <w:tc>
          <w:tcPr>
            <w:tcW w:w="896"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41</w:t>
            </w:r>
          </w:p>
        </w:tc>
        <w:tc>
          <w:tcPr>
            <w:cnfStyle w:val="000010000000" w:firstRow="0" w:lastRow="0" w:firstColumn="0" w:lastColumn="0" w:oddVBand="1" w:evenVBand="0" w:oddHBand="0" w:evenHBand="0" w:firstRowFirstColumn="0" w:firstRowLastColumn="0" w:lastRowFirstColumn="0" w:lastRowLastColumn="0"/>
            <w:tcW w:w="896" w:type="dxa"/>
            <w:tcBorders>
              <w:bottom w:val="single" w:sz="6" w:space="0" w:color="auto"/>
            </w:tcBorders>
          </w:tcPr>
          <w:p w:rsidR="00DF17E9" w:rsidRPr="00092971" w:rsidRDefault="00DF17E9" w:rsidP="00044843">
            <w:pPr>
              <w:rPr>
                <w:color w:val="000000"/>
              </w:rPr>
            </w:pPr>
            <w:r w:rsidRPr="00092971">
              <w:rPr>
                <w:color w:val="000000"/>
              </w:rPr>
              <w:t>..</w:t>
            </w:r>
          </w:p>
        </w:tc>
        <w:tc>
          <w:tcPr>
            <w:tcW w:w="994"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121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5 558</w:t>
            </w:r>
          </w:p>
        </w:tc>
        <w:tc>
          <w:tcPr>
            <w:tcW w:w="89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4 995</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bottom w:val="single" w:sz="12" w:space="0" w:color="auto"/>
            </w:tcBorders>
          </w:tcPr>
          <w:p w:rsidR="00DF17E9" w:rsidRPr="00092971" w:rsidRDefault="00DF17E9" w:rsidP="00044843">
            <w:r w:rsidRPr="00092971">
              <w:rPr>
                <w:b/>
                <w:color w:val="000000"/>
              </w:rPr>
              <w:t>562</w:t>
            </w:r>
          </w:p>
        </w:tc>
        <w:tc>
          <w:tcPr>
            <w:tcW w:w="994"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Default="00DF17E9" w:rsidP="00044843">
      <w:pPr>
        <w:pStyle w:val="Note"/>
      </w:pPr>
      <w:r>
        <w:t>Note:</w:t>
      </w:r>
    </w:p>
    <w:p w:rsidR="00DF17E9" w:rsidRPr="00BF06AB" w:rsidRDefault="00DF17E9" w:rsidP="00044843">
      <w:pPr>
        <w:pStyle w:val="Note"/>
        <w:rPr>
          <w:b/>
          <w:bCs/>
          <w:lang w:val="en-US"/>
        </w:rPr>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rsidR="00DF17E9" w:rsidRPr="00092971" w:rsidRDefault="00DF17E9" w:rsidP="00044843">
      <w:pPr>
        <w:pStyle w:val="Subheading"/>
        <w:rPr>
          <w:bCs/>
          <w:lang w:val="en-US"/>
        </w:rPr>
      </w:pPr>
      <w:r>
        <w:t>Reconciliation of Level 3 fair value movements</w:t>
      </w:r>
      <w:r>
        <w:tab/>
      </w:r>
      <w:r w:rsidRPr="00B94204">
        <w:rPr>
          <w:rStyle w:val="TableUnitsChar"/>
        </w:rPr>
        <w:t>($ million)</w:t>
      </w:r>
    </w:p>
    <w:tbl>
      <w:tblPr>
        <w:tblStyle w:val="TableDTFGeneral"/>
        <w:tblW w:w="9639" w:type="dxa"/>
        <w:tblLayout w:type="fixed"/>
        <w:tblLook w:val="02A0" w:firstRow="1" w:lastRow="0" w:firstColumn="1" w:lastColumn="0" w:noHBand="1" w:noVBand="0"/>
      </w:tblPr>
      <w:tblGrid>
        <w:gridCol w:w="4282"/>
        <w:gridCol w:w="892"/>
        <w:gridCol w:w="893"/>
        <w:gridCol w:w="893"/>
        <w:gridCol w:w="893"/>
        <w:gridCol w:w="893"/>
        <w:gridCol w:w="893"/>
      </w:tblGrid>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vMerge w:val="restart"/>
            <w:vAlign w:val="top"/>
          </w:tcPr>
          <w:p w:rsidR="00FA1641" w:rsidRPr="00092971" w:rsidRDefault="00FA1641" w:rsidP="00FA1641">
            <w:pPr>
              <w:ind w:left="0" w:firstLine="0"/>
              <w:rPr>
                <w:color w:val="FFFFFF"/>
              </w:rPr>
            </w:pPr>
            <w:r w:rsidRPr="00092971">
              <w:rPr>
                <w:color w:val="FFFFFF"/>
              </w:rPr>
              <w:t>State of Victoria</w:t>
            </w:r>
          </w:p>
        </w:tc>
        <w:tc>
          <w:tcPr>
            <w:cnfStyle w:val="000010000000" w:firstRow="0" w:lastRow="0" w:firstColumn="0" w:lastColumn="0" w:oddVBand="1" w:evenVBand="0" w:oddHBand="0" w:evenHBand="0" w:firstRowFirstColumn="0" w:firstRowLastColumn="0" w:lastRowFirstColumn="0" w:lastRowLastColumn="0"/>
            <w:tcW w:w="1785" w:type="dxa"/>
            <w:gridSpan w:val="2"/>
            <w:tcBorders>
              <w:bottom w:val="single" w:sz="6" w:space="0" w:color="auto"/>
            </w:tcBorders>
          </w:tcPr>
          <w:p w:rsidR="00FA1641" w:rsidRPr="00092971" w:rsidRDefault="00FA1641" w:rsidP="00044843">
            <w:pPr>
              <w:jc w:val="center"/>
              <w:rPr>
                <w:color w:val="FFFFFF"/>
              </w:rPr>
            </w:pPr>
            <w:r w:rsidRPr="00092971">
              <w:rPr>
                <w:color w:val="FFFFFF"/>
              </w:rPr>
              <w:t>Derivative assets</w:t>
            </w:r>
          </w:p>
        </w:tc>
        <w:tc>
          <w:tcPr>
            <w:tcW w:w="1786" w:type="dxa"/>
            <w:gridSpan w:val="2"/>
            <w:tcBorders>
              <w:bottom w:val="single" w:sz="6" w:space="0" w:color="auto"/>
            </w:tcBorders>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Equities and managed</w:t>
            </w:r>
            <w:r>
              <w:rPr>
                <w:color w:val="FFFFFF"/>
              </w:rPr>
              <w:t xml:space="preserve"> </w:t>
            </w:r>
            <w:r w:rsidRPr="00092971">
              <w:rPr>
                <w:color w:val="FFFFFF"/>
              </w:rPr>
              <w:t>investment schemes</w:t>
            </w:r>
          </w:p>
        </w:tc>
        <w:tc>
          <w:tcPr>
            <w:cnfStyle w:val="000010000000" w:firstRow="0" w:lastRow="0" w:firstColumn="0" w:lastColumn="0" w:oddVBand="1" w:evenVBand="0" w:oddHBand="0" w:evenHBand="0" w:firstRowFirstColumn="0" w:firstRowLastColumn="0" w:lastRowFirstColumn="0" w:lastRowLastColumn="0"/>
            <w:tcW w:w="1786" w:type="dxa"/>
            <w:gridSpan w:val="2"/>
            <w:tcBorders>
              <w:bottom w:val="single" w:sz="6" w:space="0" w:color="auto"/>
            </w:tcBorders>
          </w:tcPr>
          <w:p w:rsidR="00FA1641" w:rsidRPr="00092971" w:rsidRDefault="00FA1641" w:rsidP="00044843">
            <w:pPr>
              <w:jc w:val="center"/>
              <w:rPr>
                <w:color w:val="FFFFFF"/>
              </w:rPr>
            </w:pPr>
            <w:r w:rsidRPr="00092971">
              <w:rPr>
                <w:color w:val="FFFFFF"/>
              </w:rPr>
              <w:t xml:space="preserve">Debt securities </w:t>
            </w:r>
            <w:r>
              <w:rPr>
                <w:color w:val="FFFFFF"/>
              </w:rPr>
              <w:br/>
            </w:r>
            <w:r w:rsidRPr="00092971">
              <w:rPr>
                <w:color w:val="FFFFFF"/>
              </w:rPr>
              <w:t>at fair value</w:t>
            </w:r>
          </w:p>
        </w:tc>
      </w:tr>
      <w:tr w:rsidR="00FA1641" w:rsidRPr="00092971" w:rsidTr="00FA16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vMerge/>
            <w:tcBorders>
              <w:bottom w:val="single" w:sz="6" w:space="0" w:color="auto"/>
            </w:tcBorders>
          </w:tcPr>
          <w:p w:rsidR="00FA1641" w:rsidRPr="00092971" w:rsidRDefault="00FA1641"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892" w:type="dxa"/>
            <w:tcBorders>
              <w:top w:val="single" w:sz="6" w:space="0" w:color="auto"/>
              <w:bottom w:val="single" w:sz="6" w:space="0" w:color="auto"/>
            </w:tcBorders>
          </w:tcPr>
          <w:p w:rsidR="00FA1641" w:rsidRPr="00092971" w:rsidRDefault="00FA1641" w:rsidP="00044843">
            <w:pPr>
              <w:rPr>
                <w:color w:val="FFFFFF"/>
              </w:rPr>
            </w:pPr>
            <w:r w:rsidRPr="00092971">
              <w:rPr>
                <w:color w:val="FFFFFF"/>
              </w:rPr>
              <w:t>2016</w:t>
            </w:r>
          </w:p>
        </w:tc>
        <w:tc>
          <w:tcPr>
            <w:tcW w:w="893" w:type="dxa"/>
            <w:tcBorders>
              <w:top w:val="single" w:sz="6" w:space="0" w:color="auto"/>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bottom w:val="single" w:sz="6" w:space="0" w:color="auto"/>
            </w:tcBorders>
          </w:tcPr>
          <w:p w:rsidR="00FA1641" w:rsidRPr="00092971" w:rsidRDefault="00FA1641" w:rsidP="00044843">
            <w:pPr>
              <w:rPr>
                <w:color w:val="FFFFFF"/>
              </w:rPr>
            </w:pPr>
            <w:r w:rsidRPr="00092971">
              <w:rPr>
                <w:color w:val="FFFFFF"/>
              </w:rPr>
              <w:t>2016</w:t>
            </w:r>
          </w:p>
        </w:tc>
        <w:tc>
          <w:tcPr>
            <w:tcW w:w="893" w:type="dxa"/>
            <w:tcBorders>
              <w:top w:val="single" w:sz="6" w:space="0" w:color="auto"/>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bottom w:val="single" w:sz="6" w:space="0" w:color="auto"/>
            </w:tcBorders>
          </w:tcPr>
          <w:p w:rsidR="00FA1641" w:rsidRPr="00092971" w:rsidRDefault="00FA1641" w:rsidP="00044843">
            <w:pPr>
              <w:rPr>
                <w:color w:val="FFFFFF"/>
              </w:rPr>
            </w:pPr>
            <w:r w:rsidRPr="00092971">
              <w:rPr>
                <w:color w:val="FFFFFF"/>
              </w:rPr>
              <w:t>2016</w:t>
            </w:r>
          </w:p>
        </w:tc>
        <w:tc>
          <w:tcPr>
            <w:tcW w:w="893" w:type="dxa"/>
            <w:tcBorders>
              <w:top w:val="single" w:sz="6" w:space="0" w:color="auto"/>
              <w:bottom w:val="single" w:sz="6" w:space="0" w:color="auto"/>
            </w:tcBorders>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top w:val="single" w:sz="6" w:space="0" w:color="auto"/>
            </w:tcBorders>
          </w:tcPr>
          <w:p w:rsidR="00DF17E9" w:rsidRPr="00092971" w:rsidRDefault="00DF17E9" w:rsidP="00044843">
            <w:pPr>
              <w:ind w:left="0" w:firstLine="0"/>
              <w:rPr>
                <w:color w:val="000000"/>
              </w:rPr>
            </w:pPr>
            <w:r w:rsidRPr="00092971">
              <w:rPr>
                <w:b/>
                <w:color w:val="000000"/>
              </w:rPr>
              <w:t>Opening balance</w:t>
            </w:r>
          </w:p>
        </w:tc>
        <w:tc>
          <w:tcPr>
            <w:cnfStyle w:val="000010000000" w:firstRow="0" w:lastRow="0" w:firstColumn="0" w:lastColumn="0" w:oddVBand="1" w:evenVBand="0" w:oddHBand="0" w:evenHBand="0" w:firstRowFirstColumn="0" w:firstRowLastColumn="0" w:lastRowFirstColumn="0" w:lastRowLastColumn="0"/>
            <w:tcW w:w="892" w:type="dxa"/>
            <w:tcBorders>
              <w:top w:val="single" w:sz="6"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tcBorders>
          </w:tcPr>
          <w:p w:rsidR="00DF17E9" w:rsidRPr="00092971" w:rsidRDefault="00DF17E9" w:rsidP="00044843">
            <w:pPr>
              <w:rPr>
                <w:color w:val="000000"/>
              </w:rPr>
            </w:pPr>
            <w:r w:rsidRPr="00092971">
              <w:rPr>
                <w:b/>
                <w:color w:val="000000"/>
              </w:rPr>
              <w:t>5 071</w:t>
            </w:r>
          </w:p>
        </w:tc>
        <w:tc>
          <w:tcPr>
            <w:tcW w:w="893"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4 386</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tcBorders>
          </w:tcPr>
          <w:p w:rsidR="00DF17E9" w:rsidRPr="00092971" w:rsidRDefault="00DF17E9" w:rsidP="00044843">
            <w:r w:rsidRPr="00092971">
              <w:rPr>
                <w:b/>
                <w:color w:val="000000"/>
              </w:rPr>
              <w:t>227</w:t>
            </w:r>
          </w:p>
        </w:tc>
        <w:tc>
          <w:tcPr>
            <w:tcW w:w="893"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243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left="0" w:firstLine="0"/>
              <w:rPr>
                <w:color w:val="000000"/>
              </w:rPr>
            </w:pPr>
            <w:r w:rsidRPr="00092971">
              <w:rPr>
                <w:color w:val="000000"/>
              </w:rPr>
              <w:t>Total gains and losses recognised in:</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 xml:space="preserve"> </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 xml:space="preserve"> </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 xml:space="preserve"> </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Net result</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r w:rsidRPr="00092971">
              <w:rPr>
                <w:color w:val="000000"/>
              </w:rPr>
              <w:t>(6)</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98</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Other comprehensive income</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r w:rsidRPr="00092971">
              <w:rPr>
                <w:color w:val="000000"/>
              </w:rPr>
              <w:t>25</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Purchase</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r w:rsidRPr="00092971">
              <w:rPr>
                <w:color w:val="000000"/>
              </w:rPr>
              <w:t>828</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1 181</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Sales</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r w:rsidRPr="00092971">
              <w:rPr>
                <w:color w:val="000000"/>
              </w:rPr>
              <w:t>(685)</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(553)</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Settlements</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r w:rsidRPr="00092971">
              <w:rPr>
                <w:color w:val="000000"/>
              </w:rPr>
              <w:t>(15)</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(33)</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r w:rsidRPr="00092971">
              <w:rPr>
                <w:color w:val="000000"/>
              </w:rPr>
              <w:t>(13)</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bottom w:val="nil"/>
            </w:tcBorders>
          </w:tcPr>
          <w:p w:rsidR="00DF17E9" w:rsidRPr="00092971" w:rsidRDefault="00DF17E9" w:rsidP="00044843">
            <w:pPr>
              <w:ind w:firstLine="0"/>
              <w:rPr>
                <w:color w:val="000000"/>
              </w:rPr>
            </w:pPr>
            <w:r w:rsidRPr="00092971">
              <w:rPr>
                <w:color w:val="000000"/>
              </w:rPr>
              <w:t>Transfers from other levels</w:t>
            </w:r>
          </w:p>
        </w:tc>
        <w:tc>
          <w:tcPr>
            <w:cnfStyle w:val="000010000000" w:firstRow="0" w:lastRow="0" w:firstColumn="0" w:lastColumn="0" w:oddVBand="1" w:evenVBand="0" w:oddHBand="0" w:evenHBand="0" w:firstRowFirstColumn="0" w:firstRowLastColumn="0" w:lastRowFirstColumn="0" w:lastRowLastColumn="0"/>
            <w:tcW w:w="892" w:type="dxa"/>
            <w:tcBorders>
              <w:bottom w:val="nil"/>
            </w:tcBorders>
          </w:tcPr>
          <w:p w:rsidR="00DF17E9" w:rsidRPr="00092971" w:rsidRDefault="00DF17E9" w:rsidP="00044843">
            <w:pPr>
              <w:rPr>
                <w:color w:val="000000"/>
              </w:rPr>
            </w:pPr>
            <w:r w:rsidRPr="00092971">
              <w:rPr>
                <w:color w:val="000000"/>
              </w:rPr>
              <w:t>..</w:t>
            </w:r>
          </w:p>
        </w:tc>
        <w:tc>
          <w:tcPr>
            <w:tcW w:w="89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bottom w:val="nil"/>
            </w:tcBorders>
          </w:tcPr>
          <w:p w:rsidR="00DF17E9" w:rsidRPr="00092971" w:rsidRDefault="00DF17E9" w:rsidP="00044843">
            <w:r w:rsidRPr="00092971">
              <w:rPr>
                <w:color w:val="000000"/>
              </w:rPr>
              <w:t>123</w:t>
            </w:r>
          </w:p>
        </w:tc>
        <w:tc>
          <w:tcPr>
            <w:tcW w:w="89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bottom w:val="nil"/>
            </w:tcBorders>
          </w:tcPr>
          <w:p w:rsidR="00DF17E9" w:rsidRPr="00092971" w:rsidRDefault="00DF17E9" w:rsidP="00044843">
            <w:pPr>
              <w:rPr>
                <w:color w:val="000000"/>
              </w:rPr>
            </w:pPr>
            <w:r w:rsidRPr="00092971">
              <w:rPr>
                <w:color w:val="000000"/>
              </w:rPr>
              <w:t>..</w:t>
            </w:r>
          </w:p>
        </w:tc>
        <w:tc>
          <w:tcPr>
            <w:tcW w:w="89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rsidR="00DF17E9" w:rsidRPr="00092971" w:rsidRDefault="00DF17E9" w:rsidP="00044843">
            <w:pPr>
              <w:ind w:firstLine="0"/>
              <w:rPr>
                <w:color w:val="000000"/>
              </w:rPr>
            </w:pPr>
            <w:r w:rsidRPr="00092971">
              <w:rPr>
                <w:color w:val="000000"/>
              </w:rPr>
              <w:t>Transfers out of Level 3</w:t>
            </w:r>
          </w:p>
        </w:tc>
        <w:tc>
          <w:tcPr>
            <w:cnfStyle w:val="000010000000" w:firstRow="0" w:lastRow="0" w:firstColumn="0" w:lastColumn="0" w:oddVBand="1" w:evenVBand="0" w:oddHBand="0" w:evenHBand="0" w:firstRowFirstColumn="0" w:firstRowLastColumn="0" w:lastRowFirstColumn="0" w:lastRowLastColumn="0"/>
            <w:tcW w:w="892" w:type="dxa"/>
            <w:tcBorders>
              <w:bottom w:val="single" w:sz="6" w:space="0" w:color="auto"/>
            </w:tcBorders>
          </w:tcPr>
          <w:p w:rsidR="00DF17E9" w:rsidRPr="00092971" w:rsidRDefault="00DF17E9" w:rsidP="00044843">
            <w:r w:rsidRPr="00092971">
              <w:rPr>
                <w:color w:val="000000"/>
              </w:rPr>
              <w:t>..</w:t>
            </w:r>
          </w:p>
        </w:tc>
        <w:tc>
          <w:tcPr>
            <w:tcW w:w="89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bottom w:val="single" w:sz="6" w:space="0" w:color="auto"/>
            </w:tcBorders>
          </w:tcPr>
          <w:p w:rsidR="00DF17E9" w:rsidRPr="00092971" w:rsidRDefault="00DF17E9" w:rsidP="00044843">
            <w:pPr>
              <w:rPr>
                <w:color w:val="000000"/>
              </w:rPr>
            </w:pPr>
            <w:r w:rsidRPr="00092971">
              <w:rPr>
                <w:color w:val="000000"/>
              </w:rPr>
              <w:t>..</w:t>
            </w:r>
          </w:p>
        </w:tc>
        <w:tc>
          <w:tcPr>
            <w:tcW w:w="89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w:t>
            </w:r>
          </w:p>
        </w:tc>
        <w:tc>
          <w:tcPr>
            <w:cnfStyle w:val="000010000000" w:firstRow="0" w:lastRow="0" w:firstColumn="0" w:lastColumn="0" w:oddVBand="1" w:evenVBand="0" w:oddHBand="0" w:evenHBand="0" w:firstRowFirstColumn="0" w:firstRowLastColumn="0" w:lastRowFirstColumn="0" w:lastRowLastColumn="0"/>
            <w:tcW w:w="893" w:type="dxa"/>
            <w:tcBorders>
              <w:bottom w:val="single" w:sz="6" w:space="0" w:color="auto"/>
            </w:tcBorders>
          </w:tcPr>
          <w:p w:rsidR="00DF17E9" w:rsidRPr="00092971" w:rsidRDefault="00DF17E9" w:rsidP="00044843">
            <w:pPr>
              <w:rPr>
                <w:color w:val="000000"/>
              </w:rPr>
            </w:pPr>
            <w:r w:rsidRPr="00092971">
              <w:rPr>
                <w:color w:val="000000"/>
              </w:rPr>
              <w:t>..</w:t>
            </w:r>
          </w:p>
        </w:tc>
        <w:tc>
          <w:tcPr>
            <w:tcW w:w="89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8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5 340</w:t>
            </w:r>
          </w:p>
        </w:tc>
        <w:tc>
          <w:tcPr>
            <w:tcW w:w="89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5 071</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bottom w:val="single" w:sz="12" w:space="0" w:color="auto"/>
            </w:tcBorders>
          </w:tcPr>
          <w:p w:rsidR="00DF17E9" w:rsidRPr="00092971" w:rsidRDefault="00DF17E9" w:rsidP="00044843">
            <w:r w:rsidRPr="00092971">
              <w:rPr>
                <w:b/>
                <w:color w:val="000000"/>
              </w:rPr>
              <w:t>214</w:t>
            </w:r>
          </w:p>
        </w:tc>
        <w:tc>
          <w:tcPr>
            <w:tcW w:w="89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227</w:t>
            </w:r>
          </w:p>
        </w:tc>
      </w:tr>
    </w:tbl>
    <w:p w:rsidR="00DF17E9" w:rsidRPr="00092971" w:rsidRDefault="00DF17E9" w:rsidP="003E5B73">
      <w:pPr>
        <w:rPr>
          <w:rFonts w:asciiTheme="majorHAnsi" w:hAnsiTheme="majorHAnsi"/>
          <w:b/>
          <w:bCs/>
          <w:color w:val="000000"/>
          <w:spacing w:val="4"/>
          <w:sz w:val="17"/>
          <w:lang w:val="en-US"/>
        </w:rPr>
      </w:pPr>
    </w:p>
    <w:tbl>
      <w:tblPr>
        <w:tblStyle w:val="TableDTFGeneral"/>
        <w:tblW w:w="9639" w:type="dxa"/>
        <w:tblLayout w:type="fixed"/>
        <w:tblLook w:val="02A0" w:firstRow="1" w:lastRow="0" w:firstColumn="1" w:lastColumn="0" w:noHBand="1" w:noVBand="0"/>
      </w:tblPr>
      <w:tblGrid>
        <w:gridCol w:w="4282"/>
        <w:gridCol w:w="892"/>
        <w:gridCol w:w="893"/>
        <w:gridCol w:w="893"/>
        <w:gridCol w:w="893"/>
        <w:gridCol w:w="893"/>
        <w:gridCol w:w="893"/>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rsidR="00DF17E9" w:rsidRPr="00092971" w:rsidRDefault="00DF17E9" w:rsidP="00044843">
            <w:pPr>
              <w:ind w:left="0" w:firstLine="0"/>
              <w:rPr>
                <w:color w:val="FFFFFF"/>
              </w:rPr>
            </w:pPr>
            <w:r w:rsidRPr="00092971">
              <w:rPr>
                <w:color w:val="FFFFFF"/>
              </w:rPr>
              <w:t>General government sector</w:t>
            </w:r>
          </w:p>
        </w:tc>
        <w:tc>
          <w:tcPr>
            <w:cnfStyle w:val="000010000000" w:firstRow="0" w:lastRow="0" w:firstColumn="0" w:lastColumn="0" w:oddVBand="1" w:evenVBand="0" w:oddHBand="0" w:evenHBand="0" w:firstRowFirstColumn="0" w:firstRowLastColumn="0" w:lastRowFirstColumn="0" w:lastRowLastColumn="0"/>
            <w:tcW w:w="892" w:type="dxa"/>
            <w:tcBorders>
              <w:bottom w:val="single" w:sz="6" w:space="0" w:color="auto"/>
            </w:tcBorders>
          </w:tcPr>
          <w:p w:rsidR="00DF17E9" w:rsidRPr="00092971" w:rsidRDefault="00DF17E9" w:rsidP="00FA1641">
            <w:pPr>
              <w:rPr>
                <w:color w:val="FFFFFF"/>
              </w:rPr>
            </w:pPr>
          </w:p>
        </w:tc>
        <w:tc>
          <w:tcPr>
            <w:tcW w:w="893" w:type="dxa"/>
            <w:tcBorders>
              <w:bottom w:val="single" w:sz="6" w:space="0" w:color="auto"/>
            </w:tcBorders>
          </w:tcPr>
          <w:p w:rsidR="00DF17E9" w:rsidRPr="00092971" w:rsidRDefault="00DF17E9" w:rsidP="00FA1641">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893" w:type="dxa"/>
            <w:tcBorders>
              <w:bottom w:val="single" w:sz="6" w:space="0" w:color="auto"/>
            </w:tcBorders>
          </w:tcPr>
          <w:p w:rsidR="00DF17E9" w:rsidRPr="00092971" w:rsidRDefault="00DF17E9" w:rsidP="00FA1641">
            <w:pPr>
              <w:rPr>
                <w:color w:val="FFFFFF"/>
              </w:rPr>
            </w:pPr>
          </w:p>
        </w:tc>
        <w:tc>
          <w:tcPr>
            <w:tcW w:w="893" w:type="dxa"/>
            <w:tcBorders>
              <w:bottom w:val="single" w:sz="6" w:space="0" w:color="auto"/>
            </w:tcBorders>
          </w:tcPr>
          <w:p w:rsidR="00DF17E9" w:rsidRPr="00092971" w:rsidRDefault="00DF17E9" w:rsidP="00FA1641">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893" w:type="dxa"/>
            <w:tcBorders>
              <w:bottom w:val="single" w:sz="6" w:space="0" w:color="auto"/>
            </w:tcBorders>
          </w:tcPr>
          <w:p w:rsidR="00DF17E9" w:rsidRPr="00092971" w:rsidRDefault="00DF17E9" w:rsidP="00FA1641">
            <w:pPr>
              <w:rPr>
                <w:color w:val="FFFFFF"/>
              </w:rPr>
            </w:pPr>
          </w:p>
        </w:tc>
        <w:tc>
          <w:tcPr>
            <w:tcW w:w="893" w:type="dxa"/>
            <w:tcBorders>
              <w:bottom w:val="single" w:sz="6" w:space="0" w:color="auto"/>
            </w:tcBorders>
          </w:tcPr>
          <w:p w:rsidR="00DF17E9" w:rsidRPr="00092971" w:rsidRDefault="00DF17E9" w:rsidP="00FA1641">
            <w:pPr>
              <w:cnfStyle w:val="100000000000" w:firstRow="1" w:lastRow="0" w:firstColumn="0" w:lastColumn="0" w:oddVBand="0" w:evenVBand="0" w:oddHBand="0" w:evenHBand="0" w:firstRowFirstColumn="0" w:firstRowLastColumn="0" w:lastRowFirstColumn="0" w:lastRowLastColumn="0"/>
              <w:rPr>
                <w:color w:val="FFFFFF"/>
              </w:rPr>
            </w:pP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top w:val="single" w:sz="6" w:space="0" w:color="auto"/>
            </w:tcBorders>
          </w:tcPr>
          <w:p w:rsidR="00DF17E9" w:rsidRPr="00092971" w:rsidRDefault="00DF17E9" w:rsidP="00044843">
            <w:pPr>
              <w:ind w:left="0" w:firstLine="0"/>
              <w:rPr>
                <w:color w:val="000000"/>
              </w:rPr>
            </w:pPr>
            <w:r w:rsidRPr="00092971">
              <w:rPr>
                <w:b/>
                <w:color w:val="000000"/>
              </w:rPr>
              <w:t>Opening balance</w:t>
            </w:r>
          </w:p>
        </w:tc>
        <w:tc>
          <w:tcPr>
            <w:cnfStyle w:val="000010000000" w:firstRow="0" w:lastRow="0" w:firstColumn="0" w:lastColumn="0" w:oddVBand="1" w:evenVBand="0" w:oddHBand="0" w:evenHBand="0" w:firstRowFirstColumn="0" w:firstRowLastColumn="0" w:lastRowFirstColumn="0" w:lastRowLastColumn="0"/>
            <w:tcW w:w="892" w:type="dxa"/>
            <w:tcBorders>
              <w:top w:val="single" w:sz="6"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left="0" w:firstLine="0"/>
              <w:rPr>
                <w:color w:val="000000"/>
              </w:rPr>
            </w:pPr>
            <w:r w:rsidRPr="00092971">
              <w:rPr>
                <w:color w:val="000000"/>
              </w:rPr>
              <w:t>Total gains and losses recognised in:</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 xml:space="preserve"> </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 xml:space="preserve"> </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 xml:space="preserve"> </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Net result</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Other comprehensive income</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Purchases</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Sales</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Pr>
          <w:p w:rsidR="00DF17E9" w:rsidRPr="00092971" w:rsidRDefault="00DF17E9" w:rsidP="00044843">
            <w:pPr>
              <w:ind w:firstLine="0"/>
              <w:rPr>
                <w:color w:val="000000"/>
              </w:rPr>
            </w:pPr>
            <w:r w:rsidRPr="00092971">
              <w:rPr>
                <w:color w:val="000000"/>
              </w:rPr>
              <w:t>Settlements</w:t>
            </w:r>
          </w:p>
        </w:tc>
        <w:tc>
          <w:tcPr>
            <w:cnfStyle w:val="000010000000" w:firstRow="0" w:lastRow="0" w:firstColumn="0" w:lastColumn="0" w:oddVBand="1" w:evenVBand="0" w:oddHBand="0" w:evenHBand="0" w:firstRowFirstColumn="0" w:firstRowLastColumn="0" w:lastRowFirstColumn="0" w:lastRowLastColumn="0"/>
            <w:tcW w:w="892"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Pr>
          <w:p w:rsidR="00DF17E9" w:rsidRPr="00092971" w:rsidRDefault="00DF17E9" w:rsidP="00044843">
            <w:pPr>
              <w:rPr>
                <w:color w:val="000000"/>
              </w:rPr>
            </w:pPr>
            <w:r w:rsidRPr="00092971">
              <w:rPr>
                <w:color w:val="000000"/>
              </w:rPr>
              <w:t>..</w:t>
            </w:r>
          </w:p>
        </w:tc>
        <w:tc>
          <w:tcPr>
            <w:tcW w:w="893"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bottom w:val="nil"/>
            </w:tcBorders>
          </w:tcPr>
          <w:p w:rsidR="00DF17E9" w:rsidRPr="00092971" w:rsidRDefault="00DF17E9" w:rsidP="00044843">
            <w:pPr>
              <w:ind w:firstLine="0"/>
              <w:rPr>
                <w:color w:val="000000"/>
              </w:rPr>
            </w:pPr>
            <w:r w:rsidRPr="00092971">
              <w:rPr>
                <w:color w:val="000000"/>
              </w:rPr>
              <w:t>Transfers from other levels</w:t>
            </w:r>
          </w:p>
        </w:tc>
        <w:tc>
          <w:tcPr>
            <w:cnfStyle w:val="000010000000" w:firstRow="0" w:lastRow="0" w:firstColumn="0" w:lastColumn="0" w:oddVBand="1" w:evenVBand="0" w:oddHBand="0" w:evenHBand="0" w:firstRowFirstColumn="0" w:firstRowLastColumn="0" w:lastRowFirstColumn="0" w:lastRowLastColumn="0"/>
            <w:tcW w:w="892" w:type="dxa"/>
            <w:tcBorders>
              <w:bottom w:val="nil"/>
            </w:tcBorders>
          </w:tcPr>
          <w:p w:rsidR="00DF17E9" w:rsidRPr="00092971" w:rsidRDefault="00DF17E9" w:rsidP="00044843">
            <w:pPr>
              <w:rPr>
                <w:color w:val="000000"/>
              </w:rPr>
            </w:pPr>
            <w:r w:rsidRPr="00092971">
              <w:rPr>
                <w:color w:val="000000"/>
              </w:rPr>
              <w:t>..</w:t>
            </w:r>
          </w:p>
        </w:tc>
        <w:tc>
          <w:tcPr>
            <w:tcW w:w="89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bottom w:val="nil"/>
            </w:tcBorders>
          </w:tcPr>
          <w:p w:rsidR="00DF17E9" w:rsidRPr="00092971" w:rsidRDefault="00DF17E9" w:rsidP="00044843">
            <w:r w:rsidRPr="00092971">
              <w:rPr>
                <w:color w:val="000000"/>
              </w:rPr>
              <w:t>123</w:t>
            </w:r>
          </w:p>
        </w:tc>
        <w:tc>
          <w:tcPr>
            <w:tcW w:w="89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bottom w:val="nil"/>
            </w:tcBorders>
          </w:tcPr>
          <w:p w:rsidR="00DF17E9" w:rsidRPr="00092971" w:rsidRDefault="00DF17E9" w:rsidP="00044843">
            <w:pPr>
              <w:rPr>
                <w:color w:val="000000"/>
              </w:rPr>
            </w:pPr>
            <w:r w:rsidRPr="00092971">
              <w:rPr>
                <w:color w:val="000000"/>
              </w:rPr>
              <w:t>..</w:t>
            </w:r>
          </w:p>
        </w:tc>
        <w:tc>
          <w:tcPr>
            <w:tcW w:w="893"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rsidR="00DF17E9" w:rsidRPr="00092971" w:rsidRDefault="00DF17E9" w:rsidP="00044843">
            <w:pPr>
              <w:ind w:firstLine="0"/>
              <w:rPr>
                <w:color w:val="000000"/>
              </w:rPr>
            </w:pPr>
            <w:r w:rsidRPr="00092971">
              <w:rPr>
                <w:color w:val="000000"/>
              </w:rPr>
              <w:t>Transfers out of Level 3</w:t>
            </w:r>
          </w:p>
        </w:tc>
        <w:tc>
          <w:tcPr>
            <w:cnfStyle w:val="000010000000" w:firstRow="0" w:lastRow="0" w:firstColumn="0" w:lastColumn="0" w:oddVBand="1" w:evenVBand="0" w:oddHBand="0" w:evenHBand="0" w:firstRowFirstColumn="0" w:firstRowLastColumn="0" w:lastRowFirstColumn="0" w:lastRowLastColumn="0"/>
            <w:tcW w:w="892" w:type="dxa"/>
            <w:tcBorders>
              <w:bottom w:val="single" w:sz="6" w:space="0" w:color="auto"/>
            </w:tcBorders>
          </w:tcPr>
          <w:p w:rsidR="00DF17E9" w:rsidRPr="00092971" w:rsidRDefault="00DF17E9" w:rsidP="00044843">
            <w:r w:rsidRPr="00092971">
              <w:rPr>
                <w:color w:val="000000"/>
              </w:rPr>
              <w:t>..</w:t>
            </w:r>
          </w:p>
        </w:tc>
        <w:tc>
          <w:tcPr>
            <w:tcW w:w="89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bottom w:val="single" w:sz="6" w:space="0" w:color="auto"/>
            </w:tcBorders>
          </w:tcPr>
          <w:p w:rsidR="00DF17E9" w:rsidRPr="00092971" w:rsidRDefault="00DF17E9" w:rsidP="00044843">
            <w:pPr>
              <w:rPr>
                <w:color w:val="000000"/>
              </w:rPr>
            </w:pPr>
            <w:r w:rsidRPr="00092971">
              <w:rPr>
                <w:color w:val="000000"/>
              </w:rPr>
              <w:t>..</w:t>
            </w:r>
          </w:p>
        </w:tc>
        <w:tc>
          <w:tcPr>
            <w:tcW w:w="89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w:t>
            </w:r>
          </w:p>
        </w:tc>
        <w:tc>
          <w:tcPr>
            <w:cnfStyle w:val="000010000000" w:firstRow="0" w:lastRow="0" w:firstColumn="0" w:lastColumn="0" w:oddVBand="1" w:evenVBand="0" w:oddHBand="0" w:evenHBand="0" w:firstRowFirstColumn="0" w:firstRowLastColumn="0" w:lastRowFirstColumn="0" w:lastRowLastColumn="0"/>
            <w:tcW w:w="893" w:type="dxa"/>
            <w:tcBorders>
              <w:bottom w:val="single" w:sz="6" w:space="0" w:color="auto"/>
            </w:tcBorders>
          </w:tcPr>
          <w:p w:rsidR="00DF17E9" w:rsidRPr="00092971" w:rsidRDefault="00DF17E9" w:rsidP="00044843">
            <w:pPr>
              <w:rPr>
                <w:color w:val="000000"/>
              </w:rPr>
            </w:pPr>
            <w:r w:rsidRPr="00092971">
              <w:rPr>
                <w:color w:val="000000"/>
              </w:rPr>
              <w:t>..</w:t>
            </w:r>
          </w:p>
        </w:tc>
        <w:tc>
          <w:tcPr>
            <w:tcW w:w="893"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282"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w:t>
            </w:r>
          </w:p>
        </w:tc>
        <w:tc>
          <w:tcPr>
            <w:cnfStyle w:val="000010000000" w:firstRow="0" w:lastRow="0" w:firstColumn="0" w:lastColumn="0" w:oddVBand="1" w:evenVBand="0" w:oddHBand="0" w:evenHBand="0" w:firstRowFirstColumn="0" w:firstRowLastColumn="0" w:lastRowFirstColumn="0" w:lastRowLastColumn="0"/>
            <w:tcW w:w="8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bottom w:val="single" w:sz="12" w:space="0" w:color="auto"/>
            </w:tcBorders>
          </w:tcPr>
          <w:p w:rsidR="00DF17E9" w:rsidRPr="00092971" w:rsidRDefault="00DF17E9" w:rsidP="00044843">
            <w:r w:rsidRPr="00092971">
              <w:rPr>
                <w:b/>
                <w:color w:val="000000"/>
              </w:rPr>
              <w:t>123</w:t>
            </w:r>
          </w:p>
        </w:tc>
        <w:tc>
          <w:tcPr>
            <w:tcW w:w="89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893"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w:t>
            </w:r>
          </w:p>
        </w:tc>
        <w:tc>
          <w:tcPr>
            <w:tcW w:w="893"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r>
    </w:tbl>
    <w:p w:rsidR="00DF17E9" w:rsidRDefault="00DF17E9" w:rsidP="003E5B73"/>
    <w:p w:rsidR="00DF17E9" w:rsidRDefault="00DF17E9" w:rsidP="003E5B73">
      <w:pPr>
        <w:sectPr w:rsidR="00DF17E9" w:rsidSect="00044843">
          <w:footerReference w:type="even" r:id="rId218"/>
          <w:footerReference w:type="default" r:id="rId219"/>
          <w:type w:val="continuous"/>
          <w:pgSz w:w="11906" w:h="16838" w:code="9"/>
          <w:pgMar w:top="1134" w:right="1134" w:bottom="1134" w:left="1134" w:header="624" w:footer="567" w:gutter="0"/>
          <w:cols w:space="708"/>
          <w:docGrid w:linePitch="360"/>
        </w:sectPr>
      </w:pPr>
    </w:p>
    <w:p w:rsidR="00DF17E9" w:rsidRDefault="00DF17E9">
      <w:pPr>
        <w:rPr>
          <w:rFonts w:asciiTheme="majorHAnsi" w:hAnsiTheme="majorHAnsi"/>
          <w:b/>
          <w:spacing w:val="-2"/>
        </w:rPr>
      </w:pPr>
      <w:r>
        <w:lastRenderedPageBreak/>
        <w:br w:type="page"/>
      </w:r>
    </w:p>
    <w:p w:rsidR="00DF17E9" w:rsidRPr="00157821" w:rsidRDefault="00DF17E9" w:rsidP="003E5B73">
      <w:pPr>
        <w:pStyle w:val="Subheading"/>
      </w:pPr>
      <w:r w:rsidRPr="00FD48CF">
        <w:lastRenderedPageBreak/>
        <w:t>Description of Level 3 valuation techniques used and key inputs to valuation</w:t>
      </w:r>
    </w:p>
    <w:p w:rsidR="00DF17E9" w:rsidRPr="00CF104D" w:rsidRDefault="00DF17E9" w:rsidP="00CC044B">
      <w:pPr>
        <w:shd w:val="clear" w:color="auto" w:fill="FFFFFF" w:themeFill="background1"/>
      </w:pPr>
      <w:r w:rsidRPr="00CF104D">
        <w:t xml:space="preserve">The majority of the State’s Level 3 financial assets relate to </w:t>
      </w:r>
      <w:r>
        <w:t xml:space="preserve">private </w:t>
      </w:r>
      <w:r w:rsidRPr="00CF104D">
        <w:t>equities and managed investment schemes that are managed by VFMC on behalf of the State’s insurance entities.</w:t>
      </w:r>
    </w:p>
    <w:p w:rsidR="00DF17E9" w:rsidRPr="00C1268C" w:rsidRDefault="00DF17E9" w:rsidP="00CC044B">
      <w:r w:rsidRPr="00CF104D">
        <w:t xml:space="preserve">The disclosure </w:t>
      </w:r>
      <w:r>
        <w:t xml:space="preserve">that follows includes </w:t>
      </w:r>
      <w:r w:rsidRPr="00CF104D">
        <w:t>details of the inputs and assumptions used in the current valuation models. Given that a significant majority of these investments are held via third party pooled investment vehicles, and the State is not privy to the detailed inputs and assumptions used to value the underlying investment assets, the State is not in a position to provide the sensitivity analysis pertaining to the fair value measurement due to changes in unobservable inputs.</w:t>
      </w:r>
    </w:p>
    <w:p w:rsidR="00DF17E9" w:rsidRPr="00C33D6E" w:rsidRDefault="00DF17E9" w:rsidP="003E5B73">
      <w:pPr>
        <w:pStyle w:val="Subheading"/>
        <w:rPr>
          <w:i/>
        </w:rPr>
      </w:pPr>
      <w:r w:rsidRPr="00C33D6E">
        <w:rPr>
          <w:i/>
        </w:rPr>
        <w:t>Private Equities</w:t>
      </w:r>
    </w:p>
    <w:p w:rsidR="00DF17E9" w:rsidRPr="00CF104D" w:rsidRDefault="00DF17E9" w:rsidP="00CC044B">
      <w:pPr>
        <w:shd w:val="clear" w:color="auto" w:fill="FFFFFF" w:themeFill="background1"/>
      </w:pPr>
      <w:r w:rsidRPr="00CF104D">
        <w:t>The valuations of Australian equities are based on the last trading price of the securities. In contrast, private equity investment</w:t>
      </w:r>
      <w:r>
        <w:t xml:space="preserve"> valuations</w:t>
      </w:r>
      <w:r w:rsidRPr="00CF104D">
        <w:t xml:space="preserve"> are based primarily on multiples of earnings, discounted cash flow, market equivalents and other market accepted methodologies. Key inputs and assumptions which are subject to estimation uncertainty include the identification of appropriate comparables, estimated future profits, risk free discount rate, risk premium, estimated future cash flows and future economic and regulatory conditions.</w:t>
      </w:r>
    </w:p>
    <w:p w:rsidR="00DF17E9" w:rsidRPr="00C33D6E" w:rsidRDefault="00DF17E9" w:rsidP="003E5B73">
      <w:pPr>
        <w:pStyle w:val="Subheading"/>
        <w:rPr>
          <w:i/>
        </w:rPr>
      </w:pPr>
      <w:r w:rsidRPr="00C33D6E">
        <w:rPr>
          <w:i/>
        </w:rPr>
        <w:t>Managed investment schemes</w:t>
      </w:r>
    </w:p>
    <w:p w:rsidR="00DF17E9" w:rsidRDefault="00DF17E9">
      <w:r w:rsidRPr="00CF104D">
        <w:t xml:space="preserve">The State’s managed investment schemes include </w:t>
      </w:r>
      <w:r>
        <w:t xml:space="preserve">level 3 assets such as </w:t>
      </w:r>
      <w:r w:rsidRPr="00CF104D">
        <w:t>fixed interest i</w:t>
      </w:r>
      <w:r>
        <w:t>nvestments, infrastructure, non</w:t>
      </w:r>
      <w:r>
        <w:noBreakHyphen/>
      </w:r>
      <w:r w:rsidRPr="00CF104D">
        <w:t>traditional strategies and property investments.</w:t>
      </w:r>
    </w:p>
    <w:p w:rsidR="00DF17E9" w:rsidRPr="00BD73F1" w:rsidRDefault="00DF17E9" w:rsidP="00044843">
      <w:pPr>
        <w:pStyle w:val="Subheading"/>
        <w:rPr>
          <w:i/>
        </w:rPr>
      </w:pPr>
      <w:r w:rsidRPr="00BD73F1">
        <w:rPr>
          <w:i/>
        </w:rPr>
        <w:t>Infrastructure</w:t>
      </w:r>
    </w:p>
    <w:p w:rsidR="00DF17E9" w:rsidRDefault="00DF17E9" w:rsidP="00CC044B">
      <w:r w:rsidRPr="00EE6A8E">
        <w:t>Infrastructure investments comprise both domestic and international exposures to transport, social, energy and other infrastructure assets through unlisted funds and trusts. The valuations of unlisted infrastructure investments are based primarily on the discounted cash flow methodology. Key inputs and assumptions which are subject to estimation uncertainty include the choice of risk free discount rates, risk premium, asset utilisation rates, capital expenditure and operating cost forecasts and other estimated future cash flows dependent on the longer term general</w:t>
      </w:r>
      <w:r>
        <w:rPr>
          <w:rFonts w:ascii="Garamond" w:hAnsi="Garamond" w:cs="Garamond"/>
          <w:sz w:val="24"/>
          <w:szCs w:val="24"/>
        </w:rPr>
        <w:t xml:space="preserve"> </w:t>
      </w:r>
      <w:r w:rsidRPr="00EE6A8E">
        <w:t>economic forecasts and the forecast performance of applicable underlying assets.</w:t>
      </w:r>
    </w:p>
    <w:p w:rsidR="00DF17E9" w:rsidRPr="00BD73F1" w:rsidRDefault="00DF17E9" w:rsidP="00044843">
      <w:pPr>
        <w:pStyle w:val="Subheading"/>
        <w:rPr>
          <w:i/>
        </w:rPr>
      </w:pPr>
      <w:r>
        <w:rPr>
          <w:i/>
        </w:rPr>
        <w:lastRenderedPageBreak/>
        <w:t>Non-traditional strategies</w:t>
      </w:r>
    </w:p>
    <w:p w:rsidR="00DF17E9" w:rsidRPr="00EE6A8E" w:rsidRDefault="00DF17E9" w:rsidP="00044843">
      <w:pPr>
        <w:shd w:val="clear" w:color="auto" w:fill="FFFFFF" w:themeFill="background1"/>
      </w:pPr>
      <w:r w:rsidRPr="00EE6A8E">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rsidR="00DF17E9" w:rsidRPr="00EE6A8E" w:rsidRDefault="00DF17E9" w:rsidP="00044843">
      <w:pPr>
        <w:shd w:val="clear" w:color="auto" w:fill="FFFFFF" w:themeFill="background1"/>
      </w:pPr>
      <w:r w:rsidRPr="00EE6A8E">
        <w:t>The valuation of hedge fund investments are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risk free discount rate, future cash flows, identification of appropriate comparables and future economic and regulatory conditions.</w:t>
      </w:r>
    </w:p>
    <w:p w:rsidR="00DF17E9" w:rsidRDefault="00DF17E9" w:rsidP="00044843">
      <w:r w:rsidRPr="00EE6A8E">
        <w:t>The insurance investments include an unlisted trust with exposure to a portfolio of US life insurance policies. The valuation of insurance investments is based on the discounted cash flow methodology, with key assumptions of insureds’ mortality and premium payments on the valuation date. Other assumptions and interdependencies include the weighted average discount rate, life expectancy estimates obtained from qualified providers and expected premium payments based on the back solving premiums optimisation method.</w:t>
      </w:r>
    </w:p>
    <w:p w:rsidR="00DF17E9" w:rsidRPr="00BD73F1" w:rsidRDefault="00DF17E9" w:rsidP="00044843">
      <w:pPr>
        <w:pStyle w:val="Subheading"/>
        <w:rPr>
          <w:i/>
        </w:rPr>
      </w:pPr>
      <w:r w:rsidRPr="00BD73F1">
        <w:rPr>
          <w:i/>
        </w:rPr>
        <w:t>Property investments</w:t>
      </w:r>
    </w:p>
    <w:p w:rsidR="00DF17E9" w:rsidRPr="00EE6A8E" w:rsidRDefault="00DF17E9" w:rsidP="00044843">
      <w:r w:rsidRPr="00EE6A8E">
        <w:t>Property investments comprise externally managed unlisted property trusts with exposure to domestic and international commercial, industrial, retail and development property market.</w:t>
      </w:r>
    </w:p>
    <w:p w:rsidR="00DF17E9" w:rsidRDefault="00DF17E9" w:rsidP="00044843">
      <w:r w:rsidRPr="00EE6A8E">
        <w:t>The valuations of unlisted property investments are primarily based on discounted cash flow,</w:t>
      </w:r>
      <w:r>
        <w:t xml:space="preserve"> </w:t>
      </w:r>
      <w:r w:rsidRPr="00EE6A8E">
        <w:t>capitalisation and direct comparison methodologies. Assumptions which may be subject to estimation uncertainty would include the identification of appropriate comparables, estimated future profits, risk free rate, risk premium, estimated future cash flows and future economic and regulatory conditions.</w:t>
      </w:r>
    </w:p>
    <w:p w:rsidR="00DF17E9" w:rsidRPr="002225EC" w:rsidRDefault="00DF17E9" w:rsidP="00044843">
      <w:pPr>
        <w:pStyle w:val="Heading2"/>
      </w:pPr>
      <w:bookmarkStart w:id="65" w:name="_Toc459976627"/>
      <w:r w:rsidRPr="002225EC">
        <w:lastRenderedPageBreak/>
        <w:t>Fair value determination of</w:t>
      </w:r>
      <w:r>
        <w:t xml:space="preserve"> non</w:t>
      </w:r>
      <w:r>
        <w:noBreakHyphen/>
      </w:r>
      <w:r w:rsidRPr="002225EC">
        <w:t>financial assets</w:t>
      </w:r>
      <w:bookmarkEnd w:id="65"/>
    </w:p>
    <w:p w:rsidR="00DF17E9" w:rsidRDefault="00DF17E9" w:rsidP="00044843">
      <w:pPr>
        <w:pStyle w:val="Subheadingunderline"/>
        <w:pBdr>
          <w:bottom w:val="none" w:sz="0" w:space="0" w:color="auto"/>
        </w:pBdr>
      </w:pPr>
      <w:r w:rsidRPr="008F3967">
        <w:t>Revaluations of non</w:t>
      </w:r>
      <w:r w:rsidRPr="008F3967">
        <w:noBreakHyphen/>
        <w:t>financial physical assets</w:t>
      </w:r>
    </w:p>
    <w:p w:rsidR="00DF17E9" w:rsidRPr="003E5B73" w:rsidRDefault="00DF17E9" w:rsidP="00044843">
      <w:pPr>
        <w:spacing w:line="262" w:lineRule="auto"/>
      </w:pPr>
      <w:r w:rsidRPr="003E5B73">
        <w:t>Non</w:t>
      </w:r>
      <w:r w:rsidRPr="003E5B73">
        <w:noBreakHyphen/>
        <w:t>financial physical assets are measured on a cyclical basis in accordance with the Financial Reporting Directions (FRDs) issued by the Minister for Finance. A full revaluation normally occurs every five years, based upon the asset’s government purpose classification,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in accordance with the requirements of the FRDs.</w:t>
      </w:r>
    </w:p>
    <w:p w:rsidR="00DF17E9" w:rsidRPr="003E5B73" w:rsidRDefault="00DF17E9" w:rsidP="00044843">
      <w:pPr>
        <w:spacing w:line="262" w:lineRule="auto"/>
      </w:pPr>
      <w:r w:rsidRPr="003E5B73">
        <w:t>Revaluation increases or decreases arise from differences between an asset’s carrying value and fair value.</w:t>
      </w:r>
    </w:p>
    <w:p w:rsidR="00DF17E9" w:rsidRPr="003E5B73" w:rsidRDefault="00DF17E9" w:rsidP="00044843">
      <w:pPr>
        <w:spacing w:line="262" w:lineRule="auto"/>
      </w:pPr>
      <w:r w:rsidRPr="003E5B73">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non-financial asset previously recognised as an expense (other economic flows) in the net result.</w:t>
      </w:r>
    </w:p>
    <w:p w:rsidR="00DF17E9" w:rsidRPr="003E5B73" w:rsidRDefault="00DF17E9" w:rsidP="00044843">
      <w:pPr>
        <w:spacing w:line="262" w:lineRule="auto"/>
      </w:pPr>
      <w:r w:rsidRPr="003E5B73">
        <w:t>Net revaluation decreases are recognised in ‘Other economic flows – other comprehensive income’ to the extent that a credit balance exists in the asset revaluation surplus in respect of the same class of non-financial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rsidR="00DF17E9" w:rsidRPr="003E5B73" w:rsidRDefault="00DF17E9" w:rsidP="00044843">
      <w:pPr>
        <w:spacing w:line="262" w:lineRule="auto"/>
      </w:pPr>
      <w:r w:rsidRPr="003E5B73">
        <w:t>Revaluation increases and decreases relating to individual assets within a class of non-financial asset, are offset against one another within that class but are not offset in respect of assets in different classes. Any asset revaluation surplus is not normally transferred to accumulated funds on derecognition of the relevant asset.</w:t>
      </w:r>
    </w:p>
    <w:p w:rsidR="00DF17E9" w:rsidRPr="003E5B73" w:rsidRDefault="00DF17E9" w:rsidP="00044843">
      <w:pPr>
        <w:spacing w:line="262" w:lineRule="auto"/>
      </w:pPr>
      <w:r w:rsidRPr="003E5B73">
        <w:rPr>
          <w:b/>
        </w:rPr>
        <w:t>Biological assets</w:t>
      </w:r>
      <w:r w:rsidRPr="003E5B73">
        <w:t xml:space="preserve"> are measured at fair value less costs to sell and are revalued at 30 June each year. For breeding livestock, fair value is based on the </w:t>
      </w:r>
      <w:r w:rsidRPr="003E5B73">
        <w:lastRenderedPageBreak/>
        <w:t>amount that could be expected to be received from the disposal of livestock with similar attributes.</w:t>
      </w:r>
    </w:p>
    <w:p w:rsidR="00DF17E9" w:rsidRPr="003E5B73" w:rsidRDefault="00DF17E9" w:rsidP="00044843">
      <w:pPr>
        <w:spacing w:line="262" w:lineRule="auto"/>
      </w:pPr>
      <w:r w:rsidRPr="003E5B73">
        <w:t>For productive trees, revaluation to fair value is determined using a discounted cash flow method based on expected net future cash flows, discounted by a current market determined rate. After harvest, productive trees are treated as inventories.</w:t>
      </w:r>
    </w:p>
    <w:p w:rsidR="00DF17E9" w:rsidRPr="003E5B73" w:rsidRDefault="00DF17E9" w:rsidP="00044843">
      <w:pPr>
        <w:spacing w:line="262" w:lineRule="auto"/>
      </w:pPr>
      <w:r w:rsidRPr="003E5B73">
        <w:t>An increase or decrease in the fair value of these biological assets is recognised in the consolidated comprehensive operating statement as an ‘Other economic flow’.</w:t>
      </w:r>
    </w:p>
    <w:p w:rsidR="00DF17E9" w:rsidRPr="003E5B73" w:rsidRDefault="00DF17E9" w:rsidP="00044843">
      <w:pPr>
        <w:spacing w:line="262" w:lineRule="auto"/>
      </w:pPr>
      <w:r w:rsidRPr="003E5B73">
        <w:t xml:space="preserve">The fair value of </w:t>
      </w:r>
      <w:r w:rsidRPr="003E5B73">
        <w:rPr>
          <w:b/>
        </w:rPr>
        <w:t>cultural assets</w:t>
      </w:r>
      <w:r w:rsidRPr="003E5B73">
        <w:t xml:space="preserve"> and collections, </w:t>
      </w:r>
      <w:r w:rsidRPr="003E5B73">
        <w:rPr>
          <w:b/>
        </w:rPr>
        <w:t>heritage assets</w:t>
      </w:r>
      <w:r w:rsidRPr="003E5B73">
        <w:t xml:space="preserve"> and other non</w:t>
      </w:r>
      <w:r w:rsidRPr="003E5B73">
        <w:noBreakHyphen/>
        <w:t>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rsidR="00DF17E9" w:rsidRPr="003E5B73" w:rsidRDefault="00DF17E9" w:rsidP="00044843">
      <w:pPr>
        <w:spacing w:line="262" w:lineRule="auto"/>
      </w:pPr>
      <w:r w:rsidRPr="003E5B73">
        <w:rPr>
          <w:b/>
        </w:rPr>
        <w:t>Road network assets</w:t>
      </w:r>
      <w:r w:rsidRPr="003E5B73">
        <w:t xml:space="preserve"> (including earthworks of the declared road networks) are measured at fair value, determined by reference to the asset’s depreciated replacement cost. </w:t>
      </w:r>
    </w:p>
    <w:p w:rsidR="00DF17E9" w:rsidRPr="003E5B73" w:rsidRDefault="00DF17E9" w:rsidP="00044843">
      <w:pPr>
        <w:spacing w:line="262" w:lineRule="auto"/>
      </w:pPr>
      <w:r w:rsidRPr="003E5B73">
        <w:rPr>
          <w:b/>
        </w:rPr>
        <w:t>Land</w:t>
      </w:r>
      <w:r w:rsidRPr="003E5B73">
        <w:t xml:space="preserve"> under declared roads acquired prior to 1 July 2008 is measured at fair value. Land under declared roads acquired on or after 1 July 2008 is measured initially at cost of acquisition and subsequently at fair value. The fair value methodology applied by the Valuer</w:t>
      </w:r>
      <w:r w:rsidRPr="003E5B73">
        <w:noBreakHyphen/>
        <w:t>General Victoria is based on discounted site values for relevant municipal areas applied to land area under the arterial road network, including related reservations.</w:t>
      </w:r>
    </w:p>
    <w:p w:rsidR="00DF17E9" w:rsidRDefault="00DF17E9" w:rsidP="00044843">
      <w:pPr>
        <w:spacing w:line="262" w:lineRule="auto"/>
      </w:pPr>
      <w:r w:rsidRPr="003E5B73">
        <w:rPr>
          <w:b/>
        </w:rPr>
        <w:t>Infrastructure assets</w:t>
      </w:r>
      <w:r w:rsidRPr="003E5B73">
        <w:t xml:space="preserve"> of water, rail and port authorities within the PNFC sector are measured at fair value. The fair value of infrastructure systems and plant, equipment and vehicles, is normally determined by reference to the asset’s depreciated replacement cost, or where the infrastructure is held by a for profit entity, the fair value may be derived from estimates of the present value of future cash flows.</w:t>
      </w:r>
    </w:p>
    <w:p w:rsidR="00DF17E9" w:rsidRDefault="00DF17E9" w:rsidP="00044843">
      <w:pPr>
        <w:spacing w:line="262" w:lineRule="auto"/>
      </w:pPr>
      <w:r>
        <w:t xml:space="preserve">Note 4.1.1 describes the recognition and measurement of </w:t>
      </w:r>
      <w:r w:rsidRPr="005C14B4">
        <w:t>land, buildings, infrastructure, plant and equipment</w:t>
      </w:r>
      <w:r>
        <w:t xml:space="preserve">. </w:t>
      </w:r>
    </w:p>
    <w:p w:rsidR="00DF17E9" w:rsidRPr="003E5B73" w:rsidRDefault="00DF17E9" w:rsidP="003E5B73">
      <w:pPr>
        <w:sectPr w:rsidR="00DF17E9" w:rsidRPr="003E5B73" w:rsidSect="00044843">
          <w:type w:val="continuous"/>
          <w:pgSz w:w="11906" w:h="16838" w:code="9"/>
          <w:pgMar w:top="1134" w:right="1134" w:bottom="1134" w:left="1134" w:header="624" w:footer="567" w:gutter="0"/>
          <w:cols w:num="2" w:space="708"/>
          <w:docGrid w:linePitch="360"/>
        </w:sectPr>
      </w:pPr>
    </w:p>
    <w:p w:rsidR="00DF17E9" w:rsidRDefault="00DF17E9" w:rsidP="00044843">
      <w:pPr>
        <w:pStyle w:val="Heading3"/>
        <w:tabs>
          <w:tab w:val="right" w:pos="14742"/>
        </w:tabs>
      </w:pPr>
      <w:r>
        <w:lastRenderedPageBreak/>
        <w:t>Land, b</w:t>
      </w:r>
      <w:r w:rsidRPr="00644D5E">
        <w:t>uildings, infrastructure, plant and equipment</w:t>
      </w:r>
    </w:p>
    <w:p w:rsidR="00DF17E9" w:rsidRPr="00092971" w:rsidRDefault="00DF17E9" w:rsidP="00044843">
      <w:pPr>
        <w:pStyle w:val="Subheading"/>
        <w:rPr>
          <w:rStyle w:val="TableUnitsChar"/>
          <w:bCs/>
          <w:lang w:val="en-US"/>
        </w:rPr>
      </w:pPr>
      <w:r>
        <w:t>Carry amounts, fair values and fair value hierarchy</w:t>
      </w:r>
      <w:r>
        <w:tab/>
      </w:r>
      <w:r w:rsidRPr="005952AA">
        <w:rPr>
          <w:rStyle w:val="TableUnitsChar"/>
        </w:rPr>
        <w:t>($ million)</w:t>
      </w:r>
    </w:p>
    <w:tbl>
      <w:tblPr>
        <w:tblStyle w:val="TableDTFGeneral"/>
        <w:tblW w:w="9639" w:type="dxa"/>
        <w:tblLayout w:type="fixed"/>
        <w:tblLook w:val="06A0" w:firstRow="1" w:lastRow="0" w:firstColumn="1" w:lastColumn="0" w:noHBand="1" w:noVBand="1"/>
      </w:tblPr>
      <w:tblGrid>
        <w:gridCol w:w="3006"/>
        <w:gridCol w:w="859"/>
        <w:gridCol w:w="984"/>
        <w:gridCol w:w="709"/>
        <w:gridCol w:w="708"/>
        <w:gridCol w:w="851"/>
        <w:gridCol w:w="840"/>
        <w:gridCol w:w="841"/>
        <w:gridCol w:w="841"/>
      </w:tblGrid>
      <w:tr w:rsidR="00FA1641" w:rsidRPr="00092971" w:rsidTr="00FA1641">
        <w:trPr>
          <w:cnfStyle w:val="100000000000" w:firstRow="1" w:lastRow="0" w:firstColumn="0" w:lastColumn="0" w:oddVBand="0" w:evenVBand="0" w:oddHBand="0" w:evenHBand="0" w:firstRowFirstColumn="0" w:firstRowLastColumn="0" w:lastRowFirstColumn="0" w:lastRowLastColumn="0"/>
          <w:trHeight w:val="637"/>
          <w:tblHeader/>
        </w:trPr>
        <w:tc>
          <w:tcPr>
            <w:cnfStyle w:val="001000000000" w:firstRow="0" w:lastRow="0" w:firstColumn="1" w:lastColumn="0" w:oddVBand="0" w:evenVBand="0" w:oddHBand="0" w:evenHBand="0" w:firstRowFirstColumn="0" w:firstRowLastColumn="0" w:lastRowFirstColumn="0" w:lastRowLastColumn="0"/>
            <w:tcW w:w="3006" w:type="dxa"/>
            <w:vMerge w:val="restart"/>
            <w:vAlign w:val="top"/>
          </w:tcPr>
          <w:p w:rsidR="00FA1641" w:rsidRPr="00092971" w:rsidRDefault="00FA1641" w:rsidP="00FA1641">
            <w:pPr>
              <w:ind w:left="0" w:firstLine="0"/>
              <w:rPr>
                <w:color w:val="FFFFFF"/>
              </w:rPr>
            </w:pPr>
            <w:r w:rsidRPr="00092971">
              <w:rPr>
                <w:color w:val="FFFFFF"/>
              </w:rPr>
              <w:t>State of Victoria</w:t>
            </w:r>
          </w:p>
        </w:tc>
        <w:tc>
          <w:tcPr>
            <w:tcW w:w="859"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Carrying amount</w:t>
            </w:r>
          </w:p>
        </w:tc>
        <w:tc>
          <w:tcPr>
            <w:tcW w:w="2401" w:type="dxa"/>
            <w:gridSpan w:val="3"/>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value measurement </w:t>
            </w:r>
            <w:r>
              <w:rPr>
                <w:color w:val="FFFFFF"/>
              </w:rPr>
              <w:br/>
            </w:r>
            <w:r w:rsidRPr="00092971">
              <w:rPr>
                <w:color w:val="FFFFFF"/>
              </w:rPr>
              <w:t>at the end of the 2016 reporting period using:</w:t>
            </w:r>
          </w:p>
        </w:tc>
        <w:tc>
          <w:tcPr>
            <w:tcW w:w="851"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Carrying amount</w:t>
            </w:r>
          </w:p>
        </w:tc>
        <w:tc>
          <w:tcPr>
            <w:tcW w:w="2522" w:type="dxa"/>
            <w:gridSpan w:val="3"/>
          </w:tcPr>
          <w:p w:rsidR="00FA1641" w:rsidRPr="00092971" w:rsidRDefault="00FA1641" w:rsidP="00FA1641">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value measurement </w:t>
            </w:r>
            <w:r>
              <w:rPr>
                <w:color w:val="FFFFFF"/>
              </w:rPr>
              <w:br/>
            </w:r>
            <w:r w:rsidRPr="00092971">
              <w:rPr>
                <w:color w:val="FFFFFF"/>
              </w:rPr>
              <w:t xml:space="preserve">at the end of the 2015 </w:t>
            </w:r>
            <w:r>
              <w:rPr>
                <w:color w:val="FFFFFF"/>
              </w:rPr>
              <w:br/>
            </w:r>
            <w:r w:rsidRPr="00092971">
              <w:rPr>
                <w:color w:val="FFFFFF"/>
              </w:rPr>
              <w:t>reporting period using:</w:t>
            </w:r>
          </w:p>
        </w:tc>
      </w:tr>
      <w:tr w:rsidR="00FA1641"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vMerge/>
          </w:tcPr>
          <w:p w:rsidR="00FA1641" w:rsidRPr="00092971" w:rsidRDefault="00FA1641" w:rsidP="00044843">
            <w:pPr>
              <w:ind w:left="0" w:firstLine="0"/>
              <w:rPr>
                <w:color w:val="FFFFFF"/>
              </w:rPr>
            </w:pPr>
          </w:p>
        </w:tc>
        <w:tc>
          <w:tcPr>
            <w:tcW w:w="859"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984"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tcW w:w="709"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2</w:t>
            </w:r>
          </w:p>
        </w:tc>
        <w:tc>
          <w:tcPr>
            <w:tcW w:w="708"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c>
          <w:tcPr>
            <w:tcW w:w="851"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tcW w:w="840"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tcW w:w="841"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2</w:t>
            </w:r>
          </w:p>
        </w:tc>
        <w:tc>
          <w:tcPr>
            <w:tcW w:w="841" w:type="dxa"/>
          </w:tcPr>
          <w:p w:rsidR="00FA1641" w:rsidRPr="00092971" w:rsidRDefault="00FA1641"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b/>
                <w:color w:val="000000"/>
              </w:rPr>
              <w:t>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43 222</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9 535</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33 687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40 918</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9 532</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31 386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Non-specialised 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11 534</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9 396</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2 138</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12 112</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9 291</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2 821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Specialised 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30 511</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138</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30 372</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27 903</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241</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27 662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Heritage 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1 177</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1 177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902</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902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b/>
                <w:color w:val="000000"/>
              </w:rPr>
              <w:t>Land and national parks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70 423</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19 266</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51 157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62 508</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13 980</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48 528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Non-specialised land</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17 348</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15 601</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1 746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15 264</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13 266</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1 998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Specialised land</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34 228</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r w:rsidRPr="00092971">
              <w:t xml:space="preserve"> 665</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30 563</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28 381</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714</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27 667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Land under roads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17 811</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17 811</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17 801</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17 801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14179F">
            <w:pPr>
              <w:ind w:left="227" w:hanging="227"/>
              <w:rPr>
                <w:color w:val="000000"/>
              </w:rPr>
            </w:pPr>
            <w:r>
              <w:rPr>
                <w:color w:val="000000"/>
              </w:rPr>
              <w:t xml:space="preserve">   </w:t>
            </w:r>
            <w:r w:rsidR="00DF17E9" w:rsidRPr="00092971">
              <w:rPr>
                <w:color w:val="000000"/>
              </w:rPr>
              <w:t xml:space="preserve">National parks and other </w:t>
            </w:r>
            <w:r w:rsidR="0014179F">
              <w:rPr>
                <w:color w:val="000000"/>
              </w:rPr>
              <w:t>‘</w:t>
            </w:r>
            <w:r w:rsidR="00DF17E9" w:rsidRPr="00092971">
              <w:rPr>
                <w:color w:val="000000"/>
              </w:rPr>
              <w:t>land only’ holdings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1 036</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1 036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1 062</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pPr>
            <w:r w:rsidRPr="00092971">
              <w:rPr>
                <w:b/>
                <w:color w:val="000000"/>
              </w:rPr>
              <w:t>Plant, equipment, vehicles and infrastructure systems</w:t>
            </w:r>
            <w:r w:rsidRPr="00D21963">
              <w:rPr>
                <w:color w:val="000000"/>
                <w:vertAlign w:val="superscript"/>
              </w:rPr>
              <w:t>(</w:t>
            </w:r>
            <w:r w:rsidRPr="00D21963">
              <w:rPr>
                <w:vertAlign w:val="superscript"/>
              </w:rPr>
              <w:t>a)</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60 584</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222</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60 363</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53 826</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292</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53 534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Infrastructure systems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54 788</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41</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54 747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47 780</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53</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47 727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rPr>
            </w:pPr>
            <w:r>
              <w:rPr>
                <w:color w:val="000000"/>
              </w:rPr>
              <w:t xml:space="preserve">   </w:t>
            </w:r>
            <w:r w:rsidR="00DF17E9" w:rsidRPr="00092971">
              <w:rPr>
                <w:color w:val="000000"/>
              </w:rPr>
              <w:t>Rolling stock</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2 267</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2 267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2 126</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2 126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62298E" w:rsidP="00044843">
            <w:pPr>
              <w:ind w:left="113" w:hanging="113"/>
              <w:rPr>
                <w:color w:val="000000"/>
                <w:vertAlign w:val="superscript"/>
              </w:rPr>
            </w:pPr>
            <w:r>
              <w:rPr>
                <w:color w:val="000000"/>
              </w:rPr>
              <w:t xml:space="preserve">   </w:t>
            </w:r>
            <w:r w:rsidR="00DF17E9" w:rsidRPr="00092971">
              <w:rPr>
                <w:color w:val="000000"/>
              </w:rPr>
              <w:t>Plant, equipment and vehicles</w:t>
            </w:r>
            <w:r w:rsidR="00DF17E9" w:rsidRPr="001550E1">
              <w:rPr>
                <w:color w:val="000000"/>
                <w:vertAlign w:val="superscript"/>
              </w:rPr>
              <w:t>(a)</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3 529</w:t>
            </w:r>
          </w:p>
        </w:tc>
        <w:tc>
          <w:tcPr>
            <w:tcW w:w="984"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181</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3 348</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3 920</w:t>
            </w:r>
          </w:p>
        </w:tc>
        <w:tc>
          <w:tcPr>
            <w:tcW w:w="84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239</w:t>
            </w:r>
          </w:p>
        </w:tc>
        <w:tc>
          <w:tcPr>
            <w:tcW w:w="84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3 681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Borders>
              <w:bottom w:val="nil"/>
            </w:tcBorders>
          </w:tcPr>
          <w:p w:rsidR="00DF17E9" w:rsidRPr="00092971" w:rsidRDefault="00DF17E9" w:rsidP="00044843">
            <w:pPr>
              <w:ind w:left="113" w:hanging="113"/>
              <w:rPr>
                <w:color w:val="000000"/>
              </w:rPr>
            </w:pPr>
            <w:r w:rsidRPr="00092971">
              <w:rPr>
                <w:b/>
                <w:color w:val="000000"/>
              </w:rPr>
              <w:t>Roads, road infrastructure and earthworks</w:t>
            </w:r>
          </w:p>
        </w:tc>
        <w:tc>
          <w:tcPr>
            <w:tcW w:w="85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27 175</w:t>
            </w:r>
          </w:p>
        </w:tc>
        <w:tc>
          <w:tcPr>
            <w:tcW w:w="984"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8"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27 175</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27 218</w:t>
            </w:r>
          </w:p>
        </w:tc>
        <w:tc>
          <w:tcPr>
            <w:tcW w:w="840"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1"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354</w:t>
            </w:r>
          </w:p>
        </w:tc>
        <w:tc>
          <w:tcPr>
            <w:tcW w:w="841"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26 864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rsidR="00DF17E9" w:rsidRPr="00092971" w:rsidRDefault="00DF17E9" w:rsidP="00044843">
            <w:pPr>
              <w:ind w:left="113" w:hanging="113"/>
              <w:rPr>
                <w:color w:val="000000"/>
              </w:rPr>
            </w:pPr>
            <w:r w:rsidRPr="00092971">
              <w:rPr>
                <w:b/>
                <w:color w:val="000000"/>
              </w:rPr>
              <w:t>Cultural assets</w:t>
            </w:r>
          </w:p>
        </w:tc>
        <w:tc>
          <w:tcPr>
            <w:tcW w:w="85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5 655</w:t>
            </w:r>
          </w:p>
        </w:tc>
        <w:tc>
          <w:tcPr>
            <w:tcW w:w="984"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2 023</w:t>
            </w:r>
          </w:p>
        </w:tc>
        <w:tc>
          <w:tcPr>
            <w:tcW w:w="708"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3 632</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5 554</w:t>
            </w:r>
          </w:p>
        </w:tc>
        <w:tc>
          <w:tcPr>
            <w:tcW w:w="840"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1"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3 432</w:t>
            </w:r>
          </w:p>
        </w:tc>
        <w:tc>
          <w:tcPr>
            <w:tcW w:w="841"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2 122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auto"/>
              <w:bottom w:val="single" w:sz="12" w:space="0" w:color="auto"/>
            </w:tcBorders>
          </w:tcPr>
          <w:p w:rsidR="00DF17E9" w:rsidRPr="00092971" w:rsidRDefault="00DF17E9" w:rsidP="00044843">
            <w:pPr>
              <w:ind w:left="113" w:hanging="113"/>
            </w:pPr>
            <w:r w:rsidRPr="00092971">
              <w:rPr>
                <w:b/>
                <w:color w:val="000000"/>
              </w:rPr>
              <w:t>Total land, buildings, infrastructure, plant and equipment</w:t>
            </w:r>
            <w:r w:rsidRPr="00092971">
              <w:rPr>
                <w:b/>
                <w:color w:val="000000"/>
                <w:vertAlign w:val="superscript"/>
              </w:rPr>
              <w:t>(a)</w:t>
            </w:r>
            <w:r w:rsidRPr="00293172">
              <w:rPr>
                <w:b/>
                <w:color w:val="000000"/>
                <w:vertAlign w:val="superscript"/>
              </w:rPr>
              <w:t>(</w:t>
            </w:r>
            <w:r w:rsidRPr="00293172">
              <w:rPr>
                <w:b/>
                <w:vertAlign w:val="superscript"/>
              </w:rPr>
              <w:t>b)</w:t>
            </w:r>
          </w:p>
        </w:tc>
        <w:tc>
          <w:tcPr>
            <w:tcW w:w="85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207 059</w:t>
            </w:r>
          </w:p>
        </w:tc>
        <w:tc>
          <w:tcPr>
            <w:tcW w:w="984"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31 045</w:t>
            </w:r>
          </w:p>
        </w:tc>
        <w:tc>
          <w:tcPr>
            <w:tcW w:w="708"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176 014</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190 023</w:t>
            </w:r>
          </w:p>
        </w:tc>
        <w:tc>
          <w:tcPr>
            <w:tcW w:w="840"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1"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27 589</w:t>
            </w:r>
          </w:p>
        </w:tc>
        <w:tc>
          <w:tcPr>
            <w:tcW w:w="841"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162 433</w:t>
            </w:r>
          </w:p>
        </w:tc>
      </w:tr>
    </w:tbl>
    <w:p w:rsidR="00DF17E9" w:rsidRDefault="00DF17E9" w:rsidP="00044843">
      <w:pPr>
        <w:pStyle w:val="Note"/>
      </w:pPr>
      <w:r>
        <w:t>Notes:</w:t>
      </w:r>
    </w:p>
    <w:p w:rsidR="00DF17E9" w:rsidRDefault="00DF17E9" w:rsidP="00417C55">
      <w:pPr>
        <w:pStyle w:val="Note"/>
      </w:pPr>
      <w:r>
        <w:t>(a)</w:t>
      </w:r>
      <w:r>
        <w:tab/>
        <w:t>June 2015 comparative figures have been restated to finalise the allocation of equity balances between contributed capital and accumulated funds related to prior year machinery of government changes.</w:t>
      </w:r>
    </w:p>
    <w:p w:rsidR="00DF17E9" w:rsidRDefault="00DF17E9" w:rsidP="00417C55">
      <w:pPr>
        <w:pStyle w:val="Note"/>
      </w:pPr>
      <w:r>
        <w:t>(b)</w:t>
      </w:r>
      <w:r>
        <w:tab/>
        <w:t xml:space="preserve">The State’s total land, building, infrastructure, plant and equipment in this table excludes leased and construction in progress assets, which are valued at cost. The total of excluded assets </w:t>
      </w:r>
      <w:r w:rsidRPr="001E65D9">
        <w:t xml:space="preserve">is </w:t>
      </w:r>
      <w:r>
        <w:t>$19 498</w:t>
      </w:r>
      <w:r w:rsidRPr="001E65D9">
        <w:t xml:space="preserve"> million (2015</w:t>
      </w:r>
      <w:r>
        <w:t>: $16 926 million).</w:t>
      </w:r>
    </w:p>
    <w:p w:rsidR="00DF17E9" w:rsidRPr="00092971" w:rsidRDefault="00DF17E9" w:rsidP="00044843">
      <w:pPr>
        <w:rPr>
          <w:rStyle w:val="TableUnitsChar"/>
          <w:b/>
          <w:bCs/>
          <w:lang w:val="en-US"/>
        </w:rPr>
      </w:pPr>
    </w:p>
    <w:tbl>
      <w:tblPr>
        <w:tblStyle w:val="TableDTFGeneral"/>
        <w:tblW w:w="9637" w:type="dxa"/>
        <w:tblLayout w:type="fixed"/>
        <w:tblLook w:val="06A0" w:firstRow="1" w:lastRow="0" w:firstColumn="1" w:lastColumn="0" w:noHBand="1" w:noVBand="1"/>
      </w:tblPr>
      <w:tblGrid>
        <w:gridCol w:w="3006"/>
        <w:gridCol w:w="859"/>
        <w:gridCol w:w="980"/>
        <w:gridCol w:w="713"/>
        <w:gridCol w:w="708"/>
        <w:gridCol w:w="851"/>
        <w:gridCol w:w="850"/>
        <w:gridCol w:w="851"/>
        <w:gridCol w:w="819"/>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0" w:firstLine="0"/>
              <w:rPr>
                <w:color w:val="FFFFFF"/>
              </w:rPr>
            </w:pPr>
            <w:r w:rsidRPr="00092971">
              <w:rPr>
                <w:color w:val="FFFFFF"/>
              </w:rPr>
              <w:t>General government sector</w:t>
            </w:r>
          </w:p>
        </w:tc>
        <w:tc>
          <w:tcPr>
            <w:tcW w:w="85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980"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713"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708"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5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50"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51" w:type="dxa"/>
          </w:tcPr>
          <w:p w:rsidR="00DF17E9" w:rsidRPr="00092971"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1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b/>
                <w:color w:val="000000"/>
              </w:rPr>
              <w:t>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26 344</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872</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25 471</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23 953</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833</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23 120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Non-specialised 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2 086</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752</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1 334</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2 783</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602</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2 181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Specialised 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23 095</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120</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22 975</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20 282</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231</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20 051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Heritage buildings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1 162</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1 162</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888</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888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b/>
                <w:color w:val="000000"/>
              </w:rPr>
              <w:t>Land and national parks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44 724</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1 307</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43 417</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40 699</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1 252</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39 447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Non-specialised land</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2 874</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1 250</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1 624</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2 578</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685</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1 893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Specialised land</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23 002</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58</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22 945</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19 258</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567</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18 691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Land under roads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17 811</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17 811</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17 801</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17 801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14179F">
            <w:pPr>
              <w:ind w:left="227" w:hanging="227"/>
              <w:rPr>
                <w:color w:val="000000"/>
              </w:rPr>
            </w:pPr>
            <w:r w:rsidRPr="00092971">
              <w:rPr>
                <w:color w:val="000000"/>
              </w:rPr>
              <w:t xml:space="preserve">   National parks and other </w:t>
            </w:r>
            <w:r w:rsidR="0014179F">
              <w:rPr>
                <w:color w:val="000000"/>
              </w:rPr>
              <w:t>‘</w:t>
            </w:r>
            <w:r w:rsidRPr="00092971">
              <w:rPr>
                <w:color w:val="000000"/>
              </w:rPr>
              <w:t>land only’ holdings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1 036</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1 036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1 062</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b/>
                <w:color w:val="000000"/>
              </w:rPr>
              <w:t>Plant, equipment, vehicles and infrastructure systems</w:t>
            </w:r>
            <w:r w:rsidRPr="00092971">
              <w:rPr>
                <w:b/>
                <w:color w:val="000000"/>
                <w:vertAlign w:val="superscript"/>
              </w:rPr>
              <w:t xml:space="preserve">(a) </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3 067</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114</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2 953</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3 292</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169</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3 123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rPr>
                <w:color w:val="000000"/>
              </w:rPr>
            </w:pPr>
            <w:r w:rsidRPr="00092971">
              <w:rPr>
                <w:color w:val="000000"/>
              </w:rPr>
              <w:t xml:space="preserve">   Infrastructure systems</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1 209</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23</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1 186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1 129</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35</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1 094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Pr>
          <w:p w:rsidR="00DF17E9" w:rsidRPr="00092971" w:rsidRDefault="00DF17E9" w:rsidP="00044843">
            <w:pPr>
              <w:ind w:left="113" w:hanging="113"/>
            </w:pPr>
            <w:r w:rsidRPr="00092971">
              <w:rPr>
                <w:color w:val="000000"/>
              </w:rPr>
              <w:t xml:space="preserve">   Plant, equipment and vehicles</w:t>
            </w:r>
            <w:r w:rsidRPr="00D21963">
              <w:rPr>
                <w:color w:val="000000"/>
                <w:vertAlign w:val="superscript"/>
              </w:rPr>
              <w:t>(</w:t>
            </w:r>
            <w:r w:rsidRPr="00D21963">
              <w:rPr>
                <w:vertAlign w:val="superscript"/>
              </w:rPr>
              <w:t>a)</w:t>
            </w:r>
          </w:p>
        </w:tc>
        <w:tc>
          <w:tcPr>
            <w:tcW w:w="859"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1 857</w:t>
            </w:r>
          </w:p>
        </w:tc>
        <w:tc>
          <w:tcPr>
            <w:tcW w:w="98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3"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91</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1 766</w:t>
            </w:r>
          </w:p>
        </w:tc>
        <w:tc>
          <w:tcPr>
            <w:tcW w:w="851"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2 163</w:t>
            </w:r>
          </w:p>
        </w:tc>
        <w:tc>
          <w:tcPr>
            <w:tcW w:w="850"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1"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134</w:t>
            </w:r>
          </w:p>
        </w:tc>
        <w:tc>
          <w:tcPr>
            <w:tcW w:w="819"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2 029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Borders>
              <w:bottom w:val="nil"/>
            </w:tcBorders>
          </w:tcPr>
          <w:p w:rsidR="00DF17E9" w:rsidRPr="00092971" w:rsidRDefault="00DF17E9" w:rsidP="00044843">
            <w:pPr>
              <w:ind w:left="113" w:hanging="113"/>
              <w:rPr>
                <w:color w:val="000000"/>
              </w:rPr>
            </w:pPr>
            <w:r w:rsidRPr="00092971">
              <w:rPr>
                <w:b/>
                <w:color w:val="000000"/>
              </w:rPr>
              <w:t>Roads, road infrastructure and earthworks</w:t>
            </w:r>
          </w:p>
        </w:tc>
        <w:tc>
          <w:tcPr>
            <w:tcW w:w="859"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27 106</w:t>
            </w:r>
          </w:p>
        </w:tc>
        <w:tc>
          <w:tcPr>
            <w:tcW w:w="980"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3"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8"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27 106</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27 152</w:t>
            </w:r>
          </w:p>
        </w:tc>
        <w:tc>
          <w:tcPr>
            <w:tcW w:w="850"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1"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354</w:t>
            </w:r>
          </w:p>
        </w:tc>
        <w:tc>
          <w:tcPr>
            <w:tcW w:w="81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26 798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rsidR="00DF17E9" w:rsidRPr="00092971" w:rsidRDefault="00DF17E9" w:rsidP="00044843">
            <w:pPr>
              <w:ind w:left="113" w:hanging="113"/>
              <w:rPr>
                <w:color w:val="000000"/>
              </w:rPr>
            </w:pPr>
            <w:r w:rsidRPr="00092971">
              <w:rPr>
                <w:b/>
                <w:color w:val="000000"/>
              </w:rPr>
              <w:t>Cultural assets</w:t>
            </w:r>
          </w:p>
        </w:tc>
        <w:tc>
          <w:tcPr>
            <w:tcW w:w="859"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5 592</w:t>
            </w:r>
          </w:p>
        </w:tc>
        <w:tc>
          <w:tcPr>
            <w:tcW w:w="980"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3"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1 961</w:t>
            </w:r>
          </w:p>
        </w:tc>
        <w:tc>
          <w:tcPr>
            <w:tcW w:w="708"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3 632</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5 496</w:t>
            </w:r>
          </w:p>
        </w:tc>
        <w:tc>
          <w:tcPr>
            <w:tcW w:w="850"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1"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3 374</w:t>
            </w:r>
          </w:p>
        </w:tc>
        <w:tc>
          <w:tcPr>
            <w:tcW w:w="81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2 122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auto"/>
              <w:bottom w:val="single" w:sz="12" w:space="0" w:color="auto"/>
            </w:tcBorders>
          </w:tcPr>
          <w:p w:rsidR="00DF17E9" w:rsidRPr="00092971" w:rsidRDefault="00DF17E9" w:rsidP="00044843">
            <w:pPr>
              <w:ind w:left="113" w:hanging="113"/>
            </w:pPr>
            <w:r w:rsidRPr="00092971">
              <w:rPr>
                <w:b/>
                <w:color w:val="000000"/>
              </w:rPr>
              <w:t>Total land, buildings, infrastructure, plant and equipment</w:t>
            </w:r>
            <w:r w:rsidRPr="00092971">
              <w:rPr>
                <w:b/>
                <w:color w:val="000000"/>
                <w:vertAlign w:val="superscript"/>
              </w:rPr>
              <w:t>(a)</w:t>
            </w:r>
            <w:r w:rsidRPr="00293172">
              <w:rPr>
                <w:b/>
                <w:color w:val="000000"/>
                <w:vertAlign w:val="superscript"/>
              </w:rPr>
              <w:t>(</w:t>
            </w:r>
            <w:r w:rsidRPr="00293172">
              <w:rPr>
                <w:b/>
                <w:vertAlign w:val="superscript"/>
              </w:rPr>
              <w:t>b)</w:t>
            </w:r>
          </w:p>
        </w:tc>
        <w:tc>
          <w:tcPr>
            <w:tcW w:w="859"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106 833</w:t>
            </w:r>
          </w:p>
        </w:tc>
        <w:tc>
          <w:tcPr>
            <w:tcW w:w="980"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3"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4 254</w:t>
            </w:r>
          </w:p>
        </w:tc>
        <w:tc>
          <w:tcPr>
            <w:tcW w:w="708"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102 579</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100 592</w:t>
            </w:r>
          </w:p>
        </w:tc>
        <w:tc>
          <w:tcPr>
            <w:tcW w:w="850"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1"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5 983</w:t>
            </w:r>
          </w:p>
        </w:tc>
        <w:tc>
          <w:tcPr>
            <w:tcW w:w="81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94 610</w:t>
            </w:r>
          </w:p>
        </w:tc>
      </w:tr>
    </w:tbl>
    <w:p w:rsidR="00DF17E9" w:rsidRDefault="00DF17E9" w:rsidP="00B2148E">
      <w:pPr>
        <w:pStyle w:val="Note"/>
      </w:pPr>
      <w:r>
        <w:t>Notes:</w:t>
      </w:r>
    </w:p>
    <w:p w:rsidR="00DF17E9" w:rsidRDefault="00DF17E9" w:rsidP="00B2148E">
      <w:pPr>
        <w:pStyle w:val="Note"/>
      </w:pPr>
      <w:r>
        <w:t>(a)</w:t>
      </w:r>
      <w:r w:rsidRPr="00054F20">
        <w:t xml:space="preserve"> </w:t>
      </w:r>
      <w:r>
        <w:tab/>
        <w:t>June 2015 comparative figures have been restated to finalise the allocation of equity balances between contributed capital and accumulated funds related to prior year machinery of government changes.</w:t>
      </w:r>
    </w:p>
    <w:p w:rsidR="00DF17E9" w:rsidRDefault="00DF17E9" w:rsidP="00DD16DA">
      <w:pPr>
        <w:pStyle w:val="Note"/>
      </w:pPr>
      <w:r>
        <w:t>(b)</w:t>
      </w:r>
      <w:r>
        <w:tab/>
        <w:t xml:space="preserve">The general government sector’s total land, building, infrastructure, plant and equipment in this table excludes leased and construction in progress assets, which are valued at cost. The total of excluded assets is $7 421 </w:t>
      </w:r>
      <w:r w:rsidRPr="001E65D9">
        <w:t>million (2015: $</w:t>
      </w:r>
      <w:r>
        <w:t xml:space="preserve">6 970  </w:t>
      </w:r>
      <w:r w:rsidRPr="001E65D9">
        <w:t>million).</w:t>
      </w:r>
    </w:p>
    <w:p w:rsidR="00DF17E9" w:rsidRDefault="00DF17E9" w:rsidP="002957A0">
      <w:pPr>
        <w:pStyle w:val="Subheading"/>
        <w:sectPr w:rsidR="00DF17E9" w:rsidSect="00044843">
          <w:type w:val="continuous"/>
          <w:pgSz w:w="11906" w:h="16838" w:code="9"/>
          <w:pgMar w:top="1134" w:right="1134" w:bottom="1134" w:left="1134" w:header="624" w:footer="567" w:gutter="0"/>
          <w:cols w:space="708"/>
          <w:docGrid w:linePitch="360"/>
        </w:sectPr>
      </w:pPr>
    </w:p>
    <w:p w:rsidR="00DF17E9" w:rsidRPr="00092971" w:rsidRDefault="00DF17E9" w:rsidP="00044843">
      <w:pPr>
        <w:pStyle w:val="Subheading"/>
        <w:rPr>
          <w:rStyle w:val="TableUnitsChar"/>
          <w:bCs/>
          <w:lang w:val="en-US"/>
        </w:rPr>
      </w:pPr>
      <w:r w:rsidRPr="003A6EC7">
        <w:lastRenderedPageBreak/>
        <w:t>Reconciliation of Level 3 fair value movements</w:t>
      </w:r>
      <w:r>
        <w:tab/>
      </w:r>
      <w:r>
        <w:tab/>
      </w:r>
      <w:r w:rsidRPr="002957A0">
        <w:rPr>
          <w:rStyle w:val="TableUnitsChar"/>
        </w:rPr>
        <w:t>($ million)</w:t>
      </w:r>
    </w:p>
    <w:tbl>
      <w:tblPr>
        <w:tblStyle w:val="TableDTFGeneral"/>
        <w:tblW w:w="14740" w:type="dxa"/>
        <w:tblLayout w:type="fixed"/>
        <w:tblLook w:val="02A0" w:firstRow="1" w:lastRow="0" w:firstColumn="1" w:lastColumn="0" w:noHBand="1" w:noVBand="0"/>
      </w:tblPr>
      <w:tblGrid>
        <w:gridCol w:w="4424"/>
        <w:gridCol w:w="992"/>
        <w:gridCol w:w="1108"/>
        <w:gridCol w:w="1018"/>
        <w:gridCol w:w="1502"/>
        <w:gridCol w:w="1050"/>
        <w:gridCol w:w="1078"/>
        <w:gridCol w:w="1357"/>
        <w:gridCol w:w="1316"/>
        <w:gridCol w:w="895"/>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FFFFFF"/>
              </w:rPr>
            </w:pPr>
            <w:r w:rsidRPr="00092971">
              <w:rPr>
                <w:color w:val="FFFFFF"/>
              </w:rPr>
              <w:t>State of Victoria</w:t>
            </w:r>
          </w:p>
          <w:p w:rsidR="00DF17E9" w:rsidRPr="00092971" w:rsidRDefault="00DF17E9" w:rsidP="00044843">
            <w:pPr>
              <w:spacing w:after="0"/>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FFFFFF"/>
              </w:rPr>
            </w:pPr>
            <w:r w:rsidRPr="00092971">
              <w:rPr>
                <w:color w:val="FFFFFF"/>
              </w:rPr>
              <w:t>Opening balance</w:t>
            </w:r>
          </w:p>
        </w:tc>
        <w:tc>
          <w:tcPr>
            <w:tcW w:w="1108" w:type="dxa"/>
          </w:tcPr>
          <w:p w:rsidR="00DF17E9" w:rsidRPr="00092971"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Depreciation</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FFFFFF"/>
              </w:rPr>
            </w:pPr>
            <w:r w:rsidRPr="00092971">
              <w:rPr>
                <w:color w:val="FFFFFF"/>
              </w:rPr>
              <w:t>Impairment</w:t>
            </w:r>
          </w:p>
        </w:tc>
        <w:tc>
          <w:tcPr>
            <w:tcW w:w="1502" w:type="dxa"/>
          </w:tcPr>
          <w:p w:rsidR="00DF17E9" w:rsidRPr="00092971"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Assets recognised for the first time</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FFFFFF"/>
              </w:rPr>
            </w:pPr>
            <w:r w:rsidRPr="00092971">
              <w:rPr>
                <w:color w:val="FFFFFF"/>
              </w:rPr>
              <w:t>Revaluation</w:t>
            </w:r>
          </w:p>
        </w:tc>
        <w:tc>
          <w:tcPr>
            <w:tcW w:w="1078" w:type="dxa"/>
          </w:tcPr>
          <w:p w:rsidR="00DF17E9" w:rsidRPr="00092971"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Acquisitions/ (Disposals)</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14179F">
            <w:pPr>
              <w:spacing w:after="0"/>
              <w:rPr>
                <w:color w:val="FFFFFF"/>
              </w:rPr>
            </w:pPr>
            <w:r w:rsidRPr="00092971">
              <w:rPr>
                <w:color w:val="FFFFFF"/>
              </w:rPr>
              <w:t>Transfers in/out of Level 3</w:t>
            </w:r>
          </w:p>
        </w:tc>
        <w:tc>
          <w:tcPr>
            <w:tcW w:w="1316" w:type="dxa"/>
          </w:tcPr>
          <w:p w:rsidR="00DF17E9" w:rsidRPr="00092971"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Reclassification</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FFFFFF"/>
              </w:rPr>
            </w:pPr>
            <w:r w:rsidRPr="00092971">
              <w:rPr>
                <w:color w:val="FFFFFF"/>
              </w:rPr>
              <w:t>Closing balance</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000000"/>
              </w:rPr>
            </w:pPr>
            <w:r w:rsidRPr="00092971">
              <w:rPr>
                <w:b/>
                <w:color w:val="000000"/>
              </w:rPr>
              <w:t>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b/>
                <w:color w:val="000000"/>
              </w:rPr>
              <w:t>31 386</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(1 170)</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b/>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67</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b/>
                <w:color w:val="000000"/>
              </w:rPr>
              <w:t>2 380</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653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b/>
                <w:color w:val="000000"/>
              </w:rPr>
              <w:t>72</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300</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b/>
                <w:color w:val="000000"/>
              </w:rPr>
              <w:t>33 687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Non-specialised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2 821</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(84)</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52</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91</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(751)</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19</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(11)</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2 138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27 662</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(1 055)</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15</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2 043</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1 380</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14</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314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30 372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Heritage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pPr>
            <w:r w:rsidRPr="00092971">
              <w:rPr>
                <w:color w:val="000000"/>
              </w:rPr>
              <w:t>902</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(31)</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245</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25</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39</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1 177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000000"/>
              </w:rPr>
            </w:pPr>
            <w:r w:rsidRPr="00092971">
              <w:rPr>
                <w:b/>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b/>
                <w:color w:val="000000"/>
              </w:rPr>
              <w:t>48 528</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b/>
                <w:color w:val="000000"/>
              </w:rPr>
              <w:t>(54)</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53</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b/>
                <w:color w:val="000000"/>
              </w:rPr>
              <w:t>4 692</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(113)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61F46" w:rsidRDefault="00DF17E9" w:rsidP="00044843">
            <w:pPr>
              <w:spacing w:after="0"/>
              <w:rPr>
                <w:b/>
              </w:rPr>
            </w:pPr>
            <w:r w:rsidRPr="00061F46">
              <w:rPr>
                <w:b/>
                <w:color w:val="000000"/>
              </w:rPr>
              <w:t>(</w:t>
            </w:r>
            <w:r w:rsidRPr="00061F46">
              <w:rPr>
                <w:b/>
              </w:rPr>
              <w:t>1 935)</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(12)</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b/>
                <w:color w:val="000000"/>
              </w:rPr>
              <w:t>51 157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Non-specialised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1 998</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56</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(293)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(17)</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1 746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27 667</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(54)</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51</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4 664</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176</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w:t>
            </w:r>
            <w:r w:rsidRPr="00092971">
              <w:t>1 935)</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30 563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Land under roads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17 801</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17 811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National parks and other ‘</w:t>
            </w:r>
            <w:r w:rsidR="00DF17E9" w:rsidRPr="00092971">
              <w:rPr>
                <w:color w:val="000000"/>
              </w:rPr>
              <w:t>land only’ holdings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1 062</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(29)</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1 036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000000"/>
              </w:rPr>
            </w:pPr>
            <w:r w:rsidRPr="00092971">
              <w:rPr>
                <w:b/>
                <w:color w:val="000000"/>
              </w:rPr>
              <w:t xml:space="preserve">Plant, equipment, vehicles and infrastructure systems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b/>
                <w:color w:val="000000"/>
              </w:rPr>
              <w:t>53 534</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(2 032)</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b/>
                <w:color w:val="000000"/>
              </w:rPr>
              <w:t>(2)</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142</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b/>
                <w:color w:val="000000"/>
              </w:rPr>
              <w:t>6 495</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2 243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b/>
                <w:color w:val="000000"/>
              </w:rPr>
              <w:t>47</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(64)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b/>
                <w:color w:val="000000"/>
              </w:rPr>
              <w:t>60 363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47 727</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(1 294)</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(2)</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87</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6 498</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1 714</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27</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54 747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Rolling stock</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2 126</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(159)</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300</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2 267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3 681</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(579)</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55</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(3)</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229</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20</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3 348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bottom w:val="nil"/>
            </w:tcBorders>
          </w:tcPr>
          <w:p w:rsidR="00DF17E9" w:rsidRPr="00092971" w:rsidRDefault="00DF17E9" w:rsidP="00044843">
            <w:pPr>
              <w:spacing w:after="0"/>
              <w:ind w:left="0" w:firstLine="0"/>
              <w:rPr>
                <w:color w:val="000000"/>
              </w:rPr>
            </w:pPr>
            <w:r w:rsidRPr="00092971">
              <w:rPr>
                <w:b/>
                <w:color w:val="000000"/>
              </w:rPr>
              <w:t>Roads, road infrastructure and earthworks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pPr>
              <w:spacing w:after="0"/>
              <w:rPr>
                <w:color w:val="000000"/>
              </w:rPr>
            </w:pPr>
            <w:r w:rsidRPr="00092971">
              <w:rPr>
                <w:b/>
                <w:color w:val="000000"/>
              </w:rPr>
              <w:t>26 864</w:t>
            </w:r>
          </w:p>
        </w:tc>
        <w:tc>
          <w:tcPr>
            <w:tcW w:w="1108"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(608)</w:t>
            </w:r>
          </w:p>
        </w:tc>
        <w:tc>
          <w:tcPr>
            <w:cnfStyle w:val="000010000000" w:firstRow="0" w:lastRow="0" w:firstColumn="0" w:lastColumn="0" w:oddVBand="1" w:evenVBand="0" w:oddHBand="0" w:evenHBand="0" w:firstRowFirstColumn="0" w:firstRowLastColumn="0" w:lastRowFirstColumn="0" w:lastRowLastColumn="0"/>
            <w:tcW w:w="1018" w:type="dxa"/>
            <w:tcBorders>
              <w:bottom w:val="nil"/>
            </w:tcBorders>
          </w:tcPr>
          <w:p w:rsidR="00DF17E9" w:rsidRPr="00092971" w:rsidRDefault="00DF17E9" w:rsidP="00044843">
            <w:pPr>
              <w:spacing w:after="0"/>
            </w:pPr>
            <w:r w:rsidRPr="00092971">
              <w:rPr>
                <w:b/>
                <w:color w:val="000000"/>
              </w:rPr>
              <w:t>(48)</w:t>
            </w:r>
          </w:p>
        </w:tc>
        <w:tc>
          <w:tcPr>
            <w:tcW w:w="150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50" w:type="dxa"/>
            <w:tcBorders>
              <w:bottom w:val="nil"/>
            </w:tcBorders>
          </w:tcPr>
          <w:p w:rsidR="00DF17E9" w:rsidRPr="00092971" w:rsidRDefault="00DF17E9" w:rsidP="00044843">
            <w:pPr>
              <w:spacing w:after="0"/>
            </w:pPr>
            <w:r w:rsidRPr="00092971">
              <w:rPr>
                <w:b/>
                <w:color w:val="000000"/>
              </w:rPr>
              <w:t>(201)</w:t>
            </w:r>
          </w:p>
        </w:tc>
        <w:tc>
          <w:tcPr>
            <w:tcW w:w="1078"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386</w:t>
            </w:r>
          </w:p>
        </w:tc>
        <w:tc>
          <w:tcPr>
            <w:cnfStyle w:val="000010000000" w:firstRow="0" w:lastRow="0" w:firstColumn="0" w:lastColumn="0" w:oddVBand="1" w:evenVBand="0" w:oddHBand="0" w:evenHBand="0" w:firstRowFirstColumn="0" w:firstRowLastColumn="0" w:lastRowFirstColumn="0" w:lastRowLastColumn="0"/>
            <w:tcW w:w="1357" w:type="dxa"/>
            <w:tcBorders>
              <w:bottom w:val="nil"/>
            </w:tcBorders>
          </w:tcPr>
          <w:p w:rsidR="00DF17E9" w:rsidRPr="00092971" w:rsidRDefault="00DF17E9" w:rsidP="00044843">
            <w:pPr>
              <w:spacing w:after="0"/>
              <w:rPr>
                <w:color w:val="000000"/>
              </w:rPr>
            </w:pPr>
            <w:r w:rsidRPr="00092971">
              <w:rPr>
                <w:b/>
                <w:color w:val="000000"/>
              </w:rPr>
              <w:t>..</w:t>
            </w:r>
          </w:p>
        </w:tc>
        <w:tc>
          <w:tcPr>
            <w:tcW w:w="1316"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782</w:t>
            </w:r>
          </w:p>
        </w:tc>
        <w:tc>
          <w:tcPr>
            <w:cnfStyle w:val="000010000000" w:firstRow="0" w:lastRow="0" w:firstColumn="0" w:lastColumn="0" w:oddVBand="1" w:evenVBand="0" w:oddHBand="0" w:evenHBand="0" w:firstRowFirstColumn="0" w:firstRowLastColumn="0" w:lastRowFirstColumn="0" w:lastRowLastColumn="0"/>
            <w:tcW w:w="895" w:type="dxa"/>
            <w:tcBorders>
              <w:bottom w:val="nil"/>
            </w:tcBorders>
          </w:tcPr>
          <w:p w:rsidR="00DF17E9" w:rsidRPr="00092971" w:rsidRDefault="00DF17E9" w:rsidP="00044843">
            <w:pPr>
              <w:spacing w:after="0"/>
              <w:rPr>
                <w:color w:val="000000"/>
              </w:rPr>
            </w:pPr>
            <w:r w:rsidRPr="00092971">
              <w:rPr>
                <w:b/>
                <w:color w:val="000000"/>
              </w:rPr>
              <w:t>27 175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rsidR="00DF17E9" w:rsidRPr="00092971" w:rsidRDefault="00DF17E9" w:rsidP="00044843">
            <w:pPr>
              <w:spacing w:after="0"/>
              <w:ind w:left="0" w:firstLine="0"/>
              <w:rPr>
                <w:color w:val="000000"/>
              </w:rPr>
            </w:pPr>
            <w:r w:rsidRPr="00092971">
              <w:rPr>
                <w:b/>
                <w:color w:val="000000"/>
              </w:rPr>
              <w:t>Cultural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pPr>
              <w:spacing w:after="0"/>
              <w:rPr>
                <w:color w:val="000000"/>
              </w:rPr>
            </w:pPr>
            <w:r w:rsidRPr="00092971">
              <w:rPr>
                <w:b/>
                <w:color w:val="000000"/>
              </w:rPr>
              <w:t>2 122</w:t>
            </w:r>
          </w:p>
        </w:tc>
        <w:tc>
          <w:tcPr>
            <w:tcW w:w="1108"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(12)</w:t>
            </w:r>
          </w:p>
        </w:tc>
        <w:tc>
          <w:tcPr>
            <w:cnfStyle w:val="000010000000" w:firstRow="0" w:lastRow="0" w:firstColumn="0" w:lastColumn="0" w:oddVBand="1" w:evenVBand="0" w:oddHBand="0" w:evenHBand="0" w:firstRowFirstColumn="0" w:firstRowLastColumn="0" w:lastRowFirstColumn="0" w:lastRowLastColumn="0"/>
            <w:tcW w:w="1018" w:type="dxa"/>
            <w:tcBorders>
              <w:bottom w:val="single" w:sz="6" w:space="0" w:color="auto"/>
            </w:tcBorders>
          </w:tcPr>
          <w:p w:rsidR="00DF17E9" w:rsidRPr="00092971" w:rsidRDefault="00DF17E9" w:rsidP="00044843">
            <w:pPr>
              <w:spacing w:after="0"/>
              <w:rPr>
                <w:color w:val="000000"/>
              </w:rPr>
            </w:pPr>
            <w:r w:rsidRPr="00092971">
              <w:rPr>
                <w:b/>
                <w:color w:val="000000"/>
              </w:rPr>
              <w:t>..</w:t>
            </w:r>
          </w:p>
        </w:tc>
        <w:tc>
          <w:tcPr>
            <w:tcW w:w="150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50" w:type="dxa"/>
            <w:tcBorders>
              <w:bottom w:val="single" w:sz="6" w:space="0" w:color="auto"/>
            </w:tcBorders>
          </w:tcPr>
          <w:p w:rsidR="00DF17E9" w:rsidRPr="00092971" w:rsidRDefault="00DF17E9" w:rsidP="00044843">
            <w:pPr>
              <w:spacing w:after="0"/>
            </w:pPr>
            <w:r w:rsidRPr="00092971">
              <w:rPr>
                <w:b/>
                <w:color w:val="000000"/>
              </w:rPr>
              <w:t>(86)</w:t>
            </w:r>
          </w:p>
        </w:tc>
        <w:tc>
          <w:tcPr>
            <w:tcW w:w="1078"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2</w:t>
            </w:r>
          </w:p>
        </w:tc>
        <w:tc>
          <w:tcPr>
            <w:cnfStyle w:val="000010000000" w:firstRow="0" w:lastRow="0" w:firstColumn="0" w:lastColumn="0" w:oddVBand="1" w:evenVBand="0" w:oddHBand="0" w:evenHBand="0" w:firstRowFirstColumn="0" w:firstRowLastColumn="0" w:lastRowFirstColumn="0" w:lastRowLastColumn="0"/>
            <w:tcW w:w="1357" w:type="dxa"/>
            <w:tcBorders>
              <w:bottom w:val="single" w:sz="6" w:space="0" w:color="auto"/>
            </w:tcBorders>
          </w:tcPr>
          <w:p w:rsidR="00DF17E9" w:rsidRPr="00092971" w:rsidRDefault="00DF17E9" w:rsidP="00044843">
            <w:pPr>
              <w:spacing w:after="0"/>
              <w:rPr>
                <w:color w:val="000000"/>
              </w:rPr>
            </w:pPr>
            <w:r w:rsidRPr="00092971">
              <w:rPr>
                <w:b/>
                <w:color w:val="000000"/>
              </w:rPr>
              <w:t>1 557</w:t>
            </w:r>
          </w:p>
        </w:tc>
        <w:tc>
          <w:tcPr>
            <w:tcW w:w="1316"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48</w:t>
            </w:r>
          </w:p>
        </w:tc>
        <w:tc>
          <w:tcPr>
            <w:cnfStyle w:val="000010000000" w:firstRow="0" w:lastRow="0" w:firstColumn="0" w:lastColumn="0" w:oddVBand="1" w:evenVBand="0" w:oddHBand="0" w:evenHBand="0" w:firstRowFirstColumn="0" w:firstRowLastColumn="0" w:lastRowFirstColumn="0" w:lastRowLastColumn="0"/>
            <w:tcW w:w="895" w:type="dxa"/>
            <w:tcBorders>
              <w:bottom w:val="single" w:sz="6" w:space="0" w:color="auto"/>
            </w:tcBorders>
          </w:tcPr>
          <w:p w:rsidR="00DF17E9" w:rsidRPr="00092971" w:rsidRDefault="00DF17E9" w:rsidP="00044843">
            <w:pPr>
              <w:spacing w:after="0"/>
              <w:rPr>
                <w:color w:val="000000"/>
              </w:rPr>
            </w:pPr>
            <w:r w:rsidRPr="00092971">
              <w:rPr>
                <w:b/>
                <w:color w:val="000000"/>
              </w:rPr>
              <w:t>3 632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rsidR="00DF17E9" w:rsidRPr="00092971" w:rsidRDefault="00DF17E9" w:rsidP="00044843">
            <w:pPr>
              <w:spacing w:after="0"/>
              <w:ind w:left="0" w:firstLine="0"/>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162 433</w:t>
            </w:r>
          </w:p>
        </w:tc>
        <w:tc>
          <w:tcPr>
            <w:tcW w:w="1108"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(3 821)</w:t>
            </w:r>
          </w:p>
        </w:tc>
        <w:tc>
          <w:tcPr>
            <w:cnfStyle w:val="000010000000" w:firstRow="0" w:lastRow="0" w:firstColumn="0" w:lastColumn="0" w:oddVBand="1" w:evenVBand="0" w:oddHBand="0" w:evenHBand="0" w:firstRowFirstColumn="0" w:firstRowLastColumn="0" w:lastRowFirstColumn="0" w:lastRowLastColumn="0"/>
            <w:tcW w:w="1018" w:type="dxa"/>
            <w:tcBorders>
              <w:top w:val="single" w:sz="6" w:space="0" w:color="auto"/>
              <w:bottom w:val="single" w:sz="12" w:space="0" w:color="auto"/>
            </w:tcBorders>
          </w:tcPr>
          <w:p w:rsidR="00DF17E9" w:rsidRPr="00092971" w:rsidRDefault="00DF17E9" w:rsidP="00044843">
            <w:pPr>
              <w:spacing w:after="0"/>
            </w:pPr>
            <w:r w:rsidRPr="00092971">
              <w:rPr>
                <w:b/>
                <w:color w:val="000000"/>
              </w:rPr>
              <w:t>(105)</w:t>
            </w:r>
          </w:p>
        </w:tc>
        <w:tc>
          <w:tcPr>
            <w:tcW w:w="1502"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262</w:t>
            </w:r>
          </w:p>
        </w:tc>
        <w:tc>
          <w:tcPr>
            <w:cnfStyle w:val="000010000000" w:firstRow="0" w:lastRow="0" w:firstColumn="0" w:lastColumn="0" w:oddVBand="1" w:evenVBand="0" w:oddHBand="0" w:evenHBand="0" w:firstRowFirstColumn="0" w:firstRowLastColumn="0" w:lastRowFirstColumn="0" w:lastRowLastColumn="0"/>
            <w:tcW w:w="1050"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13 279</w:t>
            </w:r>
          </w:p>
        </w:tc>
        <w:tc>
          <w:tcPr>
            <w:tcW w:w="1078"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3 172</w:t>
            </w:r>
          </w:p>
        </w:tc>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auto"/>
              <w:bottom w:val="single" w:sz="12" w:space="0" w:color="auto"/>
            </w:tcBorders>
          </w:tcPr>
          <w:p w:rsidR="00DF17E9" w:rsidRPr="00092971" w:rsidRDefault="00DF17E9" w:rsidP="00044843">
            <w:pPr>
              <w:spacing w:after="0"/>
            </w:pPr>
            <w:r w:rsidRPr="00092971">
              <w:rPr>
                <w:b/>
                <w:color w:val="000000"/>
              </w:rPr>
              <w:t>(260)</w:t>
            </w:r>
          </w:p>
        </w:tc>
        <w:tc>
          <w:tcPr>
            <w:tcW w:w="1316"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b/>
              </w:rPr>
            </w:pPr>
            <w:r w:rsidRPr="00092971">
              <w:rPr>
                <w:b/>
                <w:color w:val="000000"/>
              </w:rPr>
              <w:t xml:space="preserve">1 </w:t>
            </w:r>
            <w:r w:rsidRPr="00092971">
              <w:rPr>
                <w:b/>
              </w:rPr>
              <w:t>055</w:t>
            </w:r>
          </w:p>
        </w:tc>
        <w:tc>
          <w:tcPr>
            <w:cnfStyle w:val="000010000000" w:firstRow="0" w:lastRow="0" w:firstColumn="0" w:lastColumn="0" w:oddVBand="1" w:evenVBand="0" w:oddHBand="0" w:evenHBand="0" w:firstRowFirstColumn="0" w:firstRowLastColumn="0" w:lastRowFirstColumn="0" w:lastRowLastColumn="0"/>
            <w:tcW w:w="895"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176 014</w:t>
            </w:r>
          </w:p>
        </w:tc>
      </w:tr>
    </w:tbl>
    <w:p w:rsidR="00DF17E9" w:rsidRPr="00092971" w:rsidRDefault="00DF17E9" w:rsidP="00044843">
      <w:pPr>
        <w:rPr>
          <w:rFonts w:asciiTheme="majorHAnsi" w:hAnsiTheme="majorHAnsi"/>
          <w:b/>
          <w:bCs/>
          <w:color w:val="000000"/>
          <w:spacing w:val="4"/>
          <w:sz w:val="17"/>
          <w:lang w:val="en-US"/>
        </w:rPr>
      </w:pPr>
    </w:p>
    <w:tbl>
      <w:tblPr>
        <w:tblStyle w:val="TableDTFGeneral"/>
        <w:tblW w:w="14740" w:type="dxa"/>
        <w:tblLayout w:type="fixed"/>
        <w:tblLook w:val="02A0" w:firstRow="1" w:lastRow="0" w:firstColumn="1" w:lastColumn="0" w:noHBand="1" w:noVBand="0"/>
      </w:tblPr>
      <w:tblGrid>
        <w:gridCol w:w="4424"/>
        <w:gridCol w:w="992"/>
        <w:gridCol w:w="1108"/>
        <w:gridCol w:w="1018"/>
        <w:gridCol w:w="1502"/>
        <w:gridCol w:w="1050"/>
        <w:gridCol w:w="1078"/>
        <w:gridCol w:w="1357"/>
        <w:gridCol w:w="1316"/>
        <w:gridCol w:w="895"/>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FFFFFF"/>
              </w:rPr>
            </w:pPr>
          </w:p>
        </w:tc>
        <w:tc>
          <w:tcPr>
            <w:tcW w:w="110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rPr>
                <w:color w:val="FFFFFF"/>
              </w:rPr>
            </w:pPr>
          </w:p>
        </w:tc>
        <w:tc>
          <w:tcPr>
            <w:tcW w:w="150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rPr>
                <w:color w:val="FFFFFF"/>
              </w:rPr>
            </w:pPr>
          </w:p>
        </w:tc>
        <w:tc>
          <w:tcPr>
            <w:tcW w:w="107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rPr>
                <w:color w:val="FFFFFF"/>
              </w:rPr>
            </w:pPr>
          </w:p>
        </w:tc>
        <w:tc>
          <w:tcPr>
            <w:tcW w:w="1316"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FFFFFF"/>
              </w:rPr>
            </w:pP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000000"/>
              </w:rPr>
            </w:pPr>
            <w:r w:rsidRPr="00092971">
              <w:rPr>
                <w:b/>
                <w:color w:val="000000"/>
              </w:rPr>
              <w:t>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b/>
                <w:color w:val="000000"/>
              </w:rPr>
              <w:t>27 766</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(1 029)</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b/>
                <w:color w:val="000000"/>
              </w:rPr>
              <w:t>(15)</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100</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b/>
                <w:color w:val="000000"/>
              </w:rPr>
              <w:t>409</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2 725</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b/>
                <w:color w:val="000000"/>
              </w:rPr>
              <w:t>628</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802</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b/>
                <w:color w:val="000000"/>
              </w:rPr>
              <w:t>31 386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Non-specialised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2 871</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(166)</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6</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94</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17</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2 821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23 677</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(826)</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(15)</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98</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403</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2 613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929</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784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27 662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Heritage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1 218</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(36)</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(301)</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pPr>
            <w:r w:rsidRPr="00092971">
              <w:rPr>
                <w:color w:val="000000"/>
              </w:rPr>
              <w:t>902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000000"/>
              </w:rPr>
            </w:pPr>
            <w:r w:rsidRPr="00092971">
              <w:rPr>
                <w:b/>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b/>
                <w:color w:val="000000"/>
              </w:rPr>
              <w:t>42 156</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b/>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32</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b/>
                <w:color w:val="000000"/>
              </w:rPr>
              <w:t>5 333</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(156)</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b/>
                <w:color w:val="000000"/>
              </w:rPr>
              <w:t>1 175</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(13)</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b/>
                <w:color w:val="000000"/>
              </w:rPr>
              <w:t>48 528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Non-specialised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1 949</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79</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16</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(11)</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(36)</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1 998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22 628</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32</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3 410</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(218)</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1 186</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629</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27 667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Land under roads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15 893</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1 844</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46</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17 801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rPr>
                <w:color w:val="000000"/>
              </w:rPr>
            </w:pPr>
            <w:r w:rsidRPr="00092971">
              <w:rPr>
                <w:color w:val="000000"/>
              </w:rPr>
              <w:t>National parks and other ’land only’ holdings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1 685</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(624)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1 062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spacing w:after="0"/>
              <w:ind w:left="0" w:firstLine="0"/>
            </w:pPr>
            <w:r w:rsidRPr="00092971">
              <w:rPr>
                <w:b/>
                <w:color w:val="000000"/>
              </w:rPr>
              <w:t>Plant, equipment, vehicles and infrastructure systems</w:t>
            </w:r>
            <w:r w:rsidRPr="00AD3C0F">
              <w:rPr>
                <w:color w:val="000000"/>
                <w:vertAlign w:val="superscript"/>
              </w:rPr>
              <w:t>(</w:t>
            </w:r>
            <w:r w:rsidRPr="00AD3C0F">
              <w:rPr>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b/>
                <w:color w:val="000000"/>
              </w:rPr>
              <w:t>48 772</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(1 945)</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b/>
                <w:color w:val="000000"/>
              </w:rPr>
              <w:t>(6)</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174</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b/>
                <w:color w:val="000000"/>
              </w:rPr>
              <w:t>1 577</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4 424</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b/>
                <w:color w:val="000000"/>
              </w:rPr>
              <w:t>61</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476</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b/>
                <w:color w:val="000000"/>
              </w:rPr>
              <w:t>53 534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43 489</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(1 100)</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(3)</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68</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rPr>
                <w:color w:val="000000"/>
              </w:rPr>
            </w:pPr>
            <w:r w:rsidRPr="00092971">
              <w:rPr>
                <w:color w:val="000000"/>
              </w:rPr>
              <w:t>1 464</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3 853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6</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(51)</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47 727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rPr>
            </w:pPr>
            <w:r>
              <w:rPr>
                <w:color w:val="000000"/>
              </w:rPr>
              <w:t xml:space="preserve">   </w:t>
            </w:r>
            <w:r w:rsidR="00DF17E9" w:rsidRPr="00092971">
              <w:rPr>
                <w:color w:val="000000"/>
              </w:rPr>
              <w:t>Rolling stock</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2 556</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(137)</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rPr>
                <w:color w:val="000000"/>
              </w:rPr>
            </w:pPr>
            <w:r w:rsidRPr="00092971">
              <w:rPr>
                <w:color w:val="000000"/>
              </w:rPr>
              <w:t>..</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68</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(350)</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rPr>
                <w:color w:val="000000"/>
              </w:rPr>
            </w:pPr>
            <w:r w:rsidRPr="00092971">
              <w:rPr>
                <w:color w:val="000000"/>
              </w:rPr>
              <w:t>..</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2 126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spacing w:after="0"/>
              <w:ind w:left="0" w:firstLine="0"/>
              <w:rPr>
                <w:color w:val="000000"/>
                <w:vertAlign w:val="superscript"/>
              </w:rPr>
            </w:pPr>
            <w:r>
              <w:rPr>
                <w:color w:val="000000"/>
              </w:rPr>
              <w:t xml:space="preserve">   </w:t>
            </w:r>
            <w:r w:rsidR="00DF17E9" w:rsidRPr="00092971">
              <w:rPr>
                <w:color w:val="000000"/>
              </w:rPr>
              <w:t>Plant, equipment and vehicles</w:t>
            </w:r>
            <w:r w:rsidR="00DF17E9" w:rsidRPr="0059166E">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spacing w:after="0"/>
              <w:rPr>
                <w:color w:val="000000"/>
              </w:rPr>
            </w:pPr>
            <w:r w:rsidRPr="00092971">
              <w:rPr>
                <w:color w:val="000000"/>
              </w:rPr>
              <w:t>2 727</w:t>
            </w:r>
          </w:p>
        </w:tc>
        <w:tc>
          <w:tcPr>
            <w:tcW w:w="110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(708)</w:t>
            </w:r>
          </w:p>
        </w:tc>
        <w:tc>
          <w:tcPr>
            <w:cnfStyle w:val="000010000000" w:firstRow="0" w:lastRow="0" w:firstColumn="0" w:lastColumn="0" w:oddVBand="1" w:evenVBand="0" w:oddHBand="0" w:evenHBand="0" w:firstRowFirstColumn="0" w:firstRowLastColumn="0" w:lastRowFirstColumn="0" w:lastRowLastColumn="0"/>
            <w:tcW w:w="1018" w:type="dxa"/>
          </w:tcPr>
          <w:p w:rsidR="00DF17E9" w:rsidRPr="00092971" w:rsidRDefault="00DF17E9" w:rsidP="00044843">
            <w:pPr>
              <w:spacing w:after="0"/>
            </w:pPr>
            <w:r w:rsidRPr="00092971">
              <w:rPr>
                <w:color w:val="000000"/>
              </w:rPr>
              <w:t>(2)</w:t>
            </w:r>
          </w:p>
        </w:tc>
        <w:tc>
          <w:tcPr>
            <w:tcW w:w="1502"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106</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spacing w:after="0"/>
            </w:pPr>
            <w:r w:rsidRPr="00092971">
              <w:rPr>
                <w:color w:val="000000"/>
              </w:rPr>
              <w:t>45</w:t>
            </w:r>
          </w:p>
        </w:tc>
        <w:tc>
          <w:tcPr>
            <w:tcW w:w="1078"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921</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spacing w:after="0"/>
            </w:pPr>
            <w:r w:rsidRPr="00092971">
              <w:rPr>
                <w:color w:val="000000"/>
              </w:rPr>
              <w:t>55</w:t>
            </w:r>
          </w:p>
        </w:tc>
        <w:tc>
          <w:tcPr>
            <w:tcW w:w="1316" w:type="dxa"/>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color w:val="000000"/>
              </w:rPr>
              <w:t>538</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spacing w:after="0"/>
              <w:rPr>
                <w:color w:val="000000"/>
              </w:rPr>
            </w:pPr>
            <w:r w:rsidRPr="00092971">
              <w:rPr>
                <w:color w:val="000000"/>
              </w:rPr>
              <w:t>3 681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bottom w:val="nil"/>
            </w:tcBorders>
          </w:tcPr>
          <w:p w:rsidR="00DF17E9" w:rsidRPr="00092971" w:rsidRDefault="00DF17E9" w:rsidP="00044843">
            <w:pPr>
              <w:spacing w:after="0"/>
              <w:ind w:left="0" w:firstLine="0"/>
              <w:rPr>
                <w:color w:val="000000"/>
              </w:rPr>
            </w:pPr>
            <w:r w:rsidRPr="00092971">
              <w:rPr>
                <w:b/>
                <w:color w:val="000000"/>
              </w:rPr>
              <w:t>Roads, road infrastructure and earthworks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pPr>
              <w:spacing w:after="0"/>
              <w:rPr>
                <w:color w:val="000000"/>
              </w:rPr>
            </w:pPr>
            <w:r w:rsidRPr="00092971">
              <w:rPr>
                <w:b/>
                <w:color w:val="000000"/>
              </w:rPr>
              <w:t>28 271</w:t>
            </w:r>
          </w:p>
        </w:tc>
        <w:tc>
          <w:tcPr>
            <w:tcW w:w="1108"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(539)</w:t>
            </w:r>
          </w:p>
        </w:tc>
        <w:tc>
          <w:tcPr>
            <w:cnfStyle w:val="000010000000" w:firstRow="0" w:lastRow="0" w:firstColumn="0" w:lastColumn="0" w:oddVBand="1" w:evenVBand="0" w:oddHBand="0" w:evenHBand="0" w:firstRowFirstColumn="0" w:firstRowLastColumn="0" w:lastRowFirstColumn="0" w:lastRowLastColumn="0"/>
            <w:tcW w:w="1018" w:type="dxa"/>
            <w:tcBorders>
              <w:bottom w:val="nil"/>
            </w:tcBorders>
          </w:tcPr>
          <w:p w:rsidR="00DF17E9" w:rsidRPr="00092971" w:rsidRDefault="00DF17E9" w:rsidP="00044843">
            <w:pPr>
              <w:spacing w:after="0"/>
            </w:pPr>
            <w:r w:rsidRPr="00092971">
              <w:rPr>
                <w:b/>
                <w:color w:val="000000"/>
              </w:rPr>
              <w:t>..</w:t>
            </w:r>
          </w:p>
        </w:tc>
        <w:tc>
          <w:tcPr>
            <w:tcW w:w="1502"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6</w:t>
            </w:r>
          </w:p>
        </w:tc>
        <w:tc>
          <w:tcPr>
            <w:cnfStyle w:val="000010000000" w:firstRow="0" w:lastRow="0" w:firstColumn="0" w:lastColumn="0" w:oddVBand="1" w:evenVBand="0" w:oddHBand="0" w:evenHBand="0" w:firstRowFirstColumn="0" w:firstRowLastColumn="0" w:lastRowFirstColumn="0" w:lastRowLastColumn="0"/>
            <w:tcW w:w="1050" w:type="dxa"/>
            <w:tcBorders>
              <w:bottom w:val="nil"/>
            </w:tcBorders>
          </w:tcPr>
          <w:p w:rsidR="00DF17E9" w:rsidRPr="00092971" w:rsidRDefault="00DF17E9" w:rsidP="00044843">
            <w:pPr>
              <w:spacing w:after="0"/>
            </w:pPr>
            <w:r w:rsidRPr="00092971">
              <w:rPr>
                <w:b/>
                <w:color w:val="000000"/>
              </w:rPr>
              <w:t>(504)</w:t>
            </w:r>
          </w:p>
        </w:tc>
        <w:tc>
          <w:tcPr>
            <w:tcW w:w="1078"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(165)</w:t>
            </w:r>
          </w:p>
        </w:tc>
        <w:tc>
          <w:tcPr>
            <w:cnfStyle w:val="000010000000" w:firstRow="0" w:lastRow="0" w:firstColumn="0" w:lastColumn="0" w:oddVBand="1" w:evenVBand="0" w:oddHBand="0" w:evenHBand="0" w:firstRowFirstColumn="0" w:firstRowLastColumn="0" w:lastRowFirstColumn="0" w:lastRowLastColumn="0"/>
            <w:tcW w:w="1357" w:type="dxa"/>
            <w:tcBorders>
              <w:bottom w:val="nil"/>
            </w:tcBorders>
          </w:tcPr>
          <w:p w:rsidR="00DF17E9" w:rsidRPr="00092971" w:rsidRDefault="00DF17E9" w:rsidP="00044843">
            <w:pPr>
              <w:spacing w:after="0"/>
            </w:pPr>
            <w:r w:rsidRPr="00092971">
              <w:rPr>
                <w:b/>
                <w:color w:val="000000"/>
              </w:rPr>
              <w:t>381</w:t>
            </w:r>
          </w:p>
        </w:tc>
        <w:tc>
          <w:tcPr>
            <w:tcW w:w="1316" w:type="dxa"/>
            <w:tcBorders>
              <w:bottom w:val="nil"/>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(586)</w:t>
            </w:r>
          </w:p>
        </w:tc>
        <w:tc>
          <w:tcPr>
            <w:cnfStyle w:val="000010000000" w:firstRow="0" w:lastRow="0" w:firstColumn="0" w:lastColumn="0" w:oddVBand="1" w:evenVBand="0" w:oddHBand="0" w:evenHBand="0" w:firstRowFirstColumn="0" w:firstRowLastColumn="0" w:lastRowFirstColumn="0" w:lastRowLastColumn="0"/>
            <w:tcW w:w="895" w:type="dxa"/>
            <w:tcBorders>
              <w:bottom w:val="nil"/>
            </w:tcBorders>
          </w:tcPr>
          <w:p w:rsidR="00DF17E9" w:rsidRPr="00092971" w:rsidRDefault="00DF17E9" w:rsidP="00044843">
            <w:pPr>
              <w:spacing w:after="0"/>
              <w:rPr>
                <w:color w:val="000000"/>
              </w:rPr>
            </w:pPr>
            <w:r w:rsidRPr="00092971">
              <w:rPr>
                <w:b/>
                <w:color w:val="000000"/>
              </w:rPr>
              <w:t>26 864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rsidR="00DF17E9" w:rsidRPr="00092971" w:rsidRDefault="00DF17E9" w:rsidP="00044843">
            <w:pPr>
              <w:spacing w:after="0"/>
              <w:ind w:left="0" w:firstLine="0"/>
              <w:rPr>
                <w:color w:val="000000"/>
              </w:rPr>
            </w:pPr>
            <w:r w:rsidRPr="00092971">
              <w:rPr>
                <w:b/>
                <w:color w:val="000000"/>
              </w:rPr>
              <w:t>Cultural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pPr>
              <w:spacing w:after="0"/>
              <w:rPr>
                <w:color w:val="000000"/>
              </w:rPr>
            </w:pPr>
            <w:r w:rsidRPr="00092971">
              <w:rPr>
                <w:b/>
                <w:color w:val="000000"/>
              </w:rPr>
              <w:t>2 146</w:t>
            </w:r>
          </w:p>
        </w:tc>
        <w:tc>
          <w:tcPr>
            <w:tcW w:w="1108"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(17)</w:t>
            </w:r>
          </w:p>
        </w:tc>
        <w:tc>
          <w:tcPr>
            <w:cnfStyle w:val="000010000000" w:firstRow="0" w:lastRow="0" w:firstColumn="0" w:lastColumn="0" w:oddVBand="1" w:evenVBand="0" w:oddHBand="0" w:evenHBand="0" w:firstRowFirstColumn="0" w:firstRowLastColumn="0" w:lastRowFirstColumn="0" w:lastRowLastColumn="0"/>
            <w:tcW w:w="1018" w:type="dxa"/>
            <w:tcBorders>
              <w:bottom w:val="single" w:sz="6" w:space="0" w:color="auto"/>
            </w:tcBorders>
          </w:tcPr>
          <w:p w:rsidR="00DF17E9" w:rsidRPr="00092971" w:rsidRDefault="00DF17E9" w:rsidP="00044843">
            <w:pPr>
              <w:spacing w:after="0"/>
              <w:rPr>
                <w:color w:val="000000"/>
              </w:rPr>
            </w:pPr>
            <w:r w:rsidRPr="00092971">
              <w:rPr>
                <w:b/>
                <w:color w:val="000000"/>
              </w:rPr>
              <w:t>..</w:t>
            </w:r>
          </w:p>
        </w:tc>
        <w:tc>
          <w:tcPr>
            <w:tcW w:w="1502"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11</w:t>
            </w:r>
          </w:p>
        </w:tc>
        <w:tc>
          <w:tcPr>
            <w:cnfStyle w:val="000010000000" w:firstRow="0" w:lastRow="0" w:firstColumn="0" w:lastColumn="0" w:oddVBand="1" w:evenVBand="0" w:oddHBand="0" w:evenHBand="0" w:firstRowFirstColumn="0" w:firstRowLastColumn="0" w:lastRowFirstColumn="0" w:lastRowLastColumn="0"/>
            <w:tcW w:w="1050" w:type="dxa"/>
            <w:tcBorders>
              <w:bottom w:val="single" w:sz="6" w:space="0" w:color="auto"/>
            </w:tcBorders>
          </w:tcPr>
          <w:p w:rsidR="00DF17E9" w:rsidRPr="00092971" w:rsidRDefault="00DF17E9" w:rsidP="00044843">
            <w:pPr>
              <w:spacing w:after="0"/>
            </w:pPr>
            <w:r w:rsidRPr="00092971">
              <w:rPr>
                <w:b/>
                <w:color w:val="000000"/>
              </w:rPr>
              <w:t>2</w:t>
            </w:r>
          </w:p>
        </w:tc>
        <w:tc>
          <w:tcPr>
            <w:tcW w:w="1078"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(15)</w:t>
            </w:r>
          </w:p>
        </w:tc>
        <w:tc>
          <w:tcPr>
            <w:cnfStyle w:val="000010000000" w:firstRow="0" w:lastRow="0" w:firstColumn="0" w:lastColumn="0" w:oddVBand="1" w:evenVBand="0" w:oddHBand="0" w:evenHBand="0" w:firstRowFirstColumn="0" w:firstRowLastColumn="0" w:lastRowFirstColumn="0" w:lastRowLastColumn="0"/>
            <w:tcW w:w="1357" w:type="dxa"/>
            <w:tcBorders>
              <w:bottom w:val="single" w:sz="6" w:space="0" w:color="auto"/>
            </w:tcBorders>
          </w:tcPr>
          <w:p w:rsidR="00DF17E9" w:rsidRPr="00092971" w:rsidRDefault="00DF17E9" w:rsidP="00044843">
            <w:pPr>
              <w:spacing w:after="0"/>
            </w:pPr>
            <w:r w:rsidRPr="00092971">
              <w:rPr>
                <w:b/>
                <w:color w:val="000000"/>
              </w:rPr>
              <w:t>(1)</w:t>
            </w:r>
          </w:p>
        </w:tc>
        <w:tc>
          <w:tcPr>
            <w:tcW w:w="1316" w:type="dxa"/>
            <w:tcBorders>
              <w:bottom w:val="single" w:sz="6"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(3)</w:t>
            </w:r>
          </w:p>
        </w:tc>
        <w:tc>
          <w:tcPr>
            <w:cnfStyle w:val="000010000000" w:firstRow="0" w:lastRow="0" w:firstColumn="0" w:lastColumn="0" w:oddVBand="1" w:evenVBand="0" w:oddHBand="0" w:evenHBand="0" w:firstRowFirstColumn="0" w:firstRowLastColumn="0" w:lastRowFirstColumn="0" w:lastRowLastColumn="0"/>
            <w:tcW w:w="895" w:type="dxa"/>
            <w:tcBorders>
              <w:bottom w:val="single" w:sz="6" w:space="0" w:color="auto"/>
            </w:tcBorders>
          </w:tcPr>
          <w:p w:rsidR="00DF17E9" w:rsidRPr="00092971" w:rsidRDefault="00DF17E9" w:rsidP="00044843">
            <w:pPr>
              <w:spacing w:after="0"/>
              <w:rPr>
                <w:color w:val="000000"/>
              </w:rPr>
            </w:pPr>
            <w:r w:rsidRPr="00092971">
              <w:rPr>
                <w:b/>
                <w:color w:val="000000"/>
              </w:rPr>
              <w:t>2 122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rsidR="00DF17E9" w:rsidRPr="00092971" w:rsidRDefault="00DF17E9" w:rsidP="00044843">
            <w:pPr>
              <w:spacing w:after="0"/>
              <w:ind w:left="0" w:firstLine="0"/>
            </w:pPr>
            <w:r w:rsidRPr="00092971">
              <w:rPr>
                <w:b/>
                <w:color w:val="000000"/>
              </w:rPr>
              <w:t>Total</w:t>
            </w:r>
            <w:r w:rsidRPr="0059166E">
              <w:rPr>
                <w:color w:val="000000"/>
                <w:vertAlign w:val="superscript"/>
              </w:rPr>
              <w:t>(</w:t>
            </w:r>
            <w:r w:rsidRPr="0059166E">
              <w:rPr>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149 111</w:t>
            </w:r>
          </w:p>
        </w:tc>
        <w:tc>
          <w:tcPr>
            <w:tcW w:w="1108"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(3 530)</w:t>
            </w:r>
          </w:p>
        </w:tc>
        <w:tc>
          <w:tcPr>
            <w:cnfStyle w:val="000010000000" w:firstRow="0" w:lastRow="0" w:firstColumn="0" w:lastColumn="0" w:oddVBand="1" w:evenVBand="0" w:oddHBand="0" w:evenHBand="0" w:firstRowFirstColumn="0" w:firstRowLastColumn="0" w:lastRowFirstColumn="0" w:lastRowLastColumn="0"/>
            <w:tcW w:w="1018" w:type="dxa"/>
            <w:tcBorders>
              <w:top w:val="single" w:sz="6" w:space="0" w:color="auto"/>
              <w:bottom w:val="single" w:sz="12" w:space="0" w:color="auto"/>
            </w:tcBorders>
          </w:tcPr>
          <w:p w:rsidR="00DF17E9" w:rsidRPr="00092971" w:rsidRDefault="00DF17E9" w:rsidP="00044843">
            <w:pPr>
              <w:spacing w:after="0"/>
            </w:pPr>
            <w:r w:rsidRPr="00092971">
              <w:rPr>
                <w:b/>
                <w:color w:val="000000"/>
              </w:rPr>
              <w:t>(21)</w:t>
            </w:r>
          </w:p>
        </w:tc>
        <w:tc>
          <w:tcPr>
            <w:tcW w:w="1502"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323</w:t>
            </w:r>
          </w:p>
        </w:tc>
        <w:tc>
          <w:tcPr>
            <w:cnfStyle w:val="000010000000" w:firstRow="0" w:lastRow="0" w:firstColumn="0" w:lastColumn="0" w:oddVBand="1" w:evenVBand="0" w:oddHBand="0" w:evenHBand="0" w:firstRowFirstColumn="0" w:firstRowLastColumn="0" w:lastRowFirstColumn="0" w:lastRowLastColumn="0"/>
            <w:tcW w:w="1050"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6 817</w:t>
            </w:r>
          </w:p>
        </w:tc>
        <w:tc>
          <w:tcPr>
            <w:tcW w:w="1078"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6 814</w:t>
            </w:r>
          </w:p>
        </w:tc>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2 244</w:t>
            </w:r>
          </w:p>
        </w:tc>
        <w:tc>
          <w:tcPr>
            <w:tcW w:w="1316" w:type="dxa"/>
            <w:tcBorders>
              <w:top w:val="single" w:sz="6" w:space="0" w:color="auto"/>
              <w:bottom w:val="single" w:sz="12" w:space="0" w:color="auto"/>
            </w:tcBorders>
          </w:tcPr>
          <w:p w:rsidR="00DF17E9" w:rsidRPr="00092971"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092971">
              <w:rPr>
                <w:b/>
                <w:color w:val="000000"/>
              </w:rPr>
              <w:t>676</w:t>
            </w:r>
          </w:p>
        </w:tc>
        <w:tc>
          <w:tcPr>
            <w:cnfStyle w:val="000010000000" w:firstRow="0" w:lastRow="0" w:firstColumn="0" w:lastColumn="0" w:oddVBand="1" w:evenVBand="0" w:oddHBand="0" w:evenHBand="0" w:firstRowFirstColumn="0" w:firstRowLastColumn="0" w:lastRowFirstColumn="0" w:lastRowLastColumn="0"/>
            <w:tcW w:w="895" w:type="dxa"/>
            <w:tcBorders>
              <w:top w:val="single" w:sz="6" w:space="0" w:color="auto"/>
              <w:bottom w:val="single" w:sz="12" w:space="0" w:color="auto"/>
            </w:tcBorders>
          </w:tcPr>
          <w:p w:rsidR="00DF17E9" w:rsidRPr="00092971" w:rsidRDefault="00DF17E9" w:rsidP="00044843">
            <w:pPr>
              <w:spacing w:after="0"/>
              <w:rPr>
                <w:color w:val="000000"/>
              </w:rPr>
            </w:pPr>
            <w:r w:rsidRPr="00092971">
              <w:rPr>
                <w:b/>
                <w:color w:val="000000"/>
              </w:rPr>
              <w:t>162 433</w:t>
            </w:r>
          </w:p>
        </w:tc>
      </w:tr>
    </w:tbl>
    <w:p w:rsidR="00DF17E9" w:rsidRDefault="00DF17E9" w:rsidP="00044843">
      <w:pPr>
        <w:pStyle w:val="Note"/>
      </w:pPr>
      <w:r>
        <w:t>Note:</w:t>
      </w:r>
      <w:r>
        <w:tab/>
      </w:r>
    </w:p>
    <w:p w:rsidR="00DF17E9" w:rsidRDefault="00DF17E9" w:rsidP="00044843">
      <w:pPr>
        <w:pStyle w:val="Note"/>
      </w:pPr>
      <w:r>
        <w:t>(a)</w:t>
      </w:r>
      <w:r>
        <w:tab/>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Note"/>
      </w:pPr>
    </w:p>
    <w:p w:rsidR="00DF17E9" w:rsidRPr="00092971" w:rsidRDefault="00DF17E9" w:rsidP="00044843">
      <w:pPr>
        <w:pStyle w:val="Subheading"/>
        <w:rPr>
          <w:b w:val="0"/>
          <w:bCs/>
          <w:color w:val="000000"/>
          <w:spacing w:val="4"/>
          <w:sz w:val="17"/>
          <w:lang w:val="en-US"/>
        </w:rPr>
      </w:pPr>
      <w:r w:rsidRPr="003A6EC7">
        <w:lastRenderedPageBreak/>
        <w:t>Reconciliation of Level 3 fair value movements</w:t>
      </w:r>
      <w:r>
        <w:t xml:space="preserve"> </w:t>
      </w:r>
      <w:r w:rsidRPr="00FB6390">
        <w:rPr>
          <w:i/>
        </w:rPr>
        <w:t>(continued)</w:t>
      </w:r>
      <w:r>
        <w:tab/>
      </w:r>
      <w:r>
        <w:tab/>
      </w:r>
      <w:r w:rsidRPr="002957A0">
        <w:rPr>
          <w:rStyle w:val="TableUnitsChar"/>
        </w:rPr>
        <w:t>($ million</w:t>
      </w:r>
      <w:r>
        <w:rPr>
          <w:rStyle w:val="TableUnitsChar"/>
        </w:rPr>
        <w:t>)</w:t>
      </w:r>
    </w:p>
    <w:tbl>
      <w:tblPr>
        <w:tblStyle w:val="TableDTFGeneral"/>
        <w:tblW w:w="14734" w:type="dxa"/>
        <w:tblLayout w:type="fixed"/>
        <w:tblLook w:val="02A0" w:firstRow="1" w:lastRow="0" w:firstColumn="1" w:lastColumn="0" w:noHBand="1" w:noVBand="0"/>
      </w:tblPr>
      <w:tblGrid>
        <w:gridCol w:w="4422"/>
        <w:gridCol w:w="992"/>
        <w:gridCol w:w="1106"/>
        <w:gridCol w:w="1020"/>
        <w:gridCol w:w="1502"/>
        <w:gridCol w:w="1049"/>
        <w:gridCol w:w="1077"/>
        <w:gridCol w:w="1355"/>
        <w:gridCol w:w="1315"/>
        <w:gridCol w:w="896"/>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DF17E9" w:rsidP="00044843">
            <w:pPr>
              <w:ind w:left="0" w:firstLine="0"/>
              <w:rPr>
                <w:color w:val="FFFFFF"/>
              </w:rPr>
            </w:pPr>
            <w:r w:rsidRPr="00092971">
              <w:rPr>
                <w:color w:val="FFFFFF"/>
              </w:rPr>
              <w:t>General government sector</w:t>
            </w:r>
          </w:p>
          <w:p w:rsidR="00DF17E9" w:rsidRPr="00092971" w:rsidRDefault="00DF17E9" w:rsidP="00044843">
            <w:pPr>
              <w:ind w:left="0" w:firstLine="0"/>
              <w:rPr>
                <w:color w:val="FFFFFF"/>
              </w:rPr>
            </w:pPr>
            <w:r w:rsidRPr="00092971">
              <w:rPr>
                <w:color w:val="FFFFFF"/>
              </w:rPr>
              <w:t>2016</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FFFFFF"/>
              </w:rPr>
            </w:pPr>
            <w:r w:rsidRPr="00092971">
              <w:rPr>
                <w:color w:val="FFFFFF"/>
              </w:rPr>
              <w:t>Opening balance</w:t>
            </w:r>
          </w:p>
        </w:tc>
        <w:tc>
          <w:tcPr>
            <w:tcW w:w="1106"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Depreciation</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FFFFFF"/>
              </w:rPr>
            </w:pPr>
            <w:r w:rsidRPr="00092971">
              <w:rPr>
                <w:color w:val="FFFFFF"/>
              </w:rPr>
              <w:t>Impairment</w:t>
            </w:r>
          </w:p>
        </w:tc>
        <w:tc>
          <w:tcPr>
            <w:tcW w:w="150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Assets recognised for the first time</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FFFFFF"/>
              </w:rPr>
            </w:pPr>
            <w:r w:rsidRPr="00092971">
              <w:rPr>
                <w:color w:val="FFFFFF"/>
              </w:rPr>
              <w:t>Revaluation</w:t>
            </w:r>
          </w:p>
        </w:tc>
        <w:tc>
          <w:tcPr>
            <w:tcW w:w="1077"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Acquisitions/ (Disposals)</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pPr>
              <w:rPr>
                <w:color w:val="FFFFFF"/>
              </w:rPr>
            </w:pPr>
            <w:r w:rsidRPr="00092971">
              <w:rPr>
                <w:color w:val="FFFFFF"/>
              </w:rPr>
              <w:t>Transfers in/out of Level 3</w:t>
            </w:r>
          </w:p>
        </w:tc>
        <w:tc>
          <w:tcPr>
            <w:tcW w:w="1315"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Reclassification</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FFFFFF"/>
              </w:rPr>
            </w:pPr>
            <w:r w:rsidRPr="00092971">
              <w:rPr>
                <w:color w:val="FFFFFF"/>
              </w:rPr>
              <w:t>Closing balance</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DF17E9" w:rsidP="00044843">
            <w:pPr>
              <w:ind w:left="113" w:hanging="113"/>
              <w:rPr>
                <w:color w:val="000000"/>
              </w:rPr>
            </w:pPr>
            <w:r w:rsidRPr="00092971">
              <w:rPr>
                <w:b/>
                <w:color w:val="000000"/>
              </w:rPr>
              <w:t>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b/>
                <w:color w:val="000000"/>
              </w:rPr>
              <w:t>23 120</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(990)</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r w:rsidRPr="00092971">
              <w:rPr>
                <w:b/>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000000"/>
              </w:rPr>
            </w:pPr>
            <w:r w:rsidRPr="00092971">
              <w:rPr>
                <w:b/>
                <w:color w:val="000000"/>
              </w:rPr>
              <w:t>2 199</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824</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b/>
                <w:color w:val="000000"/>
              </w:rPr>
              <w:t>17</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293</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b/>
                <w:color w:val="000000"/>
              </w:rPr>
              <w:t>25 471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Non-specialised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2 181</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(80)</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000000"/>
              </w:rPr>
            </w:pPr>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000000"/>
              </w:rPr>
            </w:pPr>
            <w:r w:rsidRPr="00092971">
              <w:rPr>
                <w:color w:val="000000"/>
              </w:rPr>
              <w:t>..</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(757)</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pPr>
              <w:rPr>
                <w:color w:val="000000"/>
              </w:rPr>
            </w:pPr>
            <w:r w:rsidRPr="00092971">
              <w:rPr>
                <w:color w:val="000000"/>
              </w:rPr>
              <w:t>..</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1 334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20 051</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(879)</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000000"/>
              </w:rPr>
            </w:pPr>
            <w:r w:rsidRPr="00092971">
              <w:rPr>
                <w:color w:val="000000"/>
              </w:rPr>
              <w:t>1 953</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1 556</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color w:val="000000"/>
              </w:rPr>
              <w:t>(22)</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307</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22 975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Heritage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r w:rsidRPr="00092971">
              <w:rPr>
                <w:color w:val="000000"/>
              </w:rPr>
              <w:t>888</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(31)</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000000"/>
              </w:rPr>
            </w:pPr>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r w:rsidRPr="00092971">
              <w:rPr>
                <w:color w:val="000000"/>
              </w:rPr>
              <w:t>245</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25</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color w:val="000000"/>
              </w:rPr>
              <w:t>39</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1 162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DF17E9" w:rsidP="00044843">
            <w:pPr>
              <w:ind w:left="113" w:hanging="113"/>
              <w:rPr>
                <w:color w:val="000000"/>
              </w:rPr>
            </w:pPr>
            <w:r w:rsidRPr="00092971">
              <w:rPr>
                <w:b/>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b/>
                <w:color w:val="000000"/>
              </w:rPr>
              <w:t>39 447</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r w:rsidRPr="00092971">
              <w:rPr>
                <w:b/>
                <w:color w:val="000000"/>
              </w:rPr>
              <w:t>(51)</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51</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000000"/>
              </w:rPr>
            </w:pPr>
            <w:r w:rsidRPr="00092971">
              <w:rPr>
                <w:b/>
                <w:color w:val="000000"/>
              </w:rPr>
              <w:t>3 906</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(127)</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b/>
                <w:color w:val="000000"/>
              </w:rPr>
              <w:t>200</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(9)</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b/>
                <w:color w:val="000000"/>
              </w:rPr>
              <w:t>43 417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Non-specialised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1 893</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000000"/>
              </w:rPr>
            </w:pPr>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r w:rsidRPr="00092971">
              <w:rPr>
                <w:color w:val="000000"/>
              </w:rPr>
              <w:t>49</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(300)</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pPr>
              <w:rPr>
                <w:color w:val="000000"/>
              </w:rPr>
            </w:pPr>
            <w:r w:rsidRPr="00092971">
              <w:rPr>
                <w:color w:val="000000"/>
              </w:rPr>
              <w:t>..</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(17)</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1 624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18 691</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r w:rsidRPr="00092971">
              <w:rPr>
                <w:color w:val="000000"/>
              </w:rPr>
              <w:t>(51)</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51</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000000"/>
              </w:rPr>
            </w:pPr>
            <w:r w:rsidRPr="00092971">
              <w:rPr>
                <w:color w:val="000000"/>
              </w:rPr>
              <w:t>3 886</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169</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color w:val="000000"/>
              </w:rPr>
              <w:t>200</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22 945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Land under roads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17 801</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000000"/>
              </w:rPr>
            </w:pPr>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pPr>
              <w:rPr>
                <w:color w:val="000000"/>
              </w:rPr>
            </w:pPr>
            <w:r w:rsidRPr="00092971">
              <w:rPr>
                <w:color w:val="000000"/>
              </w:rPr>
              <w:t>..</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pPr>
              <w:rPr>
                <w:color w:val="000000"/>
              </w:rPr>
            </w:pPr>
            <w:r w:rsidRPr="00092971">
              <w:rPr>
                <w:color w:val="000000"/>
              </w:rPr>
              <w:t>..</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17 811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14179F">
            <w:pPr>
              <w:ind w:left="113" w:hanging="113"/>
              <w:rPr>
                <w:color w:val="000000"/>
              </w:rPr>
            </w:pPr>
            <w:r>
              <w:rPr>
                <w:color w:val="000000"/>
              </w:rPr>
              <w:t xml:space="preserve">   </w:t>
            </w:r>
            <w:r w:rsidR="00DF17E9" w:rsidRPr="00092971">
              <w:rPr>
                <w:color w:val="000000"/>
              </w:rPr>
              <w:t xml:space="preserve">National parks and other </w:t>
            </w:r>
            <w:r>
              <w:rPr>
                <w:color w:val="000000"/>
              </w:rPr>
              <w:t>‘</w:t>
            </w:r>
            <w:r w:rsidR="00DF17E9" w:rsidRPr="00092971">
              <w:rPr>
                <w:color w:val="000000"/>
              </w:rPr>
              <w:t>land only’ holdings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1 062</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000000"/>
              </w:rPr>
            </w:pPr>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r w:rsidRPr="00092971">
              <w:rPr>
                <w:color w:val="000000"/>
              </w:rPr>
              <w:t>(29)</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pPr>
              <w:rPr>
                <w:color w:val="000000"/>
              </w:rPr>
            </w:pPr>
            <w:r w:rsidRPr="00092971">
              <w:rPr>
                <w:color w:val="000000"/>
              </w:rPr>
              <w:t>..</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1 036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DF17E9" w:rsidP="00044843">
            <w:pPr>
              <w:ind w:left="113" w:hanging="113"/>
              <w:rPr>
                <w:color w:val="000000"/>
              </w:rPr>
            </w:pPr>
            <w:r w:rsidRPr="00092971">
              <w:rPr>
                <w:b/>
                <w:color w:val="000000"/>
              </w:rPr>
              <w:t xml:space="preserve">Plant, equipment, vehicles and infrastructure systems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b/>
                <w:color w:val="000000"/>
              </w:rPr>
              <w:t>3 123</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(451)</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r w:rsidRPr="00092971">
              <w:rPr>
                <w:b/>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19</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r w:rsidRPr="00092971">
              <w:rPr>
                <w:b/>
                <w:color w:val="000000"/>
              </w:rPr>
              <w:t>45</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196</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b/>
                <w:color w:val="000000"/>
              </w:rPr>
              <w:t>68</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(46)</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b/>
                <w:color w:val="000000"/>
              </w:rPr>
              <w:t>2 953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1 094</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(53)</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pPr>
              <w:rPr>
                <w:color w:val="000000"/>
              </w:rPr>
            </w:pPr>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r w:rsidRPr="00092971">
              <w:rPr>
                <w:color w:val="000000"/>
              </w:rPr>
              <w:t>58</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56</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color w:val="000000"/>
              </w:rPr>
              <w:t>26</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1 186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Pr>
          <w:p w:rsidR="00DF17E9" w:rsidRPr="00092971" w:rsidRDefault="0014179F" w:rsidP="00044843">
            <w:pPr>
              <w:ind w:left="113" w:hanging="113"/>
              <w:rPr>
                <w:color w:val="000000"/>
              </w:rPr>
            </w:pPr>
            <w:r>
              <w:rPr>
                <w:color w:val="000000"/>
              </w:rPr>
              <w:t xml:space="preserve">   </w:t>
            </w:r>
            <w:r w:rsidR="00DF17E9" w:rsidRPr="00092971">
              <w:rPr>
                <w:color w:val="000000"/>
              </w:rPr>
              <w:t>Plant, equipment and vehicles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2 029</w:t>
            </w:r>
          </w:p>
        </w:tc>
        <w:tc>
          <w:tcPr>
            <w:tcW w:w="110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(398)</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092971" w:rsidRDefault="00DF17E9" w:rsidP="00044843">
            <w:r w:rsidRPr="00092971">
              <w:rPr>
                <w:color w:val="000000"/>
              </w:rPr>
              <w:t>..</w:t>
            </w:r>
          </w:p>
        </w:tc>
        <w:tc>
          <w:tcPr>
            <w:tcW w:w="1502"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cnfStyle w:val="000010000000" w:firstRow="0" w:lastRow="0" w:firstColumn="0" w:lastColumn="0" w:oddVBand="1" w:evenVBand="0" w:oddHBand="0" w:evenHBand="0" w:firstRowFirstColumn="0" w:firstRowLastColumn="0" w:lastRowFirstColumn="0" w:lastRowLastColumn="0"/>
            <w:tcW w:w="1049" w:type="dxa"/>
          </w:tcPr>
          <w:p w:rsidR="00DF17E9" w:rsidRPr="00092971" w:rsidRDefault="00DF17E9" w:rsidP="00044843">
            <w:r w:rsidRPr="00092971">
              <w:rPr>
                <w:color w:val="000000"/>
              </w:rPr>
              <w:t>(13)</w:t>
            </w:r>
          </w:p>
        </w:tc>
        <w:tc>
          <w:tcPr>
            <w:tcW w:w="1077"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139</w:t>
            </w:r>
          </w:p>
        </w:tc>
        <w:tc>
          <w:tcPr>
            <w:cnfStyle w:val="000010000000" w:firstRow="0" w:lastRow="0" w:firstColumn="0" w:lastColumn="0" w:oddVBand="1" w:evenVBand="0" w:oddHBand="0" w:evenHBand="0" w:firstRowFirstColumn="0" w:firstRowLastColumn="0" w:lastRowFirstColumn="0" w:lastRowLastColumn="0"/>
            <w:tcW w:w="1355" w:type="dxa"/>
          </w:tcPr>
          <w:p w:rsidR="00DF17E9" w:rsidRPr="00092971" w:rsidRDefault="00DF17E9" w:rsidP="00044843">
            <w:r w:rsidRPr="00092971">
              <w:rPr>
                <w:color w:val="000000"/>
              </w:rPr>
              <w:t>42</w:t>
            </w:r>
          </w:p>
        </w:tc>
        <w:tc>
          <w:tcPr>
            <w:tcW w:w="1315"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(50)</w:t>
            </w:r>
          </w:p>
        </w:tc>
        <w:tc>
          <w:tcPr>
            <w:cnfStyle w:val="000010000000" w:firstRow="0" w:lastRow="0" w:firstColumn="0" w:lastColumn="0" w:oddVBand="1" w:evenVBand="0" w:oddHBand="0" w:evenHBand="0" w:firstRowFirstColumn="0" w:firstRowLastColumn="0" w:lastRowFirstColumn="0" w:lastRowLastColumn="0"/>
            <w:tcW w:w="896" w:type="dxa"/>
          </w:tcPr>
          <w:p w:rsidR="00DF17E9" w:rsidRPr="00092971" w:rsidRDefault="00DF17E9" w:rsidP="00044843">
            <w:pPr>
              <w:rPr>
                <w:color w:val="000000"/>
              </w:rPr>
            </w:pPr>
            <w:r w:rsidRPr="00092971">
              <w:rPr>
                <w:color w:val="000000"/>
              </w:rPr>
              <w:t>1 766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Borders>
              <w:bottom w:val="nil"/>
            </w:tcBorders>
          </w:tcPr>
          <w:p w:rsidR="00DF17E9" w:rsidRPr="00092971" w:rsidRDefault="00DF17E9" w:rsidP="00044843">
            <w:pPr>
              <w:ind w:left="113" w:hanging="113"/>
              <w:rPr>
                <w:color w:val="000000"/>
              </w:rPr>
            </w:pPr>
            <w:r w:rsidRPr="00092971">
              <w:rPr>
                <w:b/>
                <w:color w:val="000000"/>
              </w:rPr>
              <w:t>Roads, road infrastructure and earthworks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pPr>
              <w:rPr>
                <w:color w:val="000000"/>
              </w:rPr>
            </w:pPr>
            <w:r w:rsidRPr="00092971">
              <w:rPr>
                <w:b/>
                <w:color w:val="000000"/>
              </w:rPr>
              <w:t>26 798</w:t>
            </w:r>
          </w:p>
        </w:tc>
        <w:tc>
          <w:tcPr>
            <w:tcW w:w="1106"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(606)</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F17E9" w:rsidRPr="00092971" w:rsidRDefault="00DF17E9" w:rsidP="00044843">
            <w:r w:rsidRPr="00092971">
              <w:rPr>
                <w:b/>
                <w:color w:val="000000"/>
              </w:rPr>
              <w:t>(48)</w:t>
            </w:r>
          </w:p>
        </w:tc>
        <w:tc>
          <w:tcPr>
            <w:tcW w:w="150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49" w:type="dxa"/>
            <w:tcBorders>
              <w:bottom w:val="nil"/>
            </w:tcBorders>
          </w:tcPr>
          <w:p w:rsidR="00DF17E9" w:rsidRPr="00092971" w:rsidRDefault="00DF17E9" w:rsidP="00044843">
            <w:r w:rsidRPr="00092971">
              <w:rPr>
                <w:b/>
                <w:color w:val="000000"/>
              </w:rPr>
              <w:t>(203)</w:t>
            </w:r>
          </w:p>
        </w:tc>
        <w:tc>
          <w:tcPr>
            <w:tcW w:w="1077"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383</w:t>
            </w:r>
          </w:p>
        </w:tc>
        <w:tc>
          <w:tcPr>
            <w:cnfStyle w:val="000010000000" w:firstRow="0" w:lastRow="0" w:firstColumn="0" w:lastColumn="0" w:oddVBand="1" w:evenVBand="0" w:oddHBand="0" w:evenHBand="0" w:firstRowFirstColumn="0" w:firstRowLastColumn="0" w:lastRowFirstColumn="0" w:lastRowLastColumn="0"/>
            <w:tcW w:w="1355" w:type="dxa"/>
            <w:tcBorders>
              <w:bottom w:val="nil"/>
            </w:tcBorders>
          </w:tcPr>
          <w:p w:rsidR="00DF17E9" w:rsidRPr="00092971" w:rsidRDefault="00DF17E9" w:rsidP="00044843">
            <w:pPr>
              <w:rPr>
                <w:color w:val="000000"/>
              </w:rPr>
            </w:pPr>
            <w:r w:rsidRPr="00092971">
              <w:rPr>
                <w:b/>
                <w:color w:val="000000"/>
              </w:rPr>
              <w:t>.</w:t>
            </w:r>
            <w:r w:rsidRPr="00092971">
              <w:rPr>
                <w:color w:val="000000"/>
              </w:rPr>
              <w:t>.</w:t>
            </w:r>
          </w:p>
        </w:tc>
        <w:tc>
          <w:tcPr>
            <w:tcW w:w="1315"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782</w:t>
            </w:r>
          </w:p>
        </w:tc>
        <w:tc>
          <w:tcPr>
            <w:cnfStyle w:val="000010000000" w:firstRow="0" w:lastRow="0" w:firstColumn="0" w:lastColumn="0" w:oddVBand="1" w:evenVBand="0" w:oddHBand="0" w:evenHBand="0" w:firstRowFirstColumn="0" w:firstRowLastColumn="0" w:lastRowFirstColumn="0" w:lastRowLastColumn="0"/>
            <w:tcW w:w="896" w:type="dxa"/>
            <w:tcBorders>
              <w:bottom w:val="nil"/>
            </w:tcBorders>
          </w:tcPr>
          <w:p w:rsidR="00DF17E9" w:rsidRPr="00092971" w:rsidRDefault="00DF17E9" w:rsidP="00044843">
            <w:pPr>
              <w:rPr>
                <w:color w:val="000000"/>
              </w:rPr>
            </w:pPr>
            <w:r w:rsidRPr="00092971">
              <w:rPr>
                <w:b/>
                <w:color w:val="000000"/>
              </w:rPr>
              <w:t>27 106</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Borders>
              <w:bottom w:val="single" w:sz="6" w:space="0" w:color="auto"/>
            </w:tcBorders>
          </w:tcPr>
          <w:p w:rsidR="00DF17E9" w:rsidRPr="00092971" w:rsidRDefault="00DF17E9" w:rsidP="00044843">
            <w:pPr>
              <w:ind w:left="113" w:hanging="113"/>
              <w:rPr>
                <w:color w:val="000000"/>
              </w:rPr>
            </w:pPr>
            <w:r w:rsidRPr="00092971">
              <w:rPr>
                <w:b/>
                <w:color w:val="000000"/>
              </w:rPr>
              <w:t>Cultural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pPr>
              <w:rPr>
                <w:color w:val="000000"/>
              </w:rPr>
            </w:pPr>
            <w:r w:rsidRPr="00092971">
              <w:rPr>
                <w:b/>
                <w:color w:val="000000"/>
              </w:rPr>
              <w:t>2 122</w:t>
            </w:r>
          </w:p>
        </w:tc>
        <w:tc>
          <w:tcPr>
            <w:tcW w:w="1106"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(12)</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6" w:space="0" w:color="auto"/>
            </w:tcBorders>
          </w:tcPr>
          <w:p w:rsidR="00DF17E9" w:rsidRPr="00092971" w:rsidRDefault="00DF17E9" w:rsidP="00044843">
            <w:pPr>
              <w:rPr>
                <w:color w:val="000000"/>
              </w:rPr>
            </w:pPr>
            <w:r w:rsidRPr="00092971">
              <w:rPr>
                <w:b/>
                <w:color w:val="000000"/>
              </w:rPr>
              <w:t>..</w:t>
            </w:r>
          </w:p>
        </w:tc>
        <w:tc>
          <w:tcPr>
            <w:tcW w:w="150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49" w:type="dxa"/>
            <w:tcBorders>
              <w:bottom w:val="single" w:sz="6" w:space="0" w:color="auto"/>
            </w:tcBorders>
          </w:tcPr>
          <w:p w:rsidR="00DF17E9" w:rsidRPr="00092971" w:rsidRDefault="00DF17E9" w:rsidP="00044843">
            <w:r w:rsidRPr="00092971">
              <w:rPr>
                <w:b/>
                <w:color w:val="000000"/>
              </w:rPr>
              <w:t>(86)</w:t>
            </w:r>
          </w:p>
        </w:tc>
        <w:tc>
          <w:tcPr>
            <w:tcW w:w="1077"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w:t>
            </w:r>
          </w:p>
        </w:tc>
        <w:tc>
          <w:tcPr>
            <w:cnfStyle w:val="000010000000" w:firstRow="0" w:lastRow="0" w:firstColumn="0" w:lastColumn="0" w:oddVBand="1" w:evenVBand="0" w:oddHBand="0" w:evenHBand="0" w:firstRowFirstColumn="0" w:firstRowLastColumn="0" w:lastRowFirstColumn="0" w:lastRowLastColumn="0"/>
            <w:tcW w:w="1355" w:type="dxa"/>
            <w:tcBorders>
              <w:bottom w:val="single" w:sz="6" w:space="0" w:color="auto"/>
            </w:tcBorders>
          </w:tcPr>
          <w:p w:rsidR="00DF17E9" w:rsidRPr="00092971" w:rsidRDefault="00DF17E9" w:rsidP="00044843">
            <w:pPr>
              <w:rPr>
                <w:b/>
                <w:color w:val="000000"/>
              </w:rPr>
            </w:pPr>
            <w:r w:rsidRPr="00092971">
              <w:rPr>
                <w:b/>
                <w:color w:val="000000"/>
              </w:rPr>
              <w:t>1 557</w:t>
            </w:r>
          </w:p>
        </w:tc>
        <w:tc>
          <w:tcPr>
            <w:tcW w:w="1315"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48</w:t>
            </w:r>
          </w:p>
        </w:tc>
        <w:tc>
          <w:tcPr>
            <w:cnfStyle w:val="000010000000" w:firstRow="0" w:lastRow="0" w:firstColumn="0" w:lastColumn="0" w:oddVBand="1" w:evenVBand="0" w:oddHBand="0" w:evenHBand="0" w:firstRowFirstColumn="0" w:firstRowLastColumn="0" w:lastRowFirstColumn="0" w:lastRowLastColumn="0"/>
            <w:tcW w:w="896" w:type="dxa"/>
            <w:tcBorders>
              <w:bottom w:val="single" w:sz="6" w:space="0" w:color="auto"/>
            </w:tcBorders>
          </w:tcPr>
          <w:p w:rsidR="00DF17E9" w:rsidRPr="00092971" w:rsidRDefault="00DF17E9" w:rsidP="00044843">
            <w:pPr>
              <w:rPr>
                <w:color w:val="000000"/>
              </w:rPr>
            </w:pPr>
            <w:r w:rsidRPr="00092971">
              <w:rPr>
                <w:b/>
                <w:color w:val="000000"/>
              </w:rPr>
              <w:t>3 632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2"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94 610</w:t>
            </w:r>
          </w:p>
        </w:tc>
        <w:tc>
          <w:tcPr>
            <w:tcW w:w="110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(2 058)</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12" w:space="0" w:color="auto"/>
            </w:tcBorders>
          </w:tcPr>
          <w:p w:rsidR="00DF17E9" w:rsidRPr="00092971" w:rsidRDefault="00DF17E9" w:rsidP="00044843">
            <w:r w:rsidRPr="00092971">
              <w:rPr>
                <w:b/>
                <w:color w:val="000000"/>
              </w:rPr>
              <w:t>(99)</w:t>
            </w:r>
          </w:p>
        </w:tc>
        <w:tc>
          <w:tcPr>
            <w:tcW w:w="1502"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77</w:t>
            </w:r>
          </w:p>
        </w:tc>
        <w:tc>
          <w:tcPr>
            <w:cnfStyle w:val="000010000000" w:firstRow="0" w:lastRow="0" w:firstColumn="0" w:lastColumn="0" w:oddVBand="1" w:evenVBand="0" w:oddHBand="0" w:evenHBand="0" w:firstRowFirstColumn="0" w:firstRowLastColumn="0" w:lastRowFirstColumn="0" w:lastRowLastColumn="0"/>
            <w:tcW w:w="1049"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5 861</w:t>
            </w:r>
          </w:p>
        </w:tc>
        <w:tc>
          <w:tcPr>
            <w:tcW w:w="1077"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1 278</w:t>
            </w:r>
          </w:p>
        </w:tc>
        <w:tc>
          <w:tcPr>
            <w:cnfStyle w:val="000010000000" w:firstRow="0" w:lastRow="0" w:firstColumn="0" w:lastColumn="0" w:oddVBand="1" w:evenVBand="0" w:oddHBand="0" w:evenHBand="0" w:firstRowFirstColumn="0" w:firstRowLastColumn="0" w:lastRowFirstColumn="0" w:lastRowLastColumn="0"/>
            <w:tcW w:w="1355" w:type="dxa"/>
            <w:tcBorders>
              <w:top w:val="single" w:sz="6" w:space="0" w:color="auto"/>
              <w:bottom w:val="single" w:sz="12" w:space="0" w:color="auto"/>
            </w:tcBorders>
          </w:tcPr>
          <w:p w:rsidR="00DF17E9" w:rsidRPr="00092971" w:rsidRDefault="00DF17E9" w:rsidP="00044843">
            <w:pPr>
              <w:rPr>
                <w:b/>
                <w:color w:val="000000"/>
              </w:rPr>
            </w:pPr>
            <w:r w:rsidRPr="00092971">
              <w:rPr>
                <w:b/>
                <w:color w:val="000000"/>
              </w:rPr>
              <w:t>1 843</w:t>
            </w:r>
          </w:p>
        </w:tc>
        <w:tc>
          <w:tcPr>
            <w:tcW w:w="1315"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b/>
              </w:rPr>
            </w:pPr>
            <w:r w:rsidRPr="00092971">
              <w:rPr>
                <w:b/>
                <w:color w:val="000000"/>
              </w:rPr>
              <w:t xml:space="preserve">1 </w:t>
            </w:r>
            <w:r w:rsidRPr="00092971">
              <w:rPr>
                <w:b/>
              </w:rPr>
              <w:t>068</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102 579</w:t>
            </w:r>
          </w:p>
        </w:tc>
      </w:tr>
    </w:tbl>
    <w:p w:rsidR="00DF17E9" w:rsidRPr="00092971" w:rsidRDefault="00DF17E9" w:rsidP="00044843">
      <w:pPr>
        <w:rPr>
          <w:lang w:val="en-US"/>
        </w:rPr>
      </w:pPr>
    </w:p>
    <w:tbl>
      <w:tblPr>
        <w:tblStyle w:val="TableDTFGeneral"/>
        <w:tblW w:w="14740" w:type="dxa"/>
        <w:tblLayout w:type="fixed"/>
        <w:tblLook w:val="02A0" w:firstRow="1" w:lastRow="0" w:firstColumn="1" w:lastColumn="0" w:noHBand="1" w:noVBand="0"/>
      </w:tblPr>
      <w:tblGrid>
        <w:gridCol w:w="4424"/>
        <w:gridCol w:w="992"/>
        <w:gridCol w:w="1108"/>
        <w:gridCol w:w="1022"/>
        <w:gridCol w:w="1498"/>
        <w:gridCol w:w="1050"/>
        <w:gridCol w:w="1078"/>
        <w:gridCol w:w="1357"/>
        <w:gridCol w:w="1316"/>
        <w:gridCol w:w="895"/>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ind w:left="0" w:firstLine="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FFFFFF"/>
              </w:rPr>
            </w:pPr>
          </w:p>
        </w:tc>
        <w:tc>
          <w:tcPr>
            <w:tcW w:w="110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FFFFFF"/>
              </w:rPr>
            </w:pPr>
          </w:p>
        </w:tc>
        <w:tc>
          <w:tcPr>
            <w:tcW w:w="149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rPr>
                <w:color w:val="FFFFFF"/>
              </w:rPr>
            </w:pPr>
          </w:p>
        </w:tc>
        <w:tc>
          <w:tcPr>
            <w:tcW w:w="107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rPr>
                <w:color w:val="FFFFFF"/>
              </w:rPr>
            </w:pPr>
          </w:p>
        </w:tc>
        <w:tc>
          <w:tcPr>
            <w:tcW w:w="1316"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FFFFFF"/>
              </w:rPr>
            </w:pP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ind w:left="0" w:firstLine="0"/>
              <w:rPr>
                <w:color w:val="000000"/>
              </w:rPr>
            </w:pPr>
            <w:r w:rsidRPr="00092971">
              <w:rPr>
                <w:b/>
                <w:color w:val="000000"/>
              </w:rPr>
              <w:t>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b/>
                <w:color w:val="000000"/>
              </w:rPr>
              <w:t>21 341</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(863)</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r w:rsidRPr="00092971">
              <w:rPr>
                <w:b/>
                <w:color w:val="000000"/>
              </w:rPr>
              <w:t>(13)</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94</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b/>
                <w:color w:val="000000"/>
              </w:rPr>
              <w:t>53</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1 373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b/>
                <w:color w:val="000000"/>
              </w:rPr>
              <w:t>908</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227</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b/>
                <w:color w:val="000000"/>
              </w:rPr>
              <w:t>23 120</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Non-specialised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2 243</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(146)</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color w:val="000000"/>
              </w:rPr>
              <w:t>6</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81</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2 181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Specialised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17 880</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(681)</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r w:rsidRPr="00092971">
              <w:rPr>
                <w:color w:val="000000"/>
              </w:rPr>
              <w:t>(13)</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92</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color w:val="000000"/>
              </w:rPr>
              <w:t>47</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1 273</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868</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585</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20 051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Heritage buildings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1 218</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(36)</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rPr>
                <w:color w:val="000000"/>
              </w:rPr>
            </w:pPr>
            <w:r w:rsidRPr="00092971">
              <w:rPr>
                <w:color w:val="000000"/>
              </w:rPr>
              <w:t>..</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40</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(355)</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r w:rsidRPr="00092971">
              <w:rPr>
                <w:color w:val="000000"/>
              </w:rPr>
              <w:t>888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ind w:left="0" w:firstLine="0"/>
              <w:rPr>
                <w:color w:val="000000"/>
              </w:rPr>
            </w:pPr>
            <w:r w:rsidRPr="00092971">
              <w:rPr>
                <w:b/>
                <w:color w:val="000000"/>
              </w:rPr>
              <w:t>Land and national parks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b/>
                <w:color w:val="000000"/>
              </w:rPr>
              <w:t>36 327</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b/>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rPr>
                <w:color w:val="000000"/>
              </w:rPr>
            </w:pPr>
            <w:r w:rsidRPr="00092971">
              <w:rPr>
                <w:b/>
                <w:color w:val="000000"/>
              </w:rPr>
              <w:t>2 919</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(154)</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b/>
                <w:color w:val="000000"/>
              </w:rPr>
              <w:t>357</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b/>
                <w:color w:val="000000"/>
              </w:rPr>
              <w:t>39 447</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Non-specialised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1 829</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color w:val="000000"/>
              </w:rPr>
              <w:t>79</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17</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(11)</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1 893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Specialised land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16 920</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color w:val="000000"/>
              </w:rPr>
              <w:t>996</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(217)</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383</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604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18 691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Land under roads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15 893</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rPr>
                <w:color w:val="000000"/>
              </w:rPr>
            </w:pPr>
            <w:r w:rsidRPr="00092971">
              <w:rPr>
                <w:color w:val="000000"/>
              </w:rPr>
              <w:t>1 844</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46</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pPr>
              <w:rPr>
                <w:color w:val="000000"/>
              </w:rPr>
            </w:pPr>
            <w:r w:rsidRPr="00092971">
              <w:rPr>
                <w:color w:val="000000"/>
              </w:rPr>
              <w:t>..</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17 801</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14179F">
            <w:pPr>
              <w:ind w:left="0" w:firstLine="0"/>
              <w:rPr>
                <w:color w:val="000000"/>
              </w:rPr>
            </w:pPr>
            <w:r>
              <w:rPr>
                <w:color w:val="000000"/>
              </w:rPr>
              <w:t xml:space="preserve">   National parks and other ‘</w:t>
            </w:r>
            <w:r w:rsidR="00DF17E9" w:rsidRPr="00092971">
              <w:rPr>
                <w:color w:val="000000"/>
              </w:rPr>
              <w:t>land only</w:t>
            </w:r>
            <w:r>
              <w:rPr>
                <w:color w:val="000000"/>
              </w:rPr>
              <w:t>’</w:t>
            </w:r>
            <w:r w:rsidR="00DF17E9" w:rsidRPr="00092971">
              <w:rPr>
                <w:color w:val="000000"/>
              </w:rPr>
              <w:t xml:space="preserve"> holdings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1 685</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pPr>
              <w:rPr>
                <w:color w:val="000000"/>
              </w:rPr>
            </w:pPr>
            <w:r w:rsidRPr="00092971">
              <w:rPr>
                <w:color w:val="000000"/>
              </w:rPr>
              <w:t>..</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(15)</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(608)</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1 062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DF17E9" w:rsidP="00044843">
            <w:pPr>
              <w:ind w:left="0" w:firstLine="0"/>
            </w:pPr>
            <w:r w:rsidRPr="00092971">
              <w:rPr>
                <w:b/>
                <w:color w:val="000000"/>
              </w:rPr>
              <w:t>Plant, equipment, vehicles and infrastructure systems</w:t>
            </w:r>
            <w:r w:rsidRPr="00067545">
              <w:rPr>
                <w:color w:val="000000"/>
                <w:vertAlign w:val="superscript"/>
              </w:rPr>
              <w:t>(</w:t>
            </w:r>
            <w:r w:rsidRPr="00067545">
              <w:rPr>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b/>
                <w:color w:val="000000"/>
              </w:rPr>
              <w:t>2 755</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(478)</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r w:rsidRPr="00092971">
              <w:rPr>
                <w:b/>
                <w:color w:val="000000"/>
              </w:rPr>
              <w:t>(2)</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81</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b/>
                <w:color w:val="000000"/>
              </w:rPr>
              <w:t>35</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218</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b/>
                <w:color w:val="000000"/>
              </w:rPr>
              <w:t>51</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463</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b/>
                <w:color w:val="000000"/>
              </w:rPr>
              <w:t>3 123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rPr>
            </w:pPr>
            <w:r>
              <w:rPr>
                <w:color w:val="000000"/>
              </w:rPr>
              <w:t xml:space="preserve">   </w:t>
            </w:r>
            <w:r w:rsidR="00DF17E9" w:rsidRPr="00092971">
              <w:rPr>
                <w:color w:val="000000"/>
              </w:rPr>
              <w:t>Infrastructure systems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1 125</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pPr>
              <w:rPr>
                <w:color w:val="000000"/>
              </w:rPr>
            </w:pPr>
            <w:r w:rsidRPr="00092971">
              <w:rPr>
                <w:color w:val="000000"/>
              </w:rPr>
              <w:t>..</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color w:val="000000"/>
              </w:rPr>
              <w:t>34</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(64)</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1 094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Pr>
          <w:p w:rsidR="00DF17E9" w:rsidRPr="00092971" w:rsidRDefault="0014179F" w:rsidP="00044843">
            <w:pPr>
              <w:ind w:left="0" w:firstLine="0"/>
              <w:rPr>
                <w:color w:val="000000"/>
                <w:vertAlign w:val="superscript"/>
              </w:rPr>
            </w:pPr>
            <w:r>
              <w:rPr>
                <w:color w:val="000000"/>
              </w:rPr>
              <w:t xml:space="preserve">   </w:t>
            </w:r>
            <w:r w:rsidR="00DF17E9" w:rsidRPr="00092971">
              <w:rPr>
                <w:color w:val="000000"/>
              </w:rPr>
              <w:t>Plant, equipment and vehicles</w:t>
            </w:r>
            <w:r w:rsidR="00DF17E9" w:rsidRPr="00067545">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092971" w:rsidRDefault="00DF17E9" w:rsidP="00044843">
            <w:pPr>
              <w:rPr>
                <w:color w:val="000000"/>
              </w:rPr>
            </w:pPr>
            <w:r w:rsidRPr="00092971">
              <w:rPr>
                <w:color w:val="000000"/>
              </w:rPr>
              <w:t>1 630</w:t>
            </w:r>
          </w:p>
        </w:tc>
        <w:tc>
          <w:tcPr>
            <w:tcW w:w="110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(466)</w:t>
            </w:r>
          </w:p>
        </w:tc>
        <w:tc>
          <w:tcPr>
            <w:cnfStyle w:val="000010000000" w:firstRow="0" w:lastRow="0" w:firstColumn="0" w:lastColumn="0" w:oddVBand="1" w:evenVBand="0" w:oddHBand="0" w:evenHBand="0" w:firstRowFirstColumn="0" w:firstRowLastColumn="0" w:lastRowFirstColumn="0" w:lastRowLastColumn="0"/>
            <w:tcW w:w="1022" w:type="dxa"/>
          </w:tcPr>
          <w:p w:rsidR="00DF17E9" w:rsidRPr="00092971" w:rsidRDefault="00DF17E9" w:rsidP="00044843">
            <w:r w:rsidRPr="00092971">
              <w:rPr>
                <w:color w:val="000000"/>
              </w:rPr>
              <w:t>(2)</w:t>
            </w:r>
          </w:p>
        </w:tc>
        <w:tc>
          <w:tcPr>
            <w:tcW w:w="149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81</w:t>
            </w:r>
          </w:p>
        </w:tc>
        <w:tc>
          <w:tcPr>
            <w:cnfStyle w:val="000010000000" w:firstRow="0" w:lastRow="0" w:firstColumn="0" w:lastColumn="0" w:oddVBand="1" w:evenVBand="0" w:oddHBand="0" w:evenHBand="0" w:firstRowFirstColumn="0" w:firstRowLastColumn="0" w:lastRowFirstColumn="0" w:lastRowLastColumn="0"/>
            <w:tcW w:w="1050" w:type="dxa"/>
          </w:tcPr>
          <w:p w:rsidR="00DF17E9" w:rsidRPr="00092971" w:rsidRDefault="00DF17E9" w:rsidP="00044843">
            <w:r w:rsidRPr="00092971">
              <w:rPr>
                <w:color w:val="000000"/>
              </w:rPr>
              <w:t>1</w:t>
            </w:r>
          </w:p>
        </w:tc>
        <w:tc>
          <w:tcPr>
            <w:tcW w:w="107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208</w:t>
            </w:r>
          </w:p>
        </w:tc>
        <w:tc>
          <w:tcPr>
            <w:cnfStyle w:val="000010000000" w:firstRow="0" w:lastRow="0" w:firstColumn="0" w:lastColumn="0" w:oddVBand="1" w:evenVBand="0" w:oddHBand="0" w:evenHBand="0" w:firstRowFirstColumn="0" w:firstRowLastColumn="0" w:lastRowFirstColumn="0" w:lastRowLastColumn="0"/>
            <w:tcW w:w="1357" w:type="dxa"/>
          </w:tcPr>
          <w:p w:rsidR="00DF17E9" w:rsidRPr="00092971" w:rsidRDefault="00DF17E9" w:rsidP="00044843">
            <w:r w:rsidRPr="00092971">
              <w:rPr>
                <w:color w:val="000000"/>
              </w:rPr>
              <w:t>51</w:t>
            </w:r>
          </w:p>
        </w:tc>
        <w:tc>
          <w:tcPr>
            <w:tcW w:w="1316"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527</w:t>
            </w:r>
          </w:p>
        </w:tc>
        <w:tc>
          <w:tcPr>
            <w:cnfStyle w:val="000010000000" w:firstRow="0" w:lastRow="0" w:firstColumn="0" w:lastColumn="0" w:oddVBand="1" w:evenVBand="0" w:oddHBand="0" w:evenHBand="0" w:firstRowFirstColumn="0" w:firstRowLastColumn="0" w:lastRowFirstColumn="0" w:lastRowLastColumn="0"/>
            <w:tcW w:w="895" w:type="dxa"/>
          </w:tcPr>
          <w:p w:rsidR="00DF17E9" w:rsidRPr="00092971" w:rsidRDefault="00DF17E9" w:rsidP="00044843">
            <w:pPr>
              <w:rPr>
                <w:color w:val="000000"/>
              </w:rPr>
            </w:pPr>
            <w:r w:rsidRPr="00092971">
              <w:rPr>
                <w:color w:val="000000"/>
              </w:rPr>
              <w:t>2 029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bottom w:val="nil"/>
            </w:tcBorders>
          </w:tcPr>
          <w:p w:rsidR="00DF17E9" w:rsidRPr="00092971" w:rsidRDefault="00DF17E9" w:rsidP="00044843">
            <w:pPr>
              <w:ind w:left="0" w:firstLine="0"/>
              <w:rPr>
                <w:color w:val="000000"/>
              </w:rPr>
            </w:pPr>
            <w:r w:rsidRPr="00092971">
              <w:rPr>
                <w:b/>
                <w:color w:val="000000"/>
              </w:rPr>
              <w:t>Roads, road infrastructure and earthworks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092971" w:rsidRDefault="00DF17E9" w:rsidP="00044843">
            <w:pPr>
              <w:rPr>
                <w:color w:val="000000"/>
              </w:rPr>
            </w:pPr>
            <w:r w:rsidRPr="00092971">
              <w:rPr>
                <w:b/>
                <w:color w:val="000000"/>
              </w:rPr>
              <w:t>28 207</w:t>
            </w:r>
          </w:p>
        </w:tc>
        <w:tc>
          <w:tcPr>
            <w:tcW w:w="110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(532)</w:t>
            </w:r>
          </w:p>
        </w:tc>
        <w:tc>
          <w:tcPr>
            <w:cnfStyle w:val="000010000000" w:firstRow="0" w:lastRow="0" w:firstColumn="0" w:lastColumn="0" w:oddVBand="1" w:evenVBand="0" w:oddHBand="0" w:evenHBand="0" w:firstRowFirstColumn="0" w:firstRowLastColumn="0" w:lastRowFirstColumn="0" w:lastRowLastColumn="0"/>
            <w:tcW w:w="1022" w:type="dxa"/>
            <w:tcBorders>
              <w:bottom w:val="nil"/>
            </w:tcBorders>
          </w:tcPr>
          <w:p w:rsidR="00DF17E9" w:rsidRPr="00092971" w:rsidRDefault="00DF17E9" w:rsidP="00044843">
            <w:pPr>
              <w:rPr>
                <w:color w:val="000000"/>
              </w:rPr>
            </w:pPr>
            <w:r w:rsidRPr="00092971">
              <w:rPr>
                <w:b/>
                <w:color w:val="000000"/>
              </w:rPr>
              <w:t>..</w:t>
            </w:r>
          </w:p>
        </w:tc>
        <w:tc>
          <w:tcPr>
            <w:tcW w:w="149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w:t>
            </w:r>
          </w:p>
        </w:tc>
        <w:tc>
          <w:tcPr>
            <w:cnfStyle w:val="000010000000" w:firstRow="0" w:lastRow="0" w:firstColumn="0" w:lastColumn="0" w:oddVBand="1" w:evenVBand="0" w:oddHBand="0" w:evenHBand="0" w:firstRowFirstColumn="0" w:firstRowLastColumn="0" w:lastRowFirstColumn="0" w:lastRowLastColumn="0"/>
            <w:tcW w:w="1050" w:type="dxa"/>
            <w:tcBorders>
              <w:bottom w:val="nil"/>
            </w:tcBorders>
          </w:tcPr>
          <w:p w:rsidR="00DF17E9" w:rsidRPr="00092971" w:rsidRDefault="00DF17E9" w:rsidP="00044843">
            <w:r w:rsidRPr="00092971">
              <w:rPr>
                <w:b/>
                <w:color w:val="000000"/>
              </w:rPr>
              <w:t>(504)</w:t>
            </w:r>
          </w:p>
        </w:tc>
        <w:tc>
          <w:tcPr>
            <w:tcW w:w="107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(170)</w:t>
            </w:r>
          </w:p>
        </w:tc>
        <w:tc>
          <w:tcPr>
            <w:cnfStyle w:val="000010000000" w:firstRow="0" w:lastRow="0" w:firstColumn="0" w:lastColumn="0" w:oddVBand="1" w:evenVBand="0" w:oddHBand="0" w:evenHBand="0" w:firstRowFirstColumn="0" w:firstRowLastColumn="0" w:lastRowFirstColumn="0" w:lastRowLastColumn="0"/>
            <w:tcW w:w="1357" w:type="dxa"/>
            <w:tcBorders>
              <w:bottom w:val="nil"/>
            </w:tcBorders>
          </w:tcPr>
          <w:p w:rsidR="00DF17E9" w:rsidRPr="00092971" w:rsidRDefault="00DF17E9" w:rsidP="00044843">
            <w:r w:rsidRPr="00092971">
              <w:rPr>
                <w:b/>
                <w:color w:val="000000"/>
              </w:rPr>
              <w:t>376</w:t>
            </w:r>
          </w:p>
        </w:tc>
        <w:tc>
          <w:tcPr>
            <w:tcW w:w="1316"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(584)</w:t>
            </w:r>
          </w:p>
        </w:tc>
        <w:tc>
          <w:tcPr>
            <w:cnfStyle w:val="000010000000" w:firstRow="0" w:lastRow="0" w:firstColumn="0" w:lastColumn="0" w:oddVBand="1" w:evenVBand="0" w:oddHBand="0" w:evenHBand="0" w:firstRowFirstColumn="0" w:firstRowLastColumn="0" w:lastRowFirstColumn="0" w:lastRowLastColumn="0"/>
            <w:tcW w:w="895" w:type="dxa"/>
            <w:tcBorders>
              <w:bottom w:val="nil"/>
            </w:tcBorders>
          </w:tcPr>
          <w:p w:rsidR="00DF17E9" w:rsidRPr="00092971" w:rsidRDefault="00DF17E9" w:rsidP="00044843">
            <w:pPr>
              <w:rPr>
                <w:color w:val="000000"/>
              </w:rPr>
            </w:pPr>
            <w:r w:rsidRPr="00092971">
              <w:rPr>
                <w:b/>
                <w:color w:val="000000"/>
              </w:rPr>
              <w:t>26 798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rsidR="00DF17E9" w:rsidRPr="00092971" w:rsidRDefault="00DF17E9" w:rsidP="00044843">
            <w:pPr>
              <w:ind w:left="0" w:firstLine="0"/>
              <w:rPr>
                <w:color w:val="000000"/>
              </w:rPr>
            </w:pPr>
            <w:r w:rsidRPr="00092971">
              <w:rPr>
                <w:b/>
                <w:color w:val="000000"/>
              </w:rPr>
              <w:t>Cultural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092971" w:rsidRDefault="00DF17E9" w:rsidP="00044843">
            <w:pPr>
              <w:rPr>
                <w:color w:val="000000"/>
              </w:rPr>
            </w:pPr>
            <w:r w:rsidRPr="00092971">
              <w:rPr>
                <w:b/>
                <w:color w:val="000000"/>
              </w:rPr>
              <w:t>2 146</w:t>
            </w:r>
          </w:p>
        </w:tc>
        <w:tc>
          <w:tcPr>
            <w:tcW w:w="110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(17)</w:t>
            </w:r>
          </w:p>
        </w:tc>
        <w:tc>
          <w:tcPr>
            <w:cnfStyle w:val="000010000000" w:firstRow="0" w:lastRow="0" w:firstColumn="0" w:lastColumn="0" w:oddVBand="1" w:evenVBand="0" w:oddHBand="0" w:evenHBand="0" w:firstRowFirstColumn="0" w:firstRowLastColumn="0" w:lastRowFirstColumn="0" w:lastRowLastColumn="0"/>
            <w:tcW w:w="1022" w:type="dxa"/>
            <w:tcBorders>
              <w:bottom w:val="single" w:sz="6" w:space="0" w:color="auto"/>
            </w:tcBorders>
          </w:tcPr>
          <w:p w:rsidR="00DF17E9" w:rsidRPr="00092971" w:rsidRDefault="00DF17E9" w:rsidP="00044843">
            <w:pPr>
              <w:rPr>
                <w:color w:val="000000"/>
              </w:rPr>
            </w:pPr>
            <w:r w:rsidRPr="00092971">
              <w:rPr>
                <w:b/>
                <w:color w:val="000000"/>
              </w:rPr>
              <w:t>..</w:t>
            </w:r>
          </w:p>
        </w:tc>
        <w:tc>
          <w:tcPr>
            <w:tcW w:w="149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11</w:t>
            </w:r>
          </w:p>
        </w:tc>
        <w:tc>
          <w:tcPr>
            <w:cnfStyle w:val="000010000000" w:firstRow="0" w:lastRow="0" w:firstColumn="0" w:lastColumn="0" w:oddVBand="1" w:evenVBand="0" w:oddHBand="0" w:evenHBand="0" w:firstRowFirstColumn="0" w:firstRowLastColumn="0" w:lastRowFirstColumn="0" w:lastRowLastColumn="0"/>
            <w:tcW w:w="1050" w:type="dxa"/>
            <w:tcBorders>
              <w:bottom w:val="single" w:sz="6" w:space="0" w:color="auto"/>
            </w:tcBorders>
          </w:tcPr>
          <w:p w:rsidR="00DF17E9" w:rsidRPr="00092971" w:rsidRDefault="00DF17E9" w:rsidP="00044843">
            <w:r w:rsidRPr="00092971">
              <w:rPr>
                <w:b/>
                <w:color w:val="000000"/>
              </w:rPr>
              <w:t>2</w:t>
            </w:r>
          </w:p>
        </w:tc>
        <w:tc>
          <w:tcPr>
            <w:tcW w:w="107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(15)</w:t>
            </w:r>
          </w:p>
        </w:tc>
        <w:tc>
          <w:tcPr>
            <w:cnfStyle w:val="000010000000" w:firstRow="0" w:lastRow="0" w:firstColumn="0" w:lastColumn="0" w:oddVBand="1" w:evenVBand="0" w:oddHBand="0" w:evenHBand="0" w:firstRowFirstColumn="0" w:firstRowLastColumn="0" w:lastRowFirstColumn="0" w:lastRowLastColumn="0"/>
            <w:tcW w:w="1357" w:type="dxa"/>
            <w:tcBorders>
              <w:bottom w:val="single" w:sz="6" w:space="0" w:color="auto"/>
            </w:tcBorders>
          </w:tcPr>
          <w:p w:rsidR="00DF17E9" w:rsidRPr="00092971" w:rsidRDefault="00DF17E9" w:rsidP="00044843">
            <w:r w:rsidRPr="00092971">
              <w:rPr>
                <w:b/>
                <w:color w:val="000000"/>
              </w:rPr>
              <w:t>(1)</w:t>
            </w:r>
          </w:p>
        </w:tc>
        <w:tc>
          <w:tcPr>
            <w:tcW w:w="1316"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w:t>
            </w:r>
          </w:p>
        </w:tc>
        <w:tc>
          <w:tcPr>
            <w:cnfStyle w:val="000010000000" w:firstRow="0" w:lastRow="0" w:firstColumn="0" w:lastColumn="0" w:oddVBand="1" w:evenVBand="0" w:oddHBand="0" w:evenHBand="0" w:firstRowFirstColumn="0" w:firstRowLastColumn="0" w:lastRowFirstColumn="0" w:lastRowLastColumn="0"/>
            <w:tcW w:w="895" w:type="dxa"/>
            <w:tcBorders>
              <w:bottom w:val="single" w:sz="6" w:space="0" w:color="auto"/>
            </w:tcBorders>
          </w:tcPr>
          <w:p w:rsidR="00DF17E9" w:rsidRPr="00092971" w:rsidRDefault="00DF17E9" w:rsidP="00044843">
            <w:pPr>
              <w:rPr>
                <w:color w:val="000000"/>
              </w:rPr>
            </w:pPr>
            <w:r w:rsidRPr="00092971">
              <w:rPr>
                <w:b/>
                <w:color w:val="000000"/>
              </w:rPr>
              <w:t>2 122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rsidR="00DF17E9" w:rsidRPr="00092971" w:rsidRDefault="00DF17E9" w:rsidP="00044843">
            <w:pPr>
              <w:ind w:left="0" w:firstLine="0"/>
            </w:pPr>
            <w:r w:rsidRPr="00092971">
              <w:rPr>
                <w:b/>
                <w:color w:val="000000"/>
              </w:rPr>
              <w:t>Total</w:t>
            </w:r>
            <w:r w:rsidRPr="00067545">
              <w:rPr>
                <w:color w:val="000000"/>
                <w:vertAlign w:val="superscript"/>
              </w:rPr>
              <w:t>(</w:t>
            </w:r>
            <w:r w:rsidRPr="00067545">
              <w:rPr>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90 776</w:t>
            </w:r>
          </w:p>
        </w:tc>
        <w:tc>
          <w:tcPr>
            <w:tcW w:w="110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(1 890)</w:t>
            </w:r>
          </w:p>
        </w:tc>
        <w:tc>
          <w:tcPr>
            <w:cnfStyle w:val="000010000000" w:firstRow="0" w:lastRow="0" w:firstColumn="0" w:lastColumn="0" w:oddVBand="1" w:evenVBand="0" w:oddHBand="0" w:evenHBand="0" w:firstRowFirstColumn="0" w:firstRowLastColumn="0" w:lastRowFirstColumn="0" w:lastRowLastColumn="0"/>
            <w:tcW w:w="1022" w:type="dxa"/>
            <w:tcBorders>
              <w:top w:val="single" w:sz="6" w:space="0" w:color="auto"/>
              <w:bottom w:val="single" w:sz="12" w:space="0" w:color="auto"/>
            </w:tcBorders>
          </w:tcPr>
          <w:p w:rsidR="00DF17E9" w:rsidRPr="00092971" w:rsidRDefault="00DF17E9" w:rsidP="00044843">
            <w:r w:rsidRPr="00092971">
              <w:rPr>
                <w:b/>
                <w:color w:val="000000"/>
              </w:rPr>
              <w:t>(15)</w:t>
            </w:r>
          </w:p>
        </w:tc>
        <w:tc>
          <w:tcPr>
            <w:tcW w:w="149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196</w:t>
            </w:r>
          </w:p>
        </w:tc>
        <w:tc>
          <w:tcPr>
            <w:cnfStyle w:val="000010000000" w:firstRow="0" w:lastRow="0" w:firstColumn="0" w:lastColumn="0" w:oddVBand="1" w:evenVBand="0" w:oddHBand="0" w:evenHBand="0" w:firstRowFirstColumn="0" w:firstRowLastColumn="0" w:lastRowFirstColumn="0" w:lastRowLastColumn="0"/>
            <w:tcW w:w="1050"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2 505</w:t>
            </w:r>
          </w:p>
        </w:tc>
        <w:tc>
          <w:tcPr>
            <w:tcW w:w="107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1 252</w:t>
            </w:r>
          </w:p>
        </w:tc>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1 691</w:t>
            </w:r>
          </w:p>
        </w:tc>
        <w:tc>
          <w:tcPr>
            <w:tcW w:w="1316"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96</w:t>
            </w:r>
          </w:p>
        </w:tc>
        <w:tc>
          <w:tcPr>
            <w:cnfStyle w:val="000010000000" w:firstRow="0" w:lastRow="0" w:firstColumn="0" w:lastColumn="0" w:oddVBand="1" w:evenVBand="0" w:oddHBand="0" w:evenHBand="0" w:firstRowFirstColumn="0" w:firstRowLastColumn="0" w:lastRowFirstColumn="0" w:lastRowLastColumn="0"/>
            <w:tcW w:w="895" w:type="dxa"/>
            <w:tcBorders>
              <w:top w:val="single" w:sz="6" w:space="0" w:color="auto"/>
              <w:bottom w:val="single" w:sz="12" w:space="0" w:color="auto"/>
            </w:tcBorders>
          </w:tcPr>
          <w:p w:rsidR="00DF17E9" w:rsidRPr="00092971" w:rsidRDefault="00DF17E9" w:rsidP="00044843">
            <w:pPr>
              <w:rPr>
                <w:color w:val="000000"/>
              </w:rPr>
            </w:pPr>
            <w:r w:rsidRPr="00092971">
              <w:rPr>
                <w:b/>
                <w:color w:val="000000"/>
              </w:rPr>
              <w:t>94 610</w:t>
            </w:r>
          </w:p>
        </w:tc>
      </w:tr>
    </w:tbl>
    <w:p w:rsidR="00DF17E9" w:rsidRDefault="00DF17E9" w:rsidP="00044843">
      <w:pPr>
        <w:pStyle w:val="Note"/>
      </w:pPr>
      <w:r>
        <w:t>Note:</w:t>
      </w:r>
      <w:r>
        <w:tab/>
      </w:r>
    </w:p>
    <w:p w:rsidR="00DF17E9" w:rsidRPr="00AE18C9" w:rsidRDefault="00DF17E9" w:rsidP="00044843">
      <w:pPr>
        <w:pStyle w:val="Note"/>
        <w:rPr>
          <w:b/>
          <w:bCs/>
          <w:lang w:val="en-US"/>
        </w:rPr>
        <w:sectPr w:rsidR="00DF17E9" w:rsidRPr="00AE18C9" w:rsidSect="00044843">
          <w:headerReference w:type="even" r:id="rId220"/>
          <w:headerReference w:type="default" r:id="rId221"/>
          <w:footerReference w:type="even" r:id="rId222"/>
          <w:footerReference w:type="default" r:id="rId223"/>
          <w:pgSz w:w="16838" w:h="11906" w:orient="landscape" w:code="9"/>
          <w:pgMar w:top="1134" w:right="1134" w:bottom="1134" w:left="1134" w:header="624" w:footer="567" w:gutter="0"/>
          <w:cols w:space="708"/>
          <w:docGrid w:linePitch="360"/>
        </w:sectPr>
      </w:pPr>
      <w:r>
        <w:t>(a)</w:t>
      </w:r>
      <w:r>
        <w:tab/>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Subheading"/>
        <w:pBdr>
          <w:bottom w:val="single" w:sz="6" w:space="1" w:color="0063A6" w:themeColor="accent1"/>
        </w:pBdr>
      </w:pPr>
      <w:r w:rsidRPr="00277B79">
        <w:lastRenderedPageBreak/>
        <w:t>Description of valuation techniques and significant unobservable inputs to Level 3 fair value measurements</w:t>
      </w:r>
    </w:p>
    <w:p w:rsidR="00DF17E9" w:rsidRPr="00277B79" w:rsidRDefault="00DF17E9" w:rsidP="00951A34">
      <w:r w:rsidRPr="00277B79">
        <w:t>The State measures all non</w:t>
      </w:r>
      <w:r w:rsidRPr="00277B79">
        <w:noBreakHyphen/>
        <w:t>financial physical assets initially at cost and subsequently revalues the assets at fair value less accumulated depreciation and impairment. The disclosure below provides additional information about the Level 3 measurements (fair value measurements using significant unobservable inputs).</w:t>
      </w:r>
    </w:p>
    <w:p w:rsidR="00DF17E9" w:rsidRPr="00277B79" w:rsidRDefault="00DF17E9" w:rsidP="00951A34">
      <w:r w:rsidRPr="00277B79">
        <w:t>The Victorian no</w:t>
      </w:r>
      <w:r>
        <w:t>t</w:t>
      </w:r>
      <w:r w:rsidRPr="00277B79">
        <w:t>-for-profit public sector entities hold their recurring non-financial assets measured at Level 3 primarily for service potential rather than their ability to generate net cash inflows, which is the case with the Victorian not</w:t>
      </w:r>
      <w:r w:rsidRPr="00277B79">
        <w:noBreakHyphen/>
        <w:t>for</w:t>
      </w:r>
      <w:r w:rsidRPr="00277B79">
        <w:noBreakHyphen/>
        <w:t xml:space="preserve">profit public sector entities. </w:t>
      </w:r>
    </w:p>
    <w:p w:rsidR="00DF17E9" w:rsidRPr="00277B79" w:rsidRDefault="00DF17E9" w:rsidP="00951A34">
      <w:r w:rsidRPr="00277B79">
        <w:lastRenderedPageBreak/>
        <w:t>The Government’s designated entities as for</w:t>
      </w:r>
      <w:r w:rsidRPr="00277B79">
        <w:noBreakHyphen/>
        <w:t>pr</w:t>
      </w:r>
      <w:r>
        <w:t>ofit in accordance with FRD 108B</w:t>
      </w:r>
      <w:r w:rsidRPr="00277B79">
        <w:t xml:space="preserve"> Classification of entities as for</w:t>
      </w:r>
      <w:r w:rsidRPr="00277B79">
        <w:noBreakHyphen/>
        <w:t>profit, are considered to be primarily held to generate future net cash flows.</w:t>
      </w:r>
    </w:p>
    <w:p w:rsidR="00DF17E9" w:rsidRDefault="00DF17E9" w:rsidP="00951A34">
      <w:pPr>
        <w:sectPr w:rsidR="00DF17E9" w:rsidSect="00044843">
          <w:headerReference w:type="even" r:id="rId224"/>
          <w:headerReference w:type="default" r:id="rId225"/>
          <w:footerReference w:type="even" r:id="rId226"/>
          <w:footerReference w:type="default" r:id="rId227"/>
          <w:type w:val="continuous"/>
          <w:pgSz w:w="11906" w:h="16838" w:code="9"/>
          <w:pgMar w:top="1134" w:right="1134" w:bottom="1134" w:left="1134" w:header="624" w:footer="567" w:gutter="0"/>
          <w:cols w:num="2" w:space="708"/>
          <w:docGrid w:linePitch="360"/>
        </w:sectPr>
      </w:pPr>
      <w:r w:rsidRPr="00277B79">
        <w:t>See below the respective fair value disclosures for not</w:t>
      </w:r>
      <w:r w:rsidRPr="00277B79">
        <w:noBreakHyphen/>
        <w:t>for profit and for</w:t>
      </w:r>
      <w:r w:rsidRPr="00277B79">
        <w:noBreakHyphen/>
        <w:t>profit public sector entities. The disclosures refer to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p>
    <w:p w:rsidR="00DF17E9" w:rsidRDefault="00DF17E9">
      <w:pPr>
        <w:rPr>
          <w:rFonts w:asciiTheme="majorHAnsi" w:hAnsiTheme="majorHAnsi"/>
          <w:b/>
          <w:spacing w:val="-2"/>
        </w:rPr>
      </w:pPr>
      <w:r>
        <w:lastRenderedPageBreak/>
        <w:br w:type="page"/>
      </w:r>
    </w:p>
    <w:p w:rsidR="00DF17E9" w:rsidRPr="00092971" w:rsidRDefault="00DF17E9" w:rsidP="00044843">
      <w:pPr>
        <w:pStyle w:val="Subheading"/>
        <w:rPr>
          <w:bCs/>
          <w:i/>
          <w:sz w:val="16"/>
          <w:lang w:val="en-US"/>
        </w:rPr>
      </w:pPr>
      <w:r w:rsidRPr="004D1D60">
        <w:lastRenderedPageBreak/>
        <w:t>Fair value disclosure for assets held primarily for service potential</w:t>
      </w:r>
    </w:p>
    <w:tbl>
      <w:tblPr>
        <w:tblStyle w:val="TableDTFGeneral"/>
        <w:tblW w:w="9638" w:type="dxa"/>
        <w:tblLayout w:type="fixed"/>
        <w:tblLook w:val="0620" w:firstRow="1" w:lastRow="0" w:firstColumn="0" w:lastColumn="0" w:noHBand="1" w:noVBand="1"/>
      </w:tblPr>
      <w:tblGrid>
        <w:gridCol w:w="3572"/>
        <w:gridCol w:w="2852"/>
        <w:gridCol w:w="3214"/>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tcW w:w="3572" w:type="dxa"/>
          </w:tcPr>
          <w:p w:rsidR="00DF17E9" w:rsidRPr="00092971" w:rsidRDefault="00DF17E9" w:rsidP="00044843">
            <w:pPr>
              <w:jc w:val="left"/>
              <w:rPr>
                <w:color w:val="FFFFFF"/>
              </w:rPr>
            </w:pPr>
            <w:r w:rsidRPr="00092971">
              <w:rPr>
                <w:color w:val="FFFFFF"/>
              </w:rPr>
              <w:t>Asset class</w:t>
            </w:r>
          </w:p>
        </w:tc>
        <w:tc>
          <w:tcPr>
            <w:tcW w:w="2852" w:type="dxa"/>
          </w:tcPr>
          <w:p w:rsidR="00DF17E9" w:rsidRPr="00092971" w:rsidRDefault="00DF17E9" w:rsidP="00044843">
            <w:pPr>
              <w:jc w:val="left"/>
              <w:rPr>
                <w:color w:val="FFFFFF"/>
              </w:rPr>
            </w:pPr>
            <w:r w:rsidRPr="00092971">
              <w:rPr>
                <w:color w:val="FFFFFF"/>
              </w:rPr>
              <w:t>Valuation technique</w:t>
            </w:r>
          </w:p>
        </w:tc>
        <w:tc>
          <w:tcPr>
            <w:tcW w:w="3214" w:type="dxa"/>
          </w:tcPr>
          <w:p w:rsidR="00DF17E9" w:rsidRPr="00092971" w:rsidRDefault="00DF17E9" w:rsidP="00044843">
            <w:pPr>
              <w:jc w:val="left"/>
              <w:rPr>
                <w:color w:val="FFFFFF"/>
              </w:rPr>
            </w:pPr>
            <w:r w:rsidRPr="00092971">
              <w:rPr>
                <w:color w:val="FFFFFF"/>
              </w:rPr>
              <w:t>Significant unobservable input</w:t>
            </w:r>
          </w:p>
        </w:tc>
      </w:tr>
      <w:tr w:rsidR="0014179F" w:rsidRPr="00092971" w:rsidTr="006E44BF">
        <w:tc>
          <w:tcPr>
            <w:tcW w:w="9638" w:type="dxa"/>
            <w:gridSpan w:val="3"/>
            <w:shd w:val="clear" w:color="auto" w:fill="EBEBEB" w:themeFill="background2"/>
          </w:tcPr>
          <w:p w:rsidR="0014179F" w:rsidRPr="00092971" w:rsidRDefault="0014179F" w:rsidP="0014179F">
            <w:pPr>
              <w:ind w:left="113" w:hanging="113"/>
              <w:jc w:val="left"/>
              <w:rPr>
                <w:b/>
                <w:color w:val="000000"/>
              </w:rPr>
            </w:pPr>
            <w:r w:rsidRPr="00092971">
              <w:rPr>
                <w:b/>
                <w:color w:val="000000"/>
              </w:rPr>
              <w:t>Buildings</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Non-specialised buildings</w:t>
            </w:r>
          </w:p>
        </w:tc>
        <w:tc>
          <w:tcPr>
            <w:tcW w:w="2852" w:type="dxa"/>
          </w:tcPr>
          <w:p w:rsidR="00DF17E9" w:rsidRPr="00092971" w:rsidRDefault="00DF17E9" w:rsidP="00044843">
            <w:pPr>
              <w:jc w:val="left"/>
              <w:rPr>
                <w:color w:val="000000"/>
              </w:rPr>
            </w:pPr>
            <w:r w:rsidRPr="00092971">
              <w:rPr>
                <w:color w:val="000000"/>
              </w:rPr>
              <w:t>Depreciated replacement cost</w:t>
            </w:r>
          </w:p>
          <w:p w:rsidR="00DF17E9" w:rsidRPr="00092971" w:rsidRDefault="00DF17E9" w:rsidP="00044843">
            <w:pPr>
              <w:jc w:val="left"/>
              <w:rPr>
                <w:color w:val="000000"/>
              </w:rPr>
            </w:pPr>
          </w:p>
        </w:tc>
        <w:tc>
          <w:tcPr>
            <w:tcW w:w="3214" w:type="dxa"/>
          </w:tcPr>
          <w:p w:rsidR="00DF17E9" w:rsidRDefault="00DF17E9" w:rsidP="00044843">
            <w:pPr>
              <w:jc w:val="left"/>
              <w:rPr>
                <w:color w:val="000000"/>
              </w:rPr>
            </w:pPr>
            <w:r>
              <w:rPr>
                <w:color w:val="000000"/>
              </w:rPr>
              <w:t>Direct cost per square metre</w:t>
            </w:r>
          </w:p>
          <w:p w:rsidR="00DF17E9" w:rsidRPr="00092971" w:rsidRDefault="00DF17E9" w:rsidP="00044843">
            <w:pPr>
              <w:jc w:val="left"/>
              <w:rPr>
                <w:color w:val="000000"/>
              </w:rPr>
            </w:pPr>
            <w:r>
              <w:rPr>
                <w:color w:val="000000"/>
              </w:rPr>
              <w:t>Useful life</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Specialised buildings</w:t>
            </w:r>
          </w:p>
        </w:tc>
        <w:tc>
          <w:tcPr>
            <w:tcW w:w="2852" w:type="dxa"/>
          </w:tcPr>
          <w:p w:rsidR="00DF17E9" w:rsidRPr="00092971" w:rsidRDefault="00DF17E9" w:rsidP="00044843">
            <w:pPr>
              <w:jc w:val="left"/>
              <w:rPr>
                <w:color w:val="000000"/>
              </w:rPr>
            </w:pPr>
            <w:r w:rsidRPr="00092971">
              <w:rPr>
                <w:color w:val="000000"/>
              </w:rPr>
              <w:t>Depreciated replacement cost</w:t>
            </w:r>
          </w:p>
          <w:p w:rsidR="00DF17E9" w:rsidRPr="00092971" w:rsidRDefault="00DF17E9" w:rsidP="00044843">
            <w:pPr>
              <w:jc w:val="left"/>
              <w:rPr>
                <w:color w:val="000000"/>
              </w:rPr>
            </w:pPr>
          </w:p>
        </w:tc>
        <w:tc>
          <w:tcPr>
            <w:tcW w:w="3214" w:type="dxa"/>
          </w:tcPr>
          <w:p w:rsidR="00DF17E9" w:rsidRDefault="00DF17E9" w:rsidP="00044843">
            <w:pPr>
              <w:jc w:val="left"/>
              <w:rPr>
                <w:color w:val="000000"/>
              </w:rPr>
            </w:pPr>
            <w:r>
              <w:rPr>
                <w:color w:val="000000"/>
              </w:rPr>
              <w:t>Direct cost per square metre</w:t>
            </w:r>
          </w:p>
          <w:p w:rsidR="00DF17E9" w:rsidRPr="00092971" w:rsidRDefault="00DF17E9" w:rsidP="00044843">
            <w:pPr>
              <w:jc w:val="left"/>
              <w:rPr>
                <w:color w:val="000000"/>
              </w:rPr>
            </w:pPr>
            <w:r>
              <w:rPr>
                <w:color w:val="000000"/>
              </w:rPr>
              <w:t>Useful life</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Heritage buildings</w:t>
            </w:r>
          </w:p>
        </w:tc>
        <w:tc>
          <w:tcPr>
            <w:tcW w:w="2852" w:type="dxa"/>
          </w:tcPr>
          <w:p w:rsidR="00DF17E9" w:rsidRPr="00092971" w:rsidRDefault="00DF17E9" w:rsidP="00044843">
            <w:pPr>
              <w:jc w:val="left"/>
              <w:rPr>
                <w:color w:val="000000"/>
              </w:rPr>
            </w:pPr>
            <w:r w:rsidRPr="00092971">
              <w:rPr>
                <w:color w:val="000000"/>
              </w:rPr>
              <w:t>Depreciated replacement cost</w:t>
            </w:r>
          </w:p>
          <w:p w:rsidR="00DF17E9" w:rsidRPr="00092971" w:rsidRDefault="00DF17E9" w:rsidP="00044843">
            <w:pPr>
              <w:jc w:val="left"/>
              <w:rPr>
                <w:color w:val="000000"/>
              </w:rPr>
            </w:pPr>
          </w:p>
        </w:tc>
        <w:tc>
          <w:tcPr>
            <w:tcW w:w="3214" w:type="dxa"/>
          </w:tcPr>
          <w:p w:rsidR="00DF17E9" w:rsidRDefault="00DF17E9" w:rsidP="00044843">
            <w:pPr>
              <w:jc w:val="left"/>
              <w:rPr>
                <w:color w:val="000000"/>
              </w:rPr>
            </w:pPr>
            <w:r>
              <w:rPr>
                <w:color w:val="000000"/>
              </w:rPr>
              <w:t>Community service obligation (CSO) adjustment (a)</w:t>
            </w:r>
          </w:p>
          <w:p w:rsidR="00DF17E9" w:rsidRDefault="00DF17E9" w:rsidP="00044843">
            <w:pPr>
              <w:jc w:val="left"/>
              <w:rPr>
                <w:color w:val="000000"/>
              </w:rPr>
            </w:pPr>
            <w:r>
              <w:rPr>
                <w:color w:val="000000"/>
              </w:rPr>
              <w:t>Direct cost per square metre</w:t>
            </w:r>
          </w:p>
          <w:p w:rsidR="00DF17E9" w:rsidRPr="00092971" w:rsidRDefault="00DF17E9" w:rsidP="00044843">
            <w:pPr>
              <w:jc w:val="left"/>
              <w:rPr>
                <w:color w:val="000000"/>
              </w:rPr>
            </w:pPr>
            <w:r>
              <w:rPr>
                <w:color w:val="000000"/>
              </w:rPr>
              <w:t>Useful life</w:t>
            </w:r>
          </w:p>
        </w:tc>
      </w:tr>
      <w:tr w:rsidR="0014179F" w:rsidRPr="00092971" w:rsidTr="006E44BF">
        <w:tc>
          <w:tcPr>
            <w:tcW w:w="9638" w:type="dxa"/>
            <w:gridSpan w:val="3"/>
            <w:shd w:val="clear" w:color="auto" w:fill="EBEBEB" w:themeFill="background2"/>
          </w:tcPr>
          <w:p w:rsidR="0014179F" w:rsidRPr="00092971" w:rsidRDefault="0014179F" w:rsidP="0014179F">
            <w:pPr>
              <w:ind w:left="113" w:hanging="113"/>
              <w:jc w:val="left"/>
              <w:rPr>
                <w:b/>
                <w:color w:val="000000"/>
              </w:rPr>
            </w:pPr>
            <w:r w:rsidRPr="00092971">
              <w:rPr>
                <w:b/>
                <w:color w:val="000000"/>
              </w:rPr>
              <w:t>Land and national parks</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Non-specialised land</w:t>
            </w:r>
          </w:p>
        </w:tc>
        <w:tc>
          <w:tcPr>
            <w:tcW w:w="2852" w:type="dxa"/>
          </w:tcPr>
          <w:p w:rsidR="00DF17E9" w:rsidRPr="00092971" w:rsidRDefault="00DF17E9" w:rsidP="00044843">
            <w:pPr>
              <w:jc w:val="left"/>
              <w:rPr>
                <w:color w:val="000000"/>
              </w:rPr>
            </w:pPr>
            <w:r w:rsidRPr="00092971">
              <w:rPr>
                <w:color w:val="000000"/>
              </w:rPr>
              <w:t>Market approach</w:t>
            </w:r>
          </w:p>
        </w:tc>
        <w:tc>
          <w:tcPr>
            <w:tcW w:w="3214" w:type="dxa"/>
          </w:tcPr>
          <w:p w:rsidR="00DF17E9" w:rsidRPr="00092971" w:rsidRDefault="00DF17E9" w:rsidP="00044843">
            <w:pPr>
              <w:jc w:val="left"/>
              <w:rPr>
                <w:color w:val="000000"/>
              </w:rPr>
            </w:pPr>
            <w:r w:rsidRPr="00092971">
              <w:rPr>
                <w:color w:val="000000"/>
              </w:rPr>
              <w:t xml:space="preserve">CSO adjustment </w:t>
            </w:r>
            <w:r w:rsidRPr="00092971">
              <w:rPr>
                <w:color w:val="000000"/>
                <w:vertAlign w:val="superscript"/>
              </w:rPr>
              <w:t>(a)</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Specialised land</w:t>
            </w:r>
          </w:p>
        </w:tc>
        <w:tc>
          <w:tcPr>
            <w:tcW w:w="2852" w:type="dxa"/>
          </w:tcPr>
          <w:p w:rsidR="00DF17E9" w:rsidRPr="00092971" w:rsidRDefault="00DF17E9" w:rsidP="00044843">
            <w:pPr>
              <w:jc w:val="left"/>
              <w:rPr>
                <w:color w:val="000000"/>
              </w:rPr>
            </w:pPr>
            <w:r w:rsidRPr="00092971">
              <w:rPr>
                <w:color w:val="000000"/>
              </w:rPr>
              <w:t>Market approach</w:t>
            </w:r>
          </w:p>
        </w:tc>
        <w:tc>
          <w:tcPr>
            <w:tcW w:w="3214" w:type="dxa"/>
          </w:tcPr>
          <w:p w:rsidR="00DF17E9" w:rsidRPr="00092971" w:rsidRDefault="00DF17E9" w:rsidP="00044843">
            <w:pPr>
              <w:jc w:val="left"/>
              <w:rPr>
                <w:color w:val="000000"/>
              </w:rPr>
            </w:pPr>
            <w:r w:rsidRPr="00092971">
              <w:rPr>
                <w:color w:val="000000"/>
              </w:rPr>
              <w:t xml:space="preserve">CSO adjustment </w:t>
            </w:r>
            <w:r w:rsidRPr="00092971">
              <w:rPr>
                <w:color w:val="000000"/>
                <w:vertAlign w:val="superscript"/>
              </w:rPr>
              <w:t>(a)</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Land under roads</w:t>
            </w:r>
          </w:p>
        </w:tc>
        <w:tc>
          <w:tcPr>
            <w:tcW w:w="2852" w:type="dxa"/>
          </w:tcPr>
          <w:p w:rsidR="00DF17E9" w:rsidRPr="00092971" w:rsidRDefault="00DF17E9" w:rsidP="00044843">
            <w:pPr>
              <w:jc w:val="left"/>
              <w:rPr>
                <w:color w:val="000000"/>
              </w:rPr>
            </w:pPr>
            <w:r w:rsidRPr="00092971">
              <w:rPr>
                <w:color w:val="000000"/>
              </w:rPr>
              <w:t>Market approach</w:t>
            </w:r>
          </w:p>
        </w:tc>
        <w:tc>
          <w:tcPr>
            <w:tcW w:w="3214" w:type="dxa"/>
          </w:tcPr>
          <w:p w:rsidR="00DF17E9" w:rsidRPr="00092971" w:rsidRDefault="00DF17E9" w:rsidP="00044843">
            <w:pPr>
              <w:jc w:val="left"/>
              <w:rPr>
                <w:color w:val="000000"/>
                <w:vertAlign w:val="superscript"/>
              </w:rPr>
            </w:pPr>
            <w:r w:rsidRPr="00092971">
              <w:rPr>
                <w:color w:val="000000"/>
              </w:rPr>
              <w:t xml:space="preserve">CSO adjustment </w:t>
            </w:r>
            <w:r w:rsidRPr="00092971">
              <w:rPr>
                <w:color w:val="000000"/>
                <w:vertAlign w:val="superscript"/>
              </w:rPr>
              <w:t>(a)</w:t>
            </w:r>
          </w:p>
          <w:p w:rsidR="00DF17E9" w:rsidRPr="00092971" w:rsidRDefault="00DF17E9" w:rsidP="00044843">
            <w:pPr>
              <w:jc w:val="left"/>
              <w:rPr>
                <w:color w:val="000000"/>
              </w:rPr>
            </w:pPr>
            <w:r w:rsidRPr="00092971">
              <w:rPr>
                <w:color w:val="000000"/>
              </w:rPr>
              <w:t>Direct cost per hectare</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National parks</w:t>
            </w:r>
          </w:p>
        </w:tc>
        <w:tc>
          <w:tcPr>
            <w:tcW w:w="2852" w:type="dxa"/>
          </w:tcPr>
          <w:p w:rsidR="00DF17E9" w:rsidRPr="00092971" w:rsidRDefault="00DF17E9" w:rsidP="00044843">
            <w:pPr>
              <w:jc w:val="left"/>
              <w:rPr>
                <w:color w:val="000000"/>
              </w:rPr>
            </w:pPr>
            <w:r w:rsidRPr="00092971">
              <w:rPr>
                <w:color w:val="000000"/>
              </w:rPr>
              <w:t>Market approach</w:t>
            </w:r>
          </w:p>
        </w:tc>
        <w:tc>
          <w:tcPr>
            <w:tcW w:w="3214" w:type="dxa"/>
          </w:tcPr>
          <w:p w:rsidR="00DF17E9" w:rsidRPr="00092971" w:rsidRDefault="00DF17E9" w:rsidP="00044843">
            <w:pPr>
              <w:jc w:val="left"/>
              <w:rPr>
                <w:color w:val="000000"/>
              </w:rPr>
            </w:pPr>
            <w:r w:rsidRPr="00092971">
              <w:rPr>
                <w:color w:val="000000"/>
              </w:rPr>
              <w:t xml:space="preserve">CSO adjustment </w:t>
            </w:r>
            <w:r w:rsidRPr="00092971">
              <w:rPr>
                <w:color w:val="000000"/>
                <w:vertAlign w:val="superscript"/>
              </w:rPr>
              <w:t>(a)</w:t>
            </w:r>
          </w:p>
        </w:tc>
      </w:tr>
      <w:tr w:rsidR="0014179F" w:rsidRPr="00092971" w:rsidTr="006E44BF">
        <w:tc>
          <w:tcPr>
            <w:tcW w:w="9638" w:type="dxa"/>
            <w:gridSpan w:val="3"/>
            <w:shd w:val="clear" w:color="auto" w:fill="EBEBEB" w:themeFill="background2"/>
          </w:tcPr>
          <w:p w:rsidR="0014179F" w:rsidRPr="00092971" w:rsidRDefault="0014179F" w:rsidP="0014179F">
            <w:pPr>
              <w:ind w:left="113" w:hanging="113"/>
              <w:jc w:val="left"/>
              <w:rPr>
                <w:b/>
                <w:color w:val="000000"/>
              </w:rPr>
            </w:pPr>
            <w:r w:rsidRPr="00092971">
              <w:rPr>
                <w:b/>
                <w:color w:val="000000"/>
              </w:rPr>
              <w:t>Plant, equipment, vehicles and infrastructure systems</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Infrastructure systems and rolling stock</w:t>
            </w:r>
          </w:p>
        </w:tc>
        <w:tc>
          <w:tcPr>
            <w:tcW w:w="2852" w:type="dxa"/>
          </w:tcPr>
          <w:p w:rsidR="00DF17E9" w:rsidRPr="00092971" w:rsidRDefault="00DF17E9" w:rsidP="00044843">
            <w:pPr>
              <w:jc w:val="left"/>
              <w:rPr>
                <w:color w:val="000000"/>
              </w:rPr>
            </w:pPr>
            <w:r w:rsidRPr="00092971">
              <w:rPr>
                <w:color w:val="000000"/>
              </w:rPr>
              <w:t>Depreciated replacement cost</w:t>
            </w:r>
          </w:p>
          <w:p w:rsidR="00DF17E9" w:rsidRPr="00092971" w:rsidRDefault="00DF17E9" w:rsidP="00044843">
            <w:pPr>
              <w:jc w:val="left"/>
              <w:rPr>
                <w:color w:val="000000"/>
              </w:rPr>
            </w:pPr>
          </w:p>
        </w:tc>
        <w:tc>
          <w:tcPr>
            <w:tcW w:w="3214" w:type="dxa"/>
          </w:tcPr>
          <w:p w:rsidR="00DF17E9" w:rsidRPr="00092971" w:rsidRDefault="00DF17E9" w:rsidP="00044843">
            <w:pPr>
              <w:jc w:val="left"/>
              <w:rPr>
                <w:color w:val="000000"/>
              </w:rPr>
            </w:pPr>
            <w:r w:rsidRPr="00092971">
              <w:rPr>
                <w:color w:val="000000"/>
              </w:rPr>
              <w:t>Cost:</w:t>
            </w:r>
          </w:p>
          <w:p w:rsidR="00DF17E9" w:rsidRPr="00092971" w:rsidRDefault="00DF17E9" w:rsidP="00044843">
            <w:pPr>
              <w:jc w:val="left"/>
              <w:rPr>
                <w:color w:val="000000"/>
              </w:rPr>
            </w:pPr>
            <w:r w:rsidRPr="00092971">
              <w:rPr>
                <w:color w:val="000000"/>
              </w:rPr>
              <w:t xml:space="preserve">   per square metre</w:t>
            </w:r>
          </w:p>
          <w:p w:rsidR="00DF17E9" w:rsidRPr="00092971" w:rsidRDefault="00DF17E9" w:rsidP="00044843">
            <w:pPr>
              <w:jc w:val="left"/>
              <w:rPr>
                <w:color w:val="000000"/>
              </w:rPr>
            </w:pPr>
            <w:r w:rsidRPr="00092971">
              <w:rPr>
                <w:color w:val="000000"/>
              </w:rPr>
              <w:t xml:space="preserve">   per unit</w:t>
            </w:r>
          </w:p>
          <w:p w:rsidR="00DF17E9" w:rsidRPr="00092971" w:rsidRDefault="00DF17E9" w:rsidP="00044843">
            <w:pPr>
              <w:jc w:val="left"/>
              <w:rPr>
                <w:color w:val="000000"/>
              </w:rPr>
            </w:pPr>
            <w:r w:rsidRPr="00092971">
              <w:rPr>
                <w:color w:val="000000"/>
              </w:rPr>
              <w:t xml:space="preserve">   per asset</w:t>
            </w:r>
          </w:p>
          <w:p w:rsidR="00DF17E9" w:rsidRPr="00092971" w:rsidRDefault="00DF17E9" w:rsidP="00044843">
            <w:pPr>
              <w:jc w:val="left"/>
              <w:rPr>
                <w:color w:val="000000"/>
              </w:rPr>
            </w:pPr>
            <w:r w:rsidRPr="00092971">
              <w:rPr>
                <w:color w:val="000000"/>
              </w:rPr>
              <w:t>Useful life</w:t>
            </w:r>
          </w:p>
          <w:p w:rsidR="00DF17E9" w:rsidRPr="00092971" w:rsidRDefault="00DF17E9" w:rsidP="00044843">
            <w:pPr>
              <w:jc w:val="left"/>
              <w:rPr>
                <w:color w:val="000000"/>
              </w:rPr>
            </w:pPr>
            <w:r w:rsidRPr="00092971">
              <w:rPr>
                <w:color w:val="000000"/>
              </w:rPr>
              <w:t xml:space="preserve">Qualitative attractiveness </w:t>
            </w:r>
            <w:r w:rsidRPr="00092971">
              <w:rPr>
                <w:color w:val="000000"/>
                <w:vertAlign w:val="superscript"/>
              </w:rPr>
              <w:t>(b)</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Plant, equipment and vehicles</w:t>
            </w:r>
          </w:p>
        </w:tc>
        <w:tc>
          <w:tcPr>
            <w:tcW w:w="2852" w:type="dxa"/>
          </w:tcPr>
          <w:p w:rsidR="00DF17E9" w:rsidRPr="00092971" w:rsidRDefault="00DF17E9" w:rsidP="00044843">
            <w:pPr>
              <w:jc w:val="left"/>
              <w:rPr>
                <w:color w:val="000000"/>
              </w:rPr>
            </w:pPr>
            <w:r w:rsidRPr="00092971">
              <w:rPr>
                <w:color w:val="000000"/>
              </w:rPr>
              <w:t>Depreciated replacement cost</w:t>
            </w:r>
          </w:p>
          <w:p w:rsidR="00DF17E9" w:rsidRPr="00092971" w:rsidRDefault="00DF17E9" w:rsidP="00044843">
            <w:pPr>
              <w:jc w:val="left"/>
              <w:rPr>
                <w:color w:val="000000"/>
              </w:rPr>
            </w:pPr>
          </w:p>
        </w:tc>
        <w:tc>
          <w:tcPr>
            <w:tcW w:w="3214" w:type="dxa"/>
          </w:tcPr>
          <w:p w:rsidR="00DF17E9" w:rsidRPr="00092971" w:rsidRDefault="00DF17E9" w:rsidP="00044843">
            <w:pPr>
              <w:jc w:val="left"/>
              <w:rPr>
                <w:color w:val="000000"/>
              </w:rPr>
            </w:pPr>
            <w:r w:rsidRPr="00092971">
              <w:rPr>
                <w:color w:val="000000"/>
              </w:rPr>
              <w:t>Cost per unit</w:t>
            </w:r>
          </w:p>
          <w:p w:rsidR="00DF17E9" w:rsidRPr="00092971" w:rsidRDefault="00DF17E9" w:rsidP="00044843">
            <w:pPr>
              <w:jc w:val="left"/>
              <w:rPr>
                <w:color w:val="000000"/>
              </w:rPr>
            </w:pPr>
            <w:r w:rsidRPr="00092971">
              <w:rPr>
                <w:color w:val="000000"/>
              </w:rPr>
              <w:t>Useful life</w:t>
            </w:r>
          </w:p>
        </w:tc>
      </w:tr>
      <w:tr w:rsidR="0014179F" w:rsidRPr="00092971" w:rsidTr="006E44BF">
        <w:tc>
          <w:tcPr>
            <w:tcW w:w="9638" w:type="dxa"/>
            <w:gridSpan w:val="3"/>
            <w:shd w:val="clear" w:color="auto" w:fill="EBEBEB" w:themeFill="background2"/>
          </w:tcPr>
          <w:p w:rsidR="0014179F" w:rsidRPr="00092971" w:rsidRDefault="0014179F" w:rsidP="0014179F">
            <w:pPr>
              <w:ind w:left="113" w:hanging="113"/>
              <w:jc w:val="left"/>
              <w:rPr>
                <w:b/>
                <w:color w:val="000000"/>
              </w:rPr>
            </w:pPr>
            <w:r w:rsidRPr="00092971">
              <w:rPr>
                <w:b/>
                <w:color w:val="000000"/>
              </w:rPr>
              <w:t>Roads and roads infrastructure</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Roads and roads infrastructure</w:t>
            </w:r>
          </w:p>
        </w:tc>
        <w:tc>
          <w:tcPr>
            <w:tcW w:w="2852" w:type="dxa"/>
          </w:tcPr>
          <w:p w:rsidR="00DF17E9" w:rsidRPr="00092971" w:rsidRDefault="00DF17E9" w:rsidP="00044843">
            <w:pPr>
              <w:jc w:val="left"/>
              <w:rPr>
                <w:color w:val="000000"/>
              </w:rPr>
            </w:pPr>
            <w:r w:rsidRPr="00092971">
              <w:rPr>
                <w:color w:val="000000"/>
              </w:rPr>
              <w:t>Depreciated replacement cost</w:t>
            </w:r>
          </w:p>
        </w:tc>
        <w:tc>
          <w:tcPr>
            <w:tcW w:w="3214" w:type="dxa"/>
          </w:tcPr>
          <w:p w:rsidR="00DF17E9" w:rsidRPr="00092971" w:rsidRDefault="00DF17E9" w:rsidP="00044843">
            <w:pPr>
              <w:jc w:val="left"/>
              <w:rPr>
                <w:color w:val="000000"/>
              </w:rPr>
            </w:pPr>
            <w:r w:rsidRPr="00092971">
              <w:rPr>
                <w:color w:val="000000"/>
              </w:rPr>
              <w:t>Cost:</w:t>
            </w:r>
          </w:p>
          <w:p w:rsidR="00DF17E9" w:rsidRPr="00092971" w:rsidRDefault="00DF17E9" w:rsidP="00044843">
            <w:pPr>
              <w:jc w:val="left"/>
              <w:rPr>
                <w:color w:val="000000"/>
              </w:rPr>
            </w:pPr>
            <w:r w:rsidRPr="00092971">
              <w:rPr>
                <w:color w:val="000000"/>
              </w:rPr>
              <w:t xml:space="preserve">   per square metre</w:t>
            </w:r>
          </w:p>
          <w:p w:rsidR="00DF17E9" w:rsidRPr="00092971" w:rsidRDefault="00DF17E9" w:rsidP="00044843">
            <w:pPr>
              <w:jc w:val="left"/>
              <w:rPr>
                <w:color w:val="000000"/>
              </w:rPr>
            </w:pPr>
            <w:r w:rsidRPr="00092971">
              <w:rPr>
                <w:color w:val="000000"/>
              </w:rPr>
              <w:t xml:space="preserve">   per kilometre lane</w:t>
            </w:r>
          </w:p>
          <w:p w:rsidR="00DF17E9" w:rsidRPr="00092971" w:rsidRDefault="00DF17E9" w:rsidP="00044843">
            <w:pPr>
              <w:jc w:val="left"/>
              <w:rPr>
                <w:color w:val="000000"/>
              </w:rPr>
            </w:pPr>
            <w:r w:rsidRPr="00092971">
              <w:rPr>
                <w:color w:val="000000"/>
              </w:rPr>
              <w:t xml:space="preserve">   per unit</w:t>
            </w:r>
          </w:p>
          <w:p w:rsidR="00DF17E9" w:rsidRPr="00092971" w:rsidRDefault="00DF17E9" w:rsidP="00044843">
            <w:pPr>
              <w:jc w:val="left"/>
              <w:rPr>
                <w:color w:val="000000"/>
              </w:rPr>
            </w:pPr>
            <w:r w:rsidRPr="00092971">
              <w:rPr>
                <w:color w:val="000000"/>
              </w:rPr>
              <w:t>Useful life</w:t>
            </w:r>
          </w:p>
        </w:tc>
      </w:tr>
      <w:tr w:rsidR="00DF17E9" w:rsidRPr="00092971" w:rsidTr="00044843">
        <w:tc>
          <w:tcPr>
            <w:tcW w:w="3572" w:type="dxa"/>
          </w:tcPr>
          <w:p w:rsidR="00DF17E9" w:rsidRPr="00092971" w:rsidRDefault="00DF17E9" w:rsidP="00044843">
            <w:pPr>
              <w:ind w:left="113" w:hanging="113"/>
              <w:jc w:val="left"/>
              <w:rPr>
                <w:color w:val="000000"/>
              </w:rPr>
            </w:pPr>
            <w:r w:rsidRPr="00092971">
              <w:rPr>
                <w:color w:val="000000"/>
              </w:rPr>
              <w:t>Earthworks</w:t>
            </w:r>
          </w:p>
        </w:tc>
        <w:tc>
          <w:tcPr>
            <w:tcW w:w="2852" w:type="dxa"/>
          </w:tcPr>
          <w:p w:rsidR="00DF17E9" w:rsidRPr="00092971" w:rsidRDefault="00DF17E9" w:rsidP="00044843">
            <w:pPr>
              <w:jc w:val="left"/>
              <w:rPr>
                <w:color w:val="000000"/>
              </w:rPr>
            </w:pPr>
            <w:r w:rsidRPr="00092971">
              <w:rPr>
                <w:color w:val="000000"/>
              </w:rPr>
              <w:t>Depreciated replacement cost</w:t>
            </w:r>
          </w:p>
        </w:tc>
        <w:tc>
          <w:tcPr>
            <w:tcW w:w="3214" w:type="dxa"/>
          </w:tcPr>
          <w:p w:rsidR="00DF17E9" w:rsidRPr="00092971" w:rsidRDefault="00DF17E9" w:rsidP="00044843">
            <w:pPr>
              <w:jc w:val="left"/>
              <w:rPr>
                <w:color w:val="000000"/>
              </w:rPr>
            </w:pPr>
            <w:r w:rsidRPr="00092971">
              <w:rPr>
                <w:color w:val="000000"/>
              </w:rPr>
              <w:t>Cost per kilometre</w:t>
            </w:r>
          </w:p>
        </w:tc>
      </w:tr>
      <w:tr w:rsidR="0014179F" w:rsidRPr="00092971" w:rsidTr="006E44BF">
        <w:tc>
          <w:tcPr>
            <w:tcW w:w="9638" w:type="dxa"/>
            <w:gridSpan w:val="3"/>
            <w:tcBorders>
              <w:bottom w:val="nil"/>
            </w:tcBorders>
            <w:shd w:val="clear" w:color="auto" w:fill="EBEBEB" w:themeFill="background2"/>
          </w:tcPr>
          <w:p w:rsidR="0014179F" w:rsidRPr="00092971" w:rsidRDefault="0014179F" w:rsidP="0014179F">
            <w:pPr>
              <w:ind w:left="113" w:hanging="113"/>
              <w:jc w:val="left"/>
              <w:rPr>
                <w:b/>
                <w:color w:val="000000"/>
              </w:rPr>
            </w:pPr>
            <w:r w:rsidRPr="00092971">
              <w:rPr>
                <w:b/>
                <w:color w:val="000000"/>
              </w:rPr>
              <w:t>Cultural assets</w:t>
            </w:r>
          </w:p>
        </w:tc>
      </w:tr>
      <w:tr w:rsidR="00DF17E9" w:rsidRPr="00092971" w:rsidTr="00044843">
        <w:tc>
          <w:tcPr>
            <w:tcW w:w="3572" w:type="dxa"/>
            <w:tcBorders>
              <w:bottom w:val="single" w:sz="12" w:space="0" w:color="auto"/>
            </w:tcBorders>
          </w:tcPr>
          <w:p w:rsidR="00DF17E9" w:rsidRPr="00092971" w:rsidRDefault="00DF17E9" w:rsidP="00044843">
            <w:pPr>
              <w:ind w:left="113" w:hanging="113"/>
              <w:jc w:val="left"/>
              <w:rPr>
                <w:color w:val="000000"/>
              </w:rPr>
            </w:pPr>
            <w:r w:rsidRPr="00092971">
              <w:rPr>
                <w:color w:val="000000"/>
              </w:rPr>
              <w:t>Cultural assets</w:t>
            </w:r>
          </w:p>
        </w:tc>
        <w:tc>
          <w:tcPr>
            <w:tcW w:w="2852" w:type="dxa"/>
            <w:tcBorders>
              <w:bottom w:val="single" w:sz="12" w:space="0" w:color="auto"/>
            </w:tcBorders>
          </w:tcPr>
          <w:p w:rsidR="00DF17E9" w:rsidRPr="00092971" w:rsidRDefault="00DF17E9" w:rsidP="00044843">
            <w:pPr>
              <w:jc w:val="left"/>
              <w:rPr>
                <w:color w:val="000000"/>
              </w:rPr>
            </w:pPr>
            <w:r w:rsidRPr="00092971">
              <w:rPr>
                <w:color w:val="000000"/>
              </w:rPr>
              <w:t>Depreciated replacement cost</w:t>
            </w:r>
          </w:p>
        </w:tc>
        <w:tc>
          <w:tcPr>
            <w:tcW w:w="3214" w:type="dxa"/>
            <w:tcBorders>
              <w:bottom w:val="single" w:sz="12" w:space="0" w:color="auto"/>
            </w:tcBorders>
          </w:tcPr>
          <w:p w:rsidR="00DF17E9" w:rsidRPr="00092971" w:rsidRDefault="00DF17E9" w:rsidP="00044843">
            <w:pPr>
              <w:jc w:val="left"/>
              <w:rPr>
                <w:color w:val="000000"/>
              </w:rPr>
            </w:pPr>
            <w:r w:rsidRPr="00092971">
              <w:rPr>
                <w:color w:val="000000"/>
              </w:rPr>
              <w:t>Useful life per item</w:t>
            </w:r>
          </w:p>
          <w:p w:rsidR="00DF17E9" w:rsidRPr="00092971" w:rsidRDefault="00DF17E9" w:rsidP="00044843">
            <w:pPr>
              <w:jc w:val="left"/>
              <w:rPr>
                <w:color w:val="000000"/>
              </w:rPr>
            </w:pPr>
            <w:r w:rsidRPr="00092971">
              <w:rPr>
                <w:color w:val="000000"/>
              </w:rPr>
              <w:t>Direct cost per unit</w:t>
            </w:r>
          </w:p>
          <w:p w:rsidR="00DF17E9" w:rsidRPr="00092971" w:rsidRDefault="00DF17E9" w:rsidP="00044843">
            <w:pPr>
              <w:jc w:val="left"/>
              <w:rPr>
                <w:color w:val="000000"/>
              </w:rPr>
            </w:pPr>
            <w:r w:rsidRPr="00092971">
              <w:rPr>
                <w:color w:val="000000"/>
              </w:rPr>
              <w:t>Sales/auction value per item</w:t>
            </w:r>
          </w:p>
        </w:tc>
      </w:tr>
    </w:tbl>
    <w:p w:rsidR="00DF17E9" w:rsidRPr="006A75A2" w:rsidRDefault="00DF17E9" w:rsidP="00951A34">
      <w:pPr>
        <w:pStyle w:val="Note"/>
      </w:pPr>
      <w:r w:rsidRPr="006A75A2">
        <w:t>Note</w:t>
      </w:r>
      <w:r>
        <w:t>s</w:t>
      </w:r>
      <w:r w:rsidRPr="006A75A2">
        <w:t>:</w:t>
      </w:r>
    </w:p>
    <w:p w:rsidR="00DF17E9" w:rsidRPr="00840B01" w:rsidRDefault="00DF17E9" w:rsidP="00840B01">
      <w:pPr>
        <w:pStyle w:val="Note"/>
      </w:pPr>
      <w:r w:rsidRPr="00840B01">
        <w:t xml:space="preserve">(a) </w:t>
      </w:r>
      <w:r w:rsidRPr="00840B01">
        <w:tab/>
        <w:t xml:space="preserve">The </w:t>
      </w:r>
      <w:r>
        <w:t>C</w:t>
      </w:r>
      <w:r w:rsidRPr="00840B01">
        <w:t>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DF17E9" w:rsidRPr="00840B01" w:rsidRDefault="00DF17E9" w:rsidP="00840B01">
      <w:pPr>
        <w:pStyle w:val="Note"/>
      </w:pPr>
      <w:r>
        <w:t>(b</w:t>
      </w:r>
      <w:r w:rsidRPr="00840B01">
        <w:t xml:space="preserve">) </w:t>
      </w:r>
      <w:r w:rsidRPr="00840B01">
        <w:tab/>
        <w:t>Applicable to the valuation of rolling stock.</w:t>
      </w:r>
    </w:p>
    <w:p w:rsidR="00DF17E9" w:rsidRDefault="00DF17E9" w:rsidP="00A81340">
      <w:pPr>
        <w:spacing w:after="0"/>
        <w:rPr>
          <w:rFonts w:ascii="Calibri" w:hAnsi="Calibri"/>
          <w:b/>
        </w:rPr>
      </w:pPr>
    </w:p>
    <w:p w:rsidR="00DF17E9" w:rsidRDefault="00DF17E9">
      <w:pPr>
        <w:rPr>
          <w:rFonts w:asciiTheme="majorHAnsi" w:hAnsiTheme="majorHAnsi"/>
          <w:b/>
          <w:spacing w:val="-2"/>
        </w:rPr>
      </w:pPr>
      <w:r>
        <w:br w:type="page"/>
      </w:r>
    </w:p>
    <w:p w:rsidR="00DF17E9" w:rsidRPr="00092971" w:rsidRDefault="00DF17E9" w:rsidP="00044843">
      <w:pPr>
        <w:pStyle w:val="Subheading"/>
        <w:rPr>
          <w:bCs/>
          <w:i/>
          <w:sz w:val="16"/>
          <w:lang w:val="en-US"/>
        </w:rPr>
      </w:pPr>
      <w:r w:rsidRPr="00951A34">
        <w:lastRenderedPageBreak/>
        <w:t>Fair value disclosure for assets held primarily for generating net cash inflows</w:t>
      </w:r>
    </w:p>
    <w:tbl>
      <w:tblPr>
        <w:tblStyle w:val="TableDTFGeneral"/>
        <w:tblW w:w="9636" w:type="dxa"/>
        <w:tblLayout w:type="fixed"/>
        <w:tblLook w:val="0620" w:firstRow="1" w:lastRow="0" w:firstColumn="0" w:lastColumn="0" w:noHBand="1" w:noVBand="1"/>
      </w:tblPr>
      <w:tblGrid>
        <w:gridCol w:w="2409"/>
        <w:gridCol w:w="2409"/>
        <w:gridCol w:w="2409"/>
        <w:gridCol w:w="2409"/>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tcW w:w="2409" w:type="dxa"/>
          </w:tcPr>
          <w:p w:rsidR="00DF17E9" w:rsidRPr="00092971" w:rsidRDefault="00DF17E9" w:rsidP="00044843">
            <w:pPr>
              <w:jc w:val="left"/>
              <w:rPr>
                <w:color w:val="FFFFFF"/>
              </w:rPr>
            </w:pPr>
            <w:r w:rsidRPr="00092971">
              <w:rPr>
                <w:color w:val="FFFFFF"/>
              </w:rPr>
              <w:t>Asset class</w:t>
            </w:r>
          </w:p>
        </w:tc>
        <w:tc>
          <w:tcPr>
            <w:tcW w:w="2409" w:type="dxa"/>
          </w:tcPr>
          <w:p w:rsidR="00DF17E9" w:rsidRPr="00092971" w:rsidRDefault="00DF17E9" w:rsidP="00044843">
            <w:pPr>
              <w:jc w:val="left"/>
              <w:rPr>
                <w:color w:val="FFFFFF"/>
              </w:rPr>
            </w:pPr>
            <w:r w:rsidRPr="00092971">
              <w:rPr>
                <w:color w:val="FFFFFF"/>
              </w:rPr>
              <w:t>Valuation technique</w:t>
            </w:r>
          </w:p>
        </w:tc>
        <w:tc>
          <w:tcPr>
            <w:tcW w:w="2409" w:type="dxa"/>
          </w:tcPr>
          <w:p w:rsidR="00DF17E9" w:rsidRPr="00092971" w:rsidRDefault="00DF17E9" w:rsidP="00044843">
            <w:pPr>
              <w:jc w:val="left"/>
              <w:rPr>
                <w:color w:val="FFFFFF"/>
              </w:rPr>
            </w:pPr>
            <w:r w:rsidRPr="00092971">
              <w:rPr>
                <w:color w:val="FFFFFF"/>
              </w:rPr>
              <w:t xml:space="preserve">Significant </w:t>
            </w:r>
          </w:p>
          <w:p w:rsidR="00DF17E9" w:rsidRPr="00092971" w:rsidRDefault="00DF17E9" w:rsidP="00044843">
            <w:pPr>
              <w:jc w:val="left"/>
              <w:rPr>
                <w:color w:val="FFFFFF"/>
              </w:rPr>
            </w:pPr>
            <w:r w:rsidRPr="00092971">
              <w:rPr>
                <w:color w:val="FFFFFF"/>
              </w:rPr>
              <w:t>unobservable input</w:t>
            </w:r>
          </w:p>
        </w:tc>
        <w:tc>
          <w:tcPr>
            <w:tcW w:w="2409" w:type="dxa"/>
          </w:tcPr>
          <w:p w:rsidR="00DF17E9" w:rsidRPr="00092971" w:rsidRDefault="00DF17E9" w:rsidP="00044843">
            <w:pPr>
              <w:jc w:val="left"/>
              <w:rPr>
                <w:color w:val="FFFFFF"/>
              </w:rPr>
            </w:pPr>
            <w:r w:rsidRPr="00092971">
              <w:rPr>
                <w:color w:val="FFFFFF"/>
              </w:rPr>
              <w:t>Range</w:t>
            </w:r>
          </w:p>
        </w:tc>
      </w:tr>
      <w:tr w:rsidR="0014179F" w:rsidRPr="00092971" w:rsidTr="006E44BF">
        <w:tc>
          <w:tcPr>
            <w:tcW w:w="9636" w:type="dxa"/>
            <w:gridSpan w:val="4"/>
            <w:shd w:val="clear" w:color="auto" w:fill="EBEBEB" w:themeFill="background2"/>
          </w:tcPr>
          <w:p w:rsidR="0014179F" w:rsidRPr="00092971" w:rsidRDefault="0014179F" w:rsidP="0014179F">
            <w:pPr>
              <w:ind w:left="113" w:hanging="113"/>
              <w:jc w:val="left"/>
              <w:rPr>
                <w:b/>
                <w:color w:val="000000"/>
              </w:rPr>
            </w:pPr>
            <w:r w:rsidRPr="00092971">
              <w:rPr>
                <w:b/>
                <w:color w:val="000000"/>
              </w:rPr>
              <w:t>Buildings</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Metropolitan water corporations</w:t>
            </w:r>
          </w:p>
        </w:tc>
        <w:tc>
          <w:tcPr>
            <w:tcW w:w="2409" w:type="dxa"/>
          </w:tcPr>
          <w:p w:rsidR="00DF17E9" w:rsidRPr="00092971" w:rsidRDefault="00DF17E9" w:rsidP="00044843">
            <w:pPr>
              <w:jc w:val="left"/>
              <w:rPr>
                <w:color w:val="000000"/>
              </w:rPr>
            </w:pPr>
            <w:r w:rsidRPr="00092971">
              <w:rPr>
                <w:color w:val="000000"/>
              </w:rPr>
              <w:t>Depreciated replacement cost</w:t>
            </w:r>
          </w:p>
        </w:tc>
        <w:tc>
          <w:tcPr>
            <w:tcW w:w="2409" w:type="dxa"/>
          </w:tcPr>
          <w:p w:rsidR="00DF17E9" w:rsidRPr="00092971" w:rsidRDefault="00DF17E9" w:rsidP="00044843">
            <w:pPr>
              <w:jc w:val="left"/>
              <w:rPr>
                <w:color w:val="000000"/>
              </w:rPr>
            </w:pPr>
            <w:r w:rsidRPr="00092971">
              <w:rPr>
                <w:color w:val="000000"/>
              </w:rPr>
              <w:t>Useful life</w:t>
            </w:r>
          </w:p>
          <w:p w:rsidR="00DF17E9" w:rsidRPr="00092971" w:rsidRDefault="00DF17E9" w:rsidP="00044843">
            <w:pPr>
              <w:jc w:val="left"/>
              <w:rPr>
                <w:color w:val="000000"/>
              </w:rPr>
            </w:pPr>
            <w:r w:rsidRPr="00092971">
              <w:rPr>
                <w:color w:val="000000"/>
              </w:rPr>
              <w:t>Direct cost per square metre</w:t>
            </w:r>
          </w:p>
        </w:tc>
        <w:tc>
          <w:tcPr>
            <w:tcW w:w="2409" w:type="dxa"/>
          </w:tcPr>
          <w:p w:rsidR="00DF17E9" w:rsidRPr="00092971" w:rsidRDefault="00DF17E9" w:rsidP="00044843">
            <w:pPr>
              <w:jc w:val="left"/>
              <w:rPr>
                <w:color w:val="000000"/>
              </w:rPr>
            </w:pPr>
            <w:r w:rsidRPr="00092971">
              <w:rPr>
                <w:color w:val="000000"/>
              </w:rPr>
              <w:t>25–150 years</w:t>
            </w:r>
          </w:p>
          <w:p w:rsidR="00DF17E9" w:rsidRPr="00092971" w:rsidRDefault="00DF17E9" w:rsidP="00044843">
            <w:pPr>
              <w:jc w:val="left"/>
              <w:rPr>
                <w:color w:val="000000"/>
              </w:rPr>
            </w:pPr>
            <w:r w:rsidRPr="00092971">
              <w:rPr>
                <w:color w:val="000000"/>
              </w:rPr>
              <w:t>$25 to $4 200</w:t>
            </w:r>
          </w:p>
        </w:tc>
      </w:tr>
      <w:tr w:rsidR="0014179F" w:rsidRPr="00092971" w:rsidTr="006E44BF">
        <w:tc>
          <w:tcPr>
            <w:tcW w:w="9636" w:type="dxa"/>
            <w:gridSpan w:val="4"/>
            <w:shd w:val="clear" w:color="auto" w:fill="EBEBEB" w:themeFill="background2"/>
          </w:tcPr>
          <w:p w:rsidR="0014179F" w:rsidRPr="00092971" w:rsidRDefault="0014179F" w:rsidP="0014179F">
            <w:pPr>
              <w:ind w:left="113" w:hanging="113"/>
              <w:jc w:val="left"/>
              <w:rPr>
                <w:b/>
                <w:color w:val="000000"/>
              </w:rPr>
            </w:pPr>
            <w:r w:rsidRPr="00092971">
              <w:rPr>
                <w:b/>
                <w:color w:val="000000"/>
              </w:rPr>
              <w:t>Land</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Metropolitan water corporations</w:t>
            </w:r>
          </w:p>
        </w:tc>
        <w:tc>
          <w:tcPr>
            <w:tcW w:w="2409" w:type="dxa"/>
          </w:tcPr>
          <w:p w:rsidR="00DF17E9" w:rsidRPr="00092971" w:rsidRDefault="00DF17E9" w:rsidP="00044843">
            <w:pPr>
              <w:jc w:val="left"/>
              <w:rPr>
                <w:color w:val="000000"/>
              </w:rPr>
            </w:pPr>
            <w:r w:rsidRPr="00092971">
              <w:rPr>
                <w:color w:val="000000"/>
              </w:rPr>
              <w:t>Market approach</w:t>
            </w:r>
          </w:p>
        </w:tc>
        <w:tc>
          <w:tcPr>
            <w:tcW w:w="2409" w:type="dxa"/>
          </w:tcPr>
          <w:p w:rsidR="00DF17E9" w:rsidRPr="00092971" w:rsidRDefault="00DF17E9" w:rsidP="00044843">
            <w:pPr>
              <w:jc w:val="left"/>
              <w:rPr>
                <w:color w:val="000000"/>
              </w:rPr>
            </w:pPr>
            <w:r w:rsidRPr="00092971">
              <w:rPr>
                <w:color w:val="000000"/>
              </w:rPr>
              <w:t>CSO adjustment</w:t>
            </w:r>
            <w:r w:rsidRPr="00092971">
              <w:rPr>
                <w:color w:val="000000"/>
                <w:vertAlign w:val="superscript"/>
              </w:rPr>
              <w:t>(a)</w:t>
            </w:r>
          </w:p>
        </w:tc>
        <w:tc>
          <w:tcPr>
            <w:tcW w:w="2409" w:type="dxa"/>
          </w:tcPr>
          <w:p w:rsidR="00DF17E9" w:rsidRPr="00092971" w:rsidRDefault="00DF17E9" w:rsidP="00044843">
            <w:pPr>
              <w:jc w:val="left"/>
              <w:rPr>
                <w:color w:val="000000"/>
              </w:rPr>
            </w:pPr>
            <w:r w:rsidRPr="00092971">
              <w:rPr>
                <w:color w:val="000000"/>
              </w:rPr>
              <w:t>20–70%</w:t>
            </w:r>
          </w:p>
        </w:tc>
      </w:tr>
      <w:tr w:rsidR="0014179F" w:rsidRPr="00092971" w:rsidTr="006E44BF">
        <w:tc>
          <w:tcPr>
            <w:tcW w:w="9636" w:type="dxa"/>
            <w:gridSpan w:val="4"/>
            <w:shd w:val="clear" w:color="auto" w:fill="EBEBEB" w:themeFill="background2"/>
          </w:tcPr>
          <w:p w:rsidR="0014179F" w:rsidRPr="00092971" w:rsidRDefault="0014179F" w:rsidP="0014179F">
            <w:pPr>
              <w:jc w:val="left"/>
              <w:rPr>
                <w:b/>
                <w:color w:val="000000"/>
              </w:rPr>
            </w:pPr>
            <w:r w:rsidRPr="00092971">
              <w:rPr>
                <w:b/>
                <w:color w:val="000000"/>
              </w:rPr>
              <w:t>Channels</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Ports</w:t>
            </w:r>
          </w:p>
        </w:tc>
        <w:tc>
          <w:tcPr>
            <w:tcW w:w="2409" w:type="dxa"/>
          </w:tcPr>
          <w:p w:rsidR="00DF17E9" w:rsidRPr="00092971" w:rsidRDefault="00DF17E9" w:rsidP="00044843">
            <w:pPr>
              <w:jc w:val="left"/>
              <w:rPr>
                <w:color w:val="000000"/>
              </w:rPr>
            </w:pPr>
            <w:r w:rsidRPr="00092971">
              <w:rPr>
                <w:color w:val="000000"/>
              </w:rPr>
              <w:t>Discounted cash flow method (income approach)</w:t>
            </w:r>
          </w:p>
        </w:tc>
        <w:tc>
          <w:tcPr>
            <w:tcW w:w="2409" w:type="dxa"/>
          </w:tcPr>
          <w:p w:rsidR="00DF17E9" w:rsidRPr="00092971" w:rsidRDefault="00DF17E9" w:rsidP="00044843">
            <w:pPr>
              <w:jc w:val="left"/>
              <w:rPr>
                <w:color w:val="000000"/>
              </w:rPr>
            </w:pPr>
            <w:r w:rsidRPr="00092971">
              <w:rPr>
                <w:color w:val="000000"/>
              </w:rPr>
              <w:t xml:space="preserve">Discount rates </w:t>
            </w:r>
            <w:r w:rsidRPr="00092971">
              <w:rPr>
                <w:color w:val="000000"/>
                <w:vertAlign w:val="superscript"/>
              </w:rPr>
              <w:t>(b)</w:t>
            </w:r>
          </w:p>
        </w:tc>
        <w:tc>
          <w:tcPr>
            <w:tcW w:w="2409" w:type="dxa"/>
          </w:tcPr>
          <w:p w:rsidR="00DF17E9" w:rsidRPr="00092971" w:rsidRDefault="00DF17E9" w:rsidP="00044843">
            <w:pPr>
              <w:jc w:val="left"/>
              <w:rPr>
                <w:color w:val="000000"/>
              </w:rPr>
            </w:pPr>
            <w:r w:rsidRPr="00092971">
              <w:rPr>
                <w:color w:val="000000"/>
              </w:rPr>
              <w:t>8.60%</w:t>
            </w:r>
          </w:p>
        </w:tc>
      </w:tr>
      <w:tr w:rsidR="0014179F" w:rsidRPr="00092971" w:rsidTr="006E44BF">
        <w:tc>
          <w:tcPr>
            <w:tcW w:w="9636" w:type="dxa"/>
            <w:gridSpan w:val="4"/>
            <w:shd w:val="clear" w:color="auto" w:fill="EBEBEB" w:themeFill="background2"/>
          </w:tcPr>
          <w:p w:rsidR="0014179F" w:rsidRPr="00092971" w:rsidRDefault="0014179F" w:rsidP="0014179F">
            <w:pPr>
              <w:ind w:left="113" w:hanging="113"/>
              <w:jc w:val="left"/>
              <w:rPr>
                <w:b/>
                <w:color w:val="000000"/>
              </w:rPr>
            </w:pPr>
            <w:r w:rsidRPr="00092971">
              <w:rPr>
                <w:b/>
                <w:color w:val="000000"/>
              </w:rPr>
              <w:t>Infrastructure</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Ports</w:t>
            </w:r>
          </w:p>
        </w:tc>
        <w:tc>
          <w:tcPr>
            <w:tcW w:w="2409" w:type="dxa"/>
          </w:tcPr>
          <w:p w:rsidR="00DF17E9" w:rsidRPr="00092971" w:rsidRDefault="00DF17E9" w:rsidP="00044843">
            <w:pPr>
              <w:jc w:val="left"/>
              <w:rPr>
                <w:color w:val="000000"/>
              </w:rPr>
            </w:pPr>
            <w:r w:rsidRPr="00092971">
              <w:rPr>
                <w:color w:val="000000"/>
              </w:rPr>
              <w:t>Depreciated replacement cost</w:t>
            </w:r>
          </w:p>
        </w:tc>
        <w:tc>
          <w:tcPr>
            <w:tcW w:w="2409" w:type="dxa"/>
          </w:tcPr>
          <w:p w:rsidR="00DF17E9" w:rsidRPr="00092971" w:rsidRDefault="00DF17E9" w:rsidP="00044843">
            <w:pPr>
              <w:jc w:val="left"/>
              <w:rPr>
                <w:color w:val="000000"/>
              </w:rPr>
            </w:pPr>
            <w:r w:rsidRPr="00092971">
              <w:rPr>
                <w:color w:val="000000"/>
              </w:rPr>
              <w:t>Cost per unit</w:t>
            </w:r>
          </w:p>
        </w:tc>
        <w:tc>
          <w:tcPr>
            <w:tcW w:w="2409" w:type="dxa"/>
          </w:tcPr>
          <w:p w:rsidR="00DF17E9" w:rsidRPr="00092971" w:rsidRDefault="00DF17E9" w:rsidP="00044843">
            <w:pPr>
              <w:jc w:val="left"/>
              <w:rPr>
                <w:color w:val="000000"/>
              </w:rPr>
            </w:pPr>
            <w:r w:rsidRPr="00092971">
              <w:rPr>
                <w:color w:val="000000"/>
              </w:rPr>
              <w:t>$33 700 to $4 831 000</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Metropolitan water corporations</w:t>
            </w:r>
          </w:p>
        </w:tc>
        <w:tc>
          <w:tcPr>
            <w:tcW w:w="2409" w:type="dxa"/>
          </w:tcPr>
          <w:p w:rsidR="00DF17E9" w:rsidRPr="00092971" w:rsidRDefault="00DF17E9" w:rsidP="00044843">
            <w:pPr>
              <w:jc w:val="left"/>
              <w:rPr>
                <w:color w:val="000000"/>
              </w:rPr>
            </w:pPr>
            <w:r w:rsidRPr="00092971">
              <w:rPr>
                <w:color w:val="000000"/>
              </w:rPr>
              <w:t>Discounted cash flow method (income approach)</w:t>
            </w:r>
          </w:p>
        </w:tc>
        <w:tc>
          <w:tcPr>
            <w:tcW w:w="2409" w:type="dxa"/>
          </w:tcPr>
          <w:p w:rsidR="00DF17E9" w:rsidRPr="00092971" w:rsidRDefault="00DF17E9" w:rsidP="00044843">
            <w:pPr>
              <w:jc w:val="left"/>
              <w:rPr>
                <w:color w:val="000000"/>
              </w:rPr>
            </w:pPr>
            <w:r w:rsidRPr="00092971">
              <w:rPr>
                <w:color w:val="000000"/>
              </w:rPr>
              <w:t xml:space="preserve">Discount rates </w:t>
            </w:r>
            <w:r w:rsidRPr="00092971">
              <w:rPr>
                <w:color w:val="000000"/>
                <w:vertAlign w:val="superscript"/>
              </w:rPr>
              <w:t>(b)</w:t>
            </w:r>
          </w:p>
        </w:tc>
        <w:tc>
          <w:tcPr>
            <w:tcW w:w="2409" w:type="dxa"/>
          </w:tcPr>
          <w:p w:rsidR="00DF17E9" w:rsidRPr="00092971" w:rsidRDefault="00DF17E9" w:rsidP="00044843">
            <w:pPr>
              <w:jc w:val="left"/>
              <w:rPr>
                <w:color w:val="000000"/>
              </w:rPr>
            </w:pPr>
            <w:r w:rsidRPr="00092971">
              <w:rPr>
                <w:color w:val="000000"/>
              </w:rPr>
              <w:t>5.6–6.20%</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 xml:space="preserve"> </w:t>
            </w:r>
          </w:p>
        </w:tc>
        <w:tc>
          <w:tcPr>
            <w:tcW w:w="2409" w:type="dxa"/>
          </w:tcPr>
          <w:p w:rsidR="00DF17E9" w:rsidRPr="00092971" w:rsidRDefault="00DF17E9" w:rsidP="00044843">
            <w:pPr>
              <w:jc w:val="left"/>
              <w:rPr>
                <w:color w:val="000000"/>
              </w:rPr>
            </w:pPr>
            <w:r w:rsidRPr="00092971">
              <w:rPr>
                <w:color w:val="000000"/>
              </w:rPr>
              <w:t xml:space="preserve"> </w:t>
            </w:r>
          </w:p>
        </w:tc>
        <w:tc>
          <w:tcPr>
            <w:tcW w:w="2409" w:type="dxa"/>
          </w:tcPr>
          <w:p w:rsidR="00DF17E9" w:rsidRPr="00092971" w:rsidRDefault="00DF17E9" w:rsidP="00044843">
            <w:pPr>
              <w:jc w:val="left"/>
              <w:rPr>
                <w:color w:val="000000"/>
              </w:rPr>
            </w:pPr>
            <w:r w:rsidRPr="00092971">
              <w:rPr>
                <w:color w:val="000000"/>
              </w:rPr>
              <w:t xml:space="preserve">Inflation rate </w:t>
            </w:r>
            <w:r w:rsidRPr="00092971">
              <w:rPr>
                <w:color w:val="000000"/>
                <w:vertAlign w:val="superscript"/>
              </w:rPr>
              <w:t>(b)</w:t>
            </w:r>
          </w:p>
        </w:tc>
        <w:tc>
          <w:tcPr>
            <w:tcW w:w="2409" w:type="dxa"/>
          </w:tcPr>
          <w:p w:rsidR="00DF17E9" w:rsidRPr="00092971" w:rsidRDefault="00DF17E9" w:rsidP="00044843">
            <w:pPr>
              <w:jc w:val="left"/>
              <w:rPr>
                <w:color w:val="000000"/>
              </w:rPr>
            </w:pPr>
            <w:r w:rsidRPr="00092971">
              <w:rPr>
                <w:color w:val="000000"/>
              </w:rPr>
              <w:t>2.5–3.25%</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 xml:space="preserve"> </w:t>
            </w:r>
          </w:p>
        </w:tc>
        <w:tc>
          <w:tcPr>
            <w:tcW w:w="2409" w:type="dxa"/>
          </w:tcPr>
          <w:p w:rsidR="00DF17E9" w:rsidRPr="00092971" w:rsidRDefault="00DF17E9" w:rsidP="00044843">
            <w:pPr>
              <w:jc w:val="left"/>
              <w:rPr>
                <w:color w:val="000000"/>
              </w:rPr>
            </w:pPr>
            <w:r w:rsidRPr="00092971">
              <w:rPr>
                <w:color w:val="000000"/>
              </w:rPr>
              <w:t xml:space="preserve"> </w:t>
            </w:r>
          </w:p>
        </w:tc>
        <w:tc>
          <w:tcPr>
            <w:tcW w:w="2409" w:type="dxa"/>
          </w:tcPr>
          <w:p w:rsidR="00DF17E9" w:rsidRPr="00092971" w:rsidRDefault="00DF17E9" w:rsidP="00044843">
            <w:pPr>
              <w:jc w:val="left"/>
              <w:rPr>
                <w:color w:val="000000"/>
              </w:rPr>
            </w:pPr>
            <w:r w:rsidRPr="00092971">
              <w:rPr>
                <w:color w:val="000000"/>
              </w:rPr>
              <w:t>Terminal value growth rate</w:t>
            </w:r>
          </w:p>
        </w:tc>
        <w:tc>
          <w:tcPr>
            <w:tcW w:w="2409" w:type="dxa"/>
          </w:tcPr>
          <w:p w:rsidR="00DF17E9" w:rsidRPr="00092971" w:rsidRDefault="00DF17E9" w:rsidP="00044843">
            <w:pPr>
              <w:jc w:val="left"/>
              <w:rPr>
                <w:color w:val="000000"/>
              </w:rPr>
            </w:pPr>
            <w:r w:rsidRPr="00092971">
              <w:rPr>
                <w:color w:val="000000"/>
              </w:rPr>
              <w:t>2.50%</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 xml:space="preserve"> </w:t>
            </w:r>
          </w:p>
        </w:tc>
        <w:tc>
          <w:tcPr>
            <w:tcW w:w="2409" w:type="dxa"/>
          </w:tcPr>
          <w:p w:rsidR="00DF17E9" w:rsidRPr="00092971" w:rsidRDefault="00DF17E9" w:rsidP="00044843">
            <w:pPr>
              <w:jc w:val="left"/>
              <w:rPr>
                <w:color w:val="000000"/>
              </w:rPr>
            </w:pPr>
            <w:r w:rsidRPr="00092971">
              <w:rPr>
                <w:color w:val="000000"/>
              </w:rPr>
              <w:t xml:space="preserve"> </w:t>
            </w:r>
          </w:p>
        </w:tc>
        <w:tc>
          <w:tcPr>
            <w:tcW w:w="2409" w:type="dxa"/>
          </w:tcPr>
          <w:p w:rsidR="00DF17E9" w:rsidRPr="00092971" w:rsidRDefault="00DF17E9" w:rsidP="00044843">
            <w:pPr>
              <w:jc w:val="left"/>
              <w:rPr>
                <w:color w:val="000000"/>
              </w:rPr>
            </w:pPr>
            <w:r w:rsidRPr="00092971">
              <w:rPr>
                <w:color w:val="000000"/>
              </w:rPr>
              <w:t>Useful life</w:t>
            </w:r>
          </w:p>
        </w:tc>
        <w:tc>
          <w:tcPr>
            <w:tcW w:w="2409" w:type="dxa"/>
          </w:tcPr>
          <w:p w:rsidR="00DF17E9" w:rsidRPr="00092971" w:rsidRDefault="00DF17E9" w:rsidP="00044843">
            <w:pPr>
              <w:jc w:val="left"/>
              <w:rPr>
                <w:color w:val="000000"/>
              </w:rPr>
            </w:pPr>
            <w:r w:rsidRPr="00092971">
              <w:rPr>
                <w:color w:val="000000"/>
              </w:rPr>
              <w:t>3–200 years</w:t>
            </w:r>
          </w:p>
        </w:tc>
      </w:tr>
      <w:tr w:rsidR="0014179F" w:rsidRPr="00092971" w:rsidTr="006E44BF">
        <w:tc>
          <w:tcPr>
            <w:tcW w:w="9636" w:type="dxa"/>
            <w:gridSpan w:val="4"/>
            <w:shd w:val="clear" w:color="auto" w:fill="EBEBEB" w:themeFill="background2"/>
          </w:tcPr>
          <w:p w:rsidR="0014179F" w:rsidRPr="00092971" w:rsidRDefault="0014179F" w:rsidP="0014179F">
            <w:pPr>
              <w:ind w:left="113" w:hanging="113"/>
              <w:jc w:val="left"/>
              <w:rPr>
                <w:b/>
                <w:color w:val="000000"/>
              </w:rPr>
            </w:pPr>
            <w:r w:rsidRPr="00092971">
              <w:rPr>
                <w:b/>
                <w:color w:val="000000"/>
              </w:rPr>
              <w:t>Plant, equipment and vehicles</w:t>
            </w:r>
          </w:p>
        </w:tc>
      </w:tr>
      <w:tr w:rsidR="00DF17E9" w:rsidRPr="00092971" w:rsidTr="00044843">
        <w:tc>
          <w:tcPr>
            <w:tcW w:w="2409" w:type="dxa"/>
          </w:tcPr>
          <w:p w:rsidR="00DF17E9" w:rsidRPr="00092971" w:rsidRDefault="00DF17E9" w:rsidP="00044843">
            <w:pPr>
              <w:ind w:left="113" w:hanging="113"/>
              <w:jc w:val="left"/>
              <w:rPr>
                <w:color w:val="000000"/>
              </w:rPr>
            </w:pPr>
            <w:r w:rsidRPr="00092971">
              <w:rPr>
                <w:color w:val="000000"/>
              </w:rPr>
              <w:t>Plant, equipment and vehicles</w:t>
            </w:r>
          </w:p>
        </w:tc>
        <w:tc>
          <w:tcPr>
            <w:tcW w:w="2409" w:type="dxa"/>
          </w:tcPr>
          <w:p w:rsidR="00DF17E9" w:rsidRPr="00092971" w:rsidRDefault="00DF17E9" w:rsidP="00044843">
            <w:pPr>
              <w:jc w:val="left"/>
              <w:rPr>
                <w:color w:val="000000"/>
              </w:rPr>
            </w:pPr>
            <w:r w:rsidRPr="00092971">
              <w:rPr>
                <w:color w:val="000000"/>
              </w:rPr>
              <w:t>Depreciated replacement cost</w:t>
            </w:r>
          </w:p>
        </w:tc>
        <w:tc>
          <w:tcPr>
            <w:tcW w:w="2409" w:type="dxa"/>
          </w:tcPr>
          <w:p w:rsidR="00DF17E9" w:rsidRPr="00092971" w:rsidRDefault="00DF17E9" w:rsidP="00044843">
            <w:pPr>
              <w:jc w:val="left"/>
              <w:rPr>
                <w:color w:val="000000"/>
              </w:rPr>
            </w:pPr>
            <w:r w:rsidRPr="00092971">
              <w:rPr>
                <w:color w:val="000000"/>
              </w:rPr>
              <w:t>Useful life</w:t>
            </w:r>
          </w:p>
          <w:p w:rsidR="00DF17E9" w:rsidRPr="00092971" w:rsidRDefault="00DF17E9" w:rsidP="00044843">
            <w:pPr>
              <w:jc w:val="left"/>
              <w:rPr>
                <w:color w:val="000000"/>
              </w:rPr>
            </w:pPr>
            <w:r w:rsidRPr="00092971">
              <w:rPr>
                <w:color w:val="000000"/>
              </w:rPr>
              <w:t>Cost per unit</w:t>
            </w:r>
          </w:p>
        </w:tc>
        <w:tc>
          <w:tcPr>
            <w:tcW w:w="2409" w:type="dxa"/>
          </w:tcPr>
          <w:p w:rsidR="00DF17E9" w:rsidRPr="00092971" w:rsidRDefault="00DF17E9" w:rsidP="00044843">
            <w:pPr>
              <w:jc w:val="left"/>
              <w:rPr>
                <w:color w:val="000000"/>
              </w:rPr>
            </w:pPr>
            <w:r w:rsidRPr="00092971">
              <w:rPr>
                <w:color w:val="000000"/>
              </w:rPr>
              <w:t>1–41 years</w:t>
            </w:r>
          </w:p>
          <w:p w:rsidR="00DF17E9" w:rsidRPr="00092971" w:rsidRDefault="00DF17E9" w:rsidP="00044843">
            <w:pPr>
              <w:jc w:val="left"/>
              <w:rPr>
                <w:color w:val="000000"/>
              </w:rPr>
            </w:pPr>
            <w:r w:rsidRPr="00092971">
              <w:rPr>
                <w:color w:val="000000"/>
              </w:rPr>
              <w:t>$3 600 to $134 300</w:t>
            </w:r>
          </w:p>
        </w:tc>
      </w:tr>
    </w:tbl>
    <w:p w:rsidR="00DF17E9" w:rsidRPr="006A75A2" w:rsidRDefault="00DF17E9" w:rsidP="00951A34">
      <w:pPr>
        <w:pStyle w:val="Note"/>
      </w:pPr>
      <w:r w:rsidRPr="006A75A2">
        <w:t>Note</w:t>
      </w:r>
      <w:r>
        <w:t>s</w:t>
      </w:r>
      <w:r w:rsidRPr="006A75A2">
        <w:t>:</w:t>
      </w:r>
    </w:p>
    <w:p w:rsidR="00DF17E9" w:rsidRDefault="00DF17E9" w:rsidP="00840B01">
      <w:pPr>
        <w:pStyle w:val="Note"/>
      </w:pPr>
      <w:r w:rsidRPr="00840B01">
        <w:t xml:space="preserve">(a) </w:t>
      </w:r>
      <w:r w:rsidRPr="00840B01">
        <w:tab/>
        <w:t xml:space="preserve">The </w:t>
      </w:r>
      <w:r>
        <w:t>C</w:t>
      </w:r>
      <w:r w:rsidRPr="00840B01">
        <w:t xml:space="preserve">SO adjustment reflects the specialised nature of the asset being valued through a market approach. </w:t>
      </w:r>
      <w:r w:rsidRPr="00840B01">
        <w:br/>
        <w:t>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DF17E9" w:rsidRDefault="00DF17E9" w:rsidP="00840B01">
      <w:pPr>
        <w:pStyle w:val="Note"/>
      </w:pPr>
      <w:r w:rsidRPr="00840B01">
        <w:t>(b)</w:t>
      </w:r>
      <w:r w:rsidRPr="00840B01">
        <w:tab/>
        <w:t>Applicable to the valuation using the income approach.</w:t>
      </w:r>
    </w:p>
    <w:p w:rsidR="00DF17E9" w:rsidRPr="00840B01" w:rsidRDefault="00DF17E9" w:rsidP="002F70BC"/>
    <w:p w:rsidR="00DF17E9" w:rsidRPr="00840B01" w:rsidRDefault="00DF17E9" w:rsidP="00840B01">
      <w:pPr>
        <w:pStyle w:val="Note"/>
        <w:sectPr w:rsidR="00DF17E9" w:rsidRPr="00840B01" w:rsidSect="00044843">
          <w:footerReference w:type="even" r:id="rId228"/>
          <w:type w:val="continuous"/>
          <w:pgSz w:w="11906" w:h="16838" w:code="9"/>
          <w:pgMar w:top="1134" w:right="1134" w:bottom="1134" w:left="1134" w:header="624" w:footer="567" w:gutter="0"/>
          <w:cols w:space="708"/>
          <w:docGrid w:linePitch="360"/>
        </w:sectPr>
      </w:pPr>
    </w:p>
    <w:p w:rsidR="00DF17E9" w:rsidRPr="000A1158" w:rsidRDefault="00DF17E9" w:rsidP="002F70BC">
      <w:pPr>
        <w:pStyle w:val="Subheadingunderline"/>
        <w:pBdr>
          <w:bottom w:val="none" w:sz="0" w:space="0" w:color="auto"/>
        </w:pBdr>
        <w:spacing w:before="0"/>
      </w:pPr>
      <w:r w:rsidRPr="000A1158">
        <w:lastRenderedPageBreak/>
        <w:t>Port of Melbourne non-financial assets</w:t>
      </w:r>
    </w:p>
    <w:p w:rsidR="00DF17E9" w:rsidRPr="000A1158" w:rsidRDefault="00DF17E9" w:rsidP="00044843">
      <w:r w:rsidRPr="000A1158">
        <w:t xml:space="preserve">On 19 September 2016, the Victorian Government announced that the Lonsdale consortium was the successful bidder for the Port Package, as outlined in Note 9.5: </w:t>
      </w:r>
      <w:r w:rsidRPr="000A1158">
        <w:rPr>
          <w:i/>
        </w:rPr>
        <w:t>Subsequent events.</w:t>
      </w:r>
    </w:p>
    <w:p w:rsidR="00DF17E9" w:rsidRDefault="00DF17E9" w:rsidP="00044843">
      <w:r w:rsidRPr="000A1158">
        <w:t>As at 30 June 2016, the Port assets (land, channels, other infrastructure and property, plant and equipment) have been revalued to reflect the expected lease transaction price.</w:t>
      </w:r>
    </w:p>
    <w:p w:rsidR="00174CDC" w:rsidRPr="000A1158" w:rsidRDefault="00174CDC" w:rsidP="00044843">
      <w:r>
        <w:t xml:space="preserve">The valuation approach is based on market driven data where possible, including management assumptions </w:t>
      </w:r>
      <w:r w:rsidR="00B7735D">
        <w:t>around future cash flows at the end of the lease period of the Port of Melbourne</w:t>
      </w:r>
      <w:r>
        <w:t>.</w:t>
      </w:r>
    </w:p>
    <w:p w:rsidR="00DF17E9" w:rsidRPr="000A1158" w:rsidRDefault="00DF17E9" w:rsidP="00044843">
      <w:r w:rsidRPr="000A1158">
        <w:t xml:space="preserve">Given the relevant assets of the Port are being offered to Lonsdale Consortium for a fixed period of 50 years and the handback provisions in the Port </w:t>
      </w:r>
      <w:r w:rsidRPr="000A1158">
        <w:lastRenderedPageBreak/>
        <w:t>Concession Deed require the consortium to maintain the land</w:t>
      </w:r>
      <w:r>
        <w:t>, infrastructure</w:t>
      </w:r>
      <w:r w:rsidRPr="000A1158">
        <w:t xml:space="preserve"> and channel assets in their functional form at the time of the expiration of the lease, a residual value (in addition to the expected transaction price) has been calculated by independent </w:t>
      </w:r>
      <w:r>
        <w:t>advisers</w:t>
      </w:r>
      <w:r w:rsidRPr="000A1158">
        <w:t xml:space="preserve"> and is included in the total fair value of the Port’s non-financial assets at 30 June 2016.</w:t>
      </w:r>
    </w:p>
    <w:p w:rsidR="00DF17E9" w:rsidRPr="000A1158" w:rsidRDefault="00DF17E9" w:rsidP="00044843">
      <w:r w:rsidRPr="000A1158">
        <w:t>The new valuation inputs have resulted in a change in the fair value hierarchy for the land assets, from level 3 to level 2.</w:t>
      </w:r>
    </w:p>
    <w:p w:rsidR="00DF17E9" w:rsidRDefault="00DF17E9" w:rsidP="00044843">
      <w:r w:rsidRPr="000A1158">
        <w:t>See the table above for the fair value disclosures relating to the non-financial asset valuations attributable to the level 3 hierarchy.</w:t>
      </w:r>
    </w:p>
    <w:p w:rsidR="00DF17E9" w:rsidRDefault="00DF17E9" w:rsidP="00A81340">
      <w:pPr>
        <w:spacing w:after="0"/>
      </w:pPr>
    </w:p>
    <w:p w:rsidR="00DF17E9" w:rsidRDefault="00DF17E9" w:rsidP="00A81340">
      <w:pPr>
        <w:spacing w:after="0"/>
        <w:sectPr w:rsidR="00DF17E9" w:rsidSect="00044843">
          <w:type w:val="continuous"/>
          <w:pgSz w:w="11906" w:h="16838" w:code="9"/>
          <w:pgMar w:top="1134" w:right="1134" w:bottom="1134" w:left="1134" w:header="624" w:footer="567" w:gutter="0"/>
          <w:cols w:num="2" w:space="708"/>
          <w:docGrid w:linePitch="360"/>
        </w:sectPr>
      </w:pPr>
    </w:p>
    <w:p w:rsidR="00DF17E9" w:rsidRDefault="00DF17E9">
      <w:pPr>
        <w:rPr>
          <w:rFonts w:asciiTheme="majorHAnsi" w:eastAsiaTheme="majorEastAsia" w:hAnsiTheme="majorHAnsi" w:cstheme="majorBidi"/>
          <w:b/>
          <w:bCs/>
          <w:spacing w:val="-2"/>
          <w:szCs w:val="26"/>
        </w:rPr>
      </w:pPr>
      <w:r>
        <w:lastRenderedPageBreak/>
        <w:br w:type="page"/>
      </w:r>
    </w:p>
    <w:p w:rsidR="00DF17E9" w:rsidRPr="00392015" w:rsidRDefault="00DF17E9" w:rsidP="00044843">
      <w:pPr>
        <w:pStyle w:val="Heading3"/>
        <w:tabs>
          <w:tab w:val="right" w:pos="14742"/>
        </w:tabs>
      </w:pPr>
      <w:r w:rsidRPr="00392015">
        <w:lastRenderedPageBreak/>
        <w:t>Fair value measurement of non-financial assets held for sale</w:t>
      </w:r>
    </w:p>
    <w:p w:rsidR="00DF17E9" w:rsidRPr="00092971" w:rsidRDefault="00DF17E9" w:rsidP="00044843">
      <w:pPr>
        <w:pStyle w:val="Subheading"/>
        <w:rPr>
          <w:bCs/>
          <w:highlight w:val="green"/>
          <w:lang w:val="en-US"/>
        </w:rPr>
      </w:pPr>
      <w:r>
        <w:t>Carry amounts, fair values and fair value hierarchy</w:t>
      </w:r>
      <w:r>
        <w:tab/>
      </w:r>
      <w:r w:rsidRPr="0054036F">
        <w:rPr>
          <w:rStyle w:val="TableUnitsChar"/>
        </w:rPr>
        <w:t>($ million)</w:t>
      </w:r>
    </w:p>
    <w:tbl>
      <w:tblPr>
        <w:tblStyle w:val="TableDTFGeneral"/>
        <w:tblW w:w="9674" w:type="dxa"/>
        <w:tblLayout w:type="fixed"/>
        <w:tblLook w:val="06A0" w:firstRow="1" w:lastRow="0" w:firstColumn="1" w:lastColumn="0" w:noHBand="1" w:noVBand="1"/>
      </w:tblPr>
      <w:tblGrid>
        <w:gridCol w:w="3420"/>
        <w:gridCol w:w="11"/>
        <w:gridCol w:w="838"/>
        <w:gridCol w:w="708"/>
        <w:gridCol w:w="848"/>
        <w:gridCol w:w="786"/>
        <w:gridCol w:w="779"/>
        <w:gridCol w:w="16"/>
        <w:gridCol w:w="692"/>
        <w:gridCol w:w="708"/>
        <w:gridCol w:w="854"/>
        <w:gridCol w:w="14"/>
      </w:tblGrid>
      <w:tr w:rsidR="0014179F" w:rsidRPr="00092971" w:rsidTr="001417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gridSpan w:val="2"/>
            <w:vMerge w:val="restart"/>
            <w:vAlign w:val="top"/>
          </w:tcPr>
          <w:p w:rsidR="0014179F" w:rsidRPr="00092971" w:rsidRDefault="0014179F" w:rsidP="0014179F">
            <w:pPr>
              <w:ind w:left="0" w:firstLine="0"/>
              <w:rPr>
                <w:color w:val="FFFFFF"/>
              </w:rPr>
            </w:pPr>
            <w:r w:rsidRPr="00092971">
              <w:rPr>
                <w:color w:val="FFFFFF"/>
              </w:rPr>
              <w:t>State of Victoria</w:t>
            </w:r>
          </w:p>
        </w:tc>
        <w:tc>
          <w:tcPr>
            <w:tcW w:w="838"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Carrying amount</w:t>
            </w:r>
          </w:p>
        </w:tc>
        <w:tc>
          <w:tcPr>
            <w:tcW w:w="2342" w:type="dxa"/>
            <w:gridSpan w:val="3"/>
            <w:tcBorders>
              <w:bottom w:val="single" w:sz="6" w:space="0" w:color="FFFFFF" w:themeColor="background1"/>
            </w:tcBorders>
          </w:tcPr>
          <w:p w:rsidR="0014179F" w:rsidRPr="00092971" w:rsidRDefault="0014179F" w:rsidP="0014179F">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value measurement at the end of the 2016 reporting period using: </w:t>
            </w:r>
          </w:p>
        </w:tc>
        <w:tc>
          <w:tcPr>
            <w:tcW w:w="779"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Carrying amount</w:t>
            </w:r>
          </w:p>
        </w:tc>
        <w:tc>
          <w:tcPr>
            <w:tcW w:w="2284" w:type="dxa"/>
            <w:gridSpan w:val="5"/>
            <w:tcBorders>
              <w:bottom w:val="single" w:sz="6" w:space="0" w:color="FFFFFF" w:themeColor="background1"/>
            </w:tcBorders>
          </w:tcPr>
          <w:p w:rsidR="0014179F" w:rsidRPr="00092971" w:rsidRDefault="0014179F" w:rsidP="0014179F">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Fair value measurement at the end of the 2015 reporting period using: </w:t>
            </w:r>
          </w:p>
        </w:tc>
      </w:tr>
      <w:tr w:rsidR="0014179F" w:rsidRPr="00092971" w:rsidTr="001417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gridSpan w:val="2"/>
            <w:vMerge/>
          </w:tcPr>
          <w:p w:rsidR="0014179F" w:rsidRPr="00092971" w:rsidRDefault="0014179F" w:rsidP="00044843">
            <w:pPr>
              <w:ind w:left="0" w:firstLine="0"/>
              <w:rPr>
                <w:color w:val="FFFFFF"/>
              </w:rPr>
            </w:pPr>
          </w:p>
        </w:tc>
        <w:tc>
          <w:tcPr>
            <w:tcW w:w="838"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708"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tcW w:w="848"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2</w:t>
            </w:r>
          </w:p>
        </w:tc>
        <w:tc>
          <w:tcPr>
            <w:tcW w:w="786"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c>
          <w:tcPr>
            <w:tcW w:w="795" w:type="dxa"/>
            <w:gridSpan w:val="2"/>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tcW w:w="692"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tcW w:w="708"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2</w:t>
            </w:r>
          </w:p>
        </w:tc>
        <w:tc>
          <w:tcPr>
            <w:tcW w:w="868" w:type="dxa"/>
            <w:gridSpan w:val="2"/>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gridSpan w:val="2"/>
          </w:tcPr>
          <w:p w:rsidR="00DF17E9" w:rsidRPr="00092971" w:rsidRDefault="00DF17E9" w:rsidP="00044843">
            <w:pPr>
              <w:ind w:left="113" w:hanging="113"/>
              <w:rPr>
                <w:color w:val="000000"/>
              </w:rPr>
            </w:pPr>
            <w:r w:rsidRPr="00092971">
              <w:rPr>
                <w:color w:val="000000"/>
              </w:rPr>
              <w:t>Land</w:t>
            </w:r>
          </w:p>
        </w:tc>
        <w:tc>
          <w:tcPr>
            <w:tcW w:w="838"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173</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54</w:t>
            </w:r>
          </w:p>
        </w:tc>
        <w:tc>
          <w:tcPr>
            <w:tcW w:w="786"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118</w:t>
            </w:r>
          </w:p>
        </w:tc>
        <w:tc>
          <w:tcPr>
            <w:tcW w:w="795" w:type="dxa"/>
            <w:gridSpan w:val="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191</w:t>
            </w:r>
          </w:p>
        </w:tc>
        <w:tc>
          <w:tcPr>
            <w:tcW w:w="692"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57</w:t>
            </w:r>
          </w:p>
        </w:tc>
        <w:tc>
          <w:tcPr>
            <w:tcW w:w="868" w:type="dxa"/>
            <w:gridSpan w:val="2"/>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134</w:t>
            </w:r>
          </w:p>
        </w:tc>
      </w:tr>
      <w:tr w:rsidR="00DF17E9" w:rsidRPr="00092971"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3431" w:type="dxa"/>
            <w:gridSpan w:val="2"/>
            <w:tcBorders>
              <w:bottom w:val="single" w:sz="6" w:space="0" w:color="auto"/>
            </w:tcBorders>
          </w:tcPr>
          <w:p w:rsidR="00DF17E9" w:rsidRPr="00092971" w:rsidRDefault="00DF17E9" w:rsidP="00044843">
            <w:pPr>
              <w:ind w:left="113" w:hanging="113"/>
              <w:rPr>
                <w:color w:val="000000"/>
              </w:rPr>
            </w:pPr>
            <w:r w:rsidRPr="00092971">
              <w:rPr>
                <w:color w:val="000000"/>
              </w:rPr>
              <w:t xml:space="preserve">Other </w:t>
            </w:r>
          </w:p>
        </w:tc>
        <w:tc>
          <w:tcPr>
            <w:tcW w:w="83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27</w:t>
            </w:r>
          </w:p>
        </w:tc>
        <w:tc>
          <w:tcPr>
            <w:tcW w:w="708"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8"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w:t>
            </w:r>
          </w:p>
        </w:tc>
        <w:tc>
          <w:tcPr>
            <w:tcW w:w="786"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w:t>
            </w:r>
          </w:p>
        </w:tc>
        <w:tc>
          <w:tcPr>
            <w:tcW w:w="795" w:type="dxa"/>
            <w:gridSpan w:val="2"/>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w:t>
            </w:r>
          </w:p>
        </w:tc>
        <w:tc>
          <w:tcPr>
            <w:tcW w:w="692"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8"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12</w:t>
            </w:r>
          </w:p>
        </w:tc>
        <w:tc>
          <w:tcPr>
            <w:tcW w:w="854"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20" w:type="dxa"/>
            <w:tcBorders>
              <w:bottom w:val="single" w:sz="12" w:space="0" w:color="auto"/>
            </w:tcBorders>
          </w:tcPr>
          <w:p w:rsidR="00DF17E9" w:rsidRPr="00092971" w:rsidRDefault="00DF17E9" w:rsidP="00044843">
            <w:pPr>
              <w:ind w:left="113" w:hanging="113"/>
              <w:rPr>
                <w:color w:val="000000"/>
              </w:rPr>
            </w:pPr>
            <w:r w:rsidRPr="00092971">
              <w:rPr>
                <w:b/>
                <w:color w:val="000000"/>
              </w:rPr>
              <w:t>Closing balance</w:t>
            </w:r>
          </w:p>
        </w:tc>
        <w:tc>
          <w:tcPr>
            <w:tcW w:w="849" w:type="dxa"/>
            <w:gridSpan w:val="2"/>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200</w:t>
            </w:r>
          </w:p>
        </w:tc>
        <w:tc>
          <w:tcPr>
            <w:tcW w:w="708" w:type="dxa"/>
            <w:tcBorders>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8" w:type="dxa"/>
            <w:tcBorders>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61</w:t>
            </w:r>
          </w:p>
        </w:tc>
        <w:tc>
          <w:tcPr>
            <w:tcW w:w="786" w:type="dxa"/>
            <w:tcBorders>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138</w:t>
            </w:r>
          </w:p>
        </w:tc>
        <w:tc>
          <w:tcPr>
            <w:tcW w:w="795" w:type="dxa"/>
            <w:gridSpan w:val="2"/>
            <w:tcBorders>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205</w:t>
            </w:r>
          </w:p>
        </w:tc>
        <w:tc>
          <w:tcPr>
            <w:tcW w:w="692" w:type="dxa"/>
            <w:tcBorders>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8" w:type="dxa"/>
            <w:tcBorders>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69</w:t>
            </w:r>
          </w:p>
        </w:tc>
        <w:tc>
          <w:tcPr>
            <w:tcW w:w="868" w:type="dxa"/>
            <w:gridSpan w:val="2"/>
            <w:tcBorders>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136</w:t>
            </w:r>
          </w:p>
        </w:tc>
      </w:tr>
    </w:tbl>
    <w:p w:rsidR="00DF17E9" w:rsidRPr="00092971" w:rsidRDefault="00DF17E9" w:rsidP="007639BB">
      <w:pPr>
        <w:rPr>
          <w:b/>
          <w:bCs/>
          <w:highlight w:val="green"/>
          <w:lang w:val="en-US"/>
        </w:rPr>
      </w:pPr>
    </w:p>
    <w:tbl>
      <w:tblPr>
        <w:tblStyle w:val="TableDTFGeneral"/>
        <w:tblW w:w="9637" w:type="dxa"/>
        <w:tblLayout w:type="fixed"/>
        <w:tblLook w:val="06A0" w:firstRow="1" w:lastRow="0" w:firstColumn="1" w:lastColumn="0" w:noHBand="1" w:noVBand="1"/>
      </w:tblPr>
      <w:tblGrid>
        <w:gridCol w:w="3431"/>
        <w:gridCol w:w="851"/>
        <w:gridCol w:w="700"/>
        <w:gridCol w:w="842"/>
        <w:gridCol w:w="784"/>
        <w:gridCol w:w="798"/>
        <w:gridCol w:w="679"/>
        <w:gridCol w:w="24"/>
        <w:gridCol w:w="709"/>
        <w:gridCol w:w="819"/>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0" w:firstLine="0"/>
              <w:rPr>
                <w:color w:val="FFFFFF"/>
              </w:rPr>
            </w:pPr>
            <w:r w:rsidRPr="00092971">
              <w:rPr>
                <w:color w:val="FFFFFF"/>
              </w:rPr>
              <w:t>General government sector</w:t>
            </w:r>
          </w:p>
        </w:tc>
        <w:tc>
          <w:tcPr>
            <w:tcW w:w="85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700"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4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784"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79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67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733" w:type="dxa"/>
            <w:gridSpan w:val="2"/>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c>
          <w:tcPr>
            <w:tcW w:w="81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 </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rsidR="00DF17E9" w:rsidRPr="00092971" w:rsidRDefault="00DF17E9" w:rsidP="00044843">
            <w:pPr>
              <w:ind w:left="0" w:firstLine="0"/>
              <w:rPr>
                <w:color w:val="000000"/>
              </w:rPr>
            </w:pPr>
            <w:r w:rsidRPr="00092971">
              <w:rPr>
                <w:color w:val="000000"/>
              </w:rPr>
              <w:t>Land</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163</w:t>
            </w:r>
          </w:p>
        </w:tc>
        <w:tc>
          <w:tcPr>
            <w:tcW w:w="700"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2"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47</w:t>
            </w:r>
          </w:p>
        </w:tc>
        <w:tc>
          <w:tcPr>
            <w:tcW w:w="784"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116</w:t>
            </w:r>
          </w:p>
        </w:tc>
        <w:tc>
          <w:tcPr>
            <w:tcW w:w="79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165</w:t>
            </w:r>
          </w:p>
        </w:tc>
        <w:tc>
          <w:tcPr>
            <w:tcW w:w="703" w:type="dxa"/>
            <w:gridSpan w:val="2"/>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32</w:t>
            </w:r>
          </w:p>
        </w:tc>
        <w:tc>
          <w:tcPr>
            <w:tcW w:w="81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134</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bottom w:val="single" w:sz="6" w:space="0" w:color="auto"/>
            </w:tcBorders>
          </w:tcPr>
          <w:p w:rsidR="00DF17E9" w:rsidRPr="00092971" w:rsidRDefault="00DF17E9" w:rsidP="00044843">
            <w:pPr>
              <w:ind w:left="0" w:firstLine="0"/>
              <w:rPr>
                <w:color w:val="000000"/>
              </w:rPr>
            </w:pPr>
            <w:r w:rsidRPr="00092971">
              <w:rPr>
                <w:color w:val="000000"/>
              </w:rPr>
              <w:t xml:space="preserve">Other </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25</w:t>
            </w:r>
          </w:p>
        </w:tc>
        <w:tc>
          <w:tcPr>
            <w:tcW w:w="700"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2"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c>
          <w:tcPr>
            <w:tcW w:w="784"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20</w:t>
            </w:r>
          </w:p>
        </w:tc>
        <w:tc>
          <w:tcPr>
            <w:tcW w:w="79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10</w:t>
            </w:r>
          </w:p>
        </w:tc>
        <w:tc>
          <w:tcPr>
            <w:tcW w:w="67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33" w:type="dxa"/>
            <w:gridSpan w:val="2"/>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8</w:t>
            </w:r>
          </w:p>
        </w:tc>
        <w:tc>
          <w:tcPr>
            <w:tcW w:w="81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Closing balance</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188</w:t>
            </w:r>
          </w:p>
        </w:tc>
        <w:tc>
          <w:tcPr>
            <w:tcW w:w="700"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2"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52</w:t>
            </w:r>
          </w:p>
        </w:tc>
        <w:tc>
          <w:tcPr>
            <w:tcW w:w="784"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136</w:t>
            </w:r>
          </w:p>
        </w:tc>
        <w:tc>
          <w:tcPr>
            <w:tcW w:w="79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175</w:t>
            </w:r>
          </w:p>
        </w:tc>
        <w:tc>
          <w:tcPr>
            <w:tcW w:w="67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33" w:type="dxa"/>
            <w:gridSpan w:val="2"/>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39</w:t>
            </w:r>
          </w:p>
        </w:tc>
        <w:tc>
          <w:tcPr>
            <w:tcW w:w="81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136</w:t>
            </w:r>
          </w:p>
        </w:tc>
      </w:tr>
    </w:tbl>
    <w:p w:rsidR="00DF17E9" w:rsidRDefault="00DF17E9" w:rsidP="007639BB">
      <w:pPr>
        <w:rPr>
          <w:highlight w:val="green"/>
        </w:rPr>
      </w:pPr>
    </w:p>
    <w:p w:rsidR="00DF17E9" w:rsidRDefault="00DF17E9" w:rsidP="007639BB">
      <w:pPr>
        <w:rPr>
          <w:highlight w:val="green"/>
        </w:rPr>
      </w:pPr>
    </w:p>
    <w:p w:rsidR="00DF17E9" w:rsidRDefault="00DF17E9" w:rsidP="002A52B5">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2A52B5"/>
    <w:p w:rsidR="00DF17E9" w:rsidRDefault="00DF17E9">
      <w:pPr>
        <w:rPr>
          <w:rFonts w:asciiTheme="majorHAnsi" w:hAnsiTheme="majorHAnsi"/>
          <w:b/>
          <w:spacing w:val="-2"/>
        </w:rPr>
      </w:pPr>
      <w:r>
        <w:br w:type="page"/>
      </w:r>
    </w:p>
    <w:p w:rsidR="00DF17E9" w:rsidRDefault="00DF17E9" w:rsidP="007639BB">
      <w:pPr>
        <w:pStyle w:val="Subheading"/>
      </w:pPr>
      <w:r w:rsidRPr="002A52B5">
        <w:lastRenderedPageBreak/>
        <w:t>Description of the valuation techniques and unobservable inputs to level 3 in the fair value</w:t>
      </w:r>
    </w:p>
    <w:p w:rsidR="00DF17E9" w:rsidRDefault="00DF17E9" w:rsidP="00DD16DA">
      <w:r w:rsidRPr="006A75A2">
        <w:rPr>
          <w:lang w:eastAsia="en-AU"/>
        </w:rPr>
        <w:t>The description of the significant unobservable inputs to Level 3 assets measured at fair value can be seen below. The disclosure is based on the description associated with the significant asset balances within each of the different Leve</w:t>
      </w:r>
      <w:r>
        <w:rPr>
          <w:lang w:eastAsia="en-AU"/>
        </w:rPr>
        <w:t xml:space="preserve">l 3 asset classes as </w:t>
      </w:r>
      <w:r w:rsidRPr="00392015">
        <w:rPr>
          <w:lang w:eastAsia="en-AU"/>
        </w:rPr>
        <w:t>per non-financial assets held for sale fair value hierarchy table in this note. These</w:t>
      </w:r>
      <w:r w:rsidRPr="006A75A2">
        <w:rPr>
          <w:lang w:eastAsia="en-AU"/>
        </w:rPr>
        <w:t xml:space="preserv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rsidRPr="006A75A2">
        <w:t xml:space="preserve"> </w:t>
      </w:r>
    </w:p>
    <w:tbl>
      <w:tblPr>
        <w:tblStyle w:val="TableDTFGeneral"/>
        <w:tblW w:w="5000" w:type="pct"/>
        <w:tblLayout w:type="fixed"/>
        <w:tblLook w:val="02A0" w:firstRow="1" w:lastRow="0" w:firstColumn="1" w:lastColumn="0" w:noHBand="1" w:noVBand="0"/>
      </w:tblPr>
      <w:tblGrid>
        <w:gridCol w:w="1022"/>
        <w:gridCol w:w="1701"/>
        <w:gridCol w:w="1856"/>
      </w:tblGrid>
      <w:tr w:rsidR="00DF17E9" w:rsidRPr="00693E17"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2" w:type="dxa"/>
            <w:tcBorders>
              <w:bottom w:val="single" w:sz="6" w:space="0" w:color="auto"/>
            </w:tcBorders>
          </w:tcPr>
          <w:p w:rsidR="00DF17E9" w:rsidRPr="00693E17" w:rsidRDefault="00DF17E9" w:rsidP="00044843">
            <w:pPr>
              <w:rPr>
                <w:szCs w:val="17"/>
              </w:rPr>
            </w:pPr>
            <w:r>
              <w:lastRenderedPageBreak/>
              <w:br w:type="column"/>
            </w:r>
            <w:r>
              <w:br w:type="column"/>
            </w:r>
            <w:r w:rsidRPr="00693E17">
              <w:rPr>
                <w:szCs w:val="17"/>
              </w:rPr>
              <w:t>Asset class</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6" w:space="0" w:color="auto"/>
            </w:tcBorders>
          </w:tcPr>
          <w:p w:rsidR="00DF17E9" w:rsidRPr="00693E17" w:rsidRDefault="00DF17E9" w:rsidP="00044843">
            <w:pPr>
              <w:jc w:val="left"/>
              <w:rPr>
                <w:szCs w:val="17"/>
              </w:rPr>
            </w:pPr>
            <w:r w:rsidRPr="00693E17">
              <w:rPr>
                <w:szCs w:val="17"/>
              </w:rPr>
              <w:t>Valuation technique</w:t>
            </w:r>
          </w:p>
        </w:tc>
        <w:tc>
          <w:tcPr>
            <w:tcW w:w="1856" w:type="dxa"/>
            <w:tcBorders>
              <w:bottom w:val="single" w:sz="6" w:space="0" w:color="auto"/>
            </w:tcBorders>
          </w:tcPr>
          <w:p w:rsidR="00DF17E9" w:rsidRPr="00693E17" w:rsidRDefault="00DF17E9" w:rsidP="00044843">
            <w:pPr>
              <w:jc w:val="left"/>
              <w:cnfStyle w:val="100000000000" w:firstRow="1" w:lastRow="0" w:firstColumn="0" w:lastColumn="0" w:oddVBand="0" w:evenVBand="0" w:oddHBand="0" w:evenHBand="0" w:firstRowFirstColumn="0" w:firstRowLastColumn="0" w:lastRowFirstColumn="0" w:lastRowLastColumn="0"/>
              <w:rPr>
                <w:szCs w:val="17"/>
              </w:rPr>
            </w:pPr>
            <w:r w:rsidRPr="00693E17">
              <w:rPr>
                <w:szCs w:val="17"/>
              </w:rPr>
              <w:t>Significant unobservable input</w:t>
            </w:r>
          </w:p>
        </w:tc>
      </w:tr>
      <w:tr w:rsidR="00DF17E9" w:rsidRPr="00693E17" w:rsidTr="00044843">
        <w:tc>
          <w:tcPr>
            <w:cnfStyle w:val="001000000000" w:firstRow="0" w:lastRow="0" w:firstColumn="1" w:lastColumn="0" w:oddVBand="0" w:evenVBand="0" w:oddHBand="0" w:evenHBand="0" w:firstRowFirstColumn="0" w:firstRowLastColumn="0" w:lastRowFirstColumn="0" w:lastRowLastColumn="0"/>
            <w:tcW w:w="1022" w:type="dxa"/>
            <w:tcBorders>
              <w:top w:val="single" w:sz="6" w:space="0" w:color="auto"/>
              <w:bottom w:val="single" w:sz="6" w:space="0" w:color="auto"/>
            </w:tcBorders>
          </w:tcPr>
          <w:p w:rsidR="00DF17E9" w:rsidRPr="00693E17" w:rsidRDefault="00DF17E9" w:rsidP="00044843">
            <w:pPr>
              <w:rPr>
                <w:szCs w:val="17"/>
              </w:rPr>
            </w:pPr>
            <w:r w:rsidRPr="00693E17">
              <w:rPr>
                <w:szCs w:val="17"/>
              </w:rPr>
              <w:t>Land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6" w:space="0" w:color="auto"/>
            </w:tcBorders>
            <w:shd w:val="clear" w:color="auto" w:fill="EBEBEB"/>
          </w:tcPr>
          <w:p w:rsidR="00DF17E9" w:rsidRPr="00693E17" w:rsidRDefault="00DF17E9" w:rsidP="00044843">
            <w:pPr>
              <w:jc w:val="left"/>
              <w:rPr>
                <w:szCs w:val="17"/>
              </w:rPr>
            </w:pPr>
            <w:r w:rsidRPr="00693E17">
              <w:rPr>
                <w:szCs w:val="17"/>
              </w:rPr>
              <w:t>Market approach</w:t>
            </w:r>
          </w:p>
        </w:tc>
        <w:tc>
          <w:tcPr>
            <w:tcW w:w="1856" w:type="dxa"/>
            <w:tcBorders>
              <w:top w:val="single" w:sz="6" w:space="0" w:color="auto"/>
              <w:bottom w:val="single" w:sz="6" w:space="0" w:color="auto"/>
            </w:tcBorders>
          </w:tcPr>
          <w:p w:rsidR="00DF17E9" w:rsidRDefault="00DF17E9" w:rsidP="00044843">
            <w:pPr>
              <w:jc w:val="left"/>
              <w:cnfStyle w:val="000000000000" w:firstRow="0" w:lastRow="0" w:firstColumn="0" w:lastColumn="0" w:oddVBand="0" w:evenVBand="0" w:oddHBand="0" w:evenHBand="0" w:firstRowFirstColumn="0" w:firstRowLastColumn="0" w:lastRowFirstColumn="0" w:lastRowLastColumn="0"/>
              <w:rPr>
                <w:szCs w:val="17"/>
                <w:vertAlign w:val="superscript"/>
              </w:rPr>
            </w:pPr>
            <w:r w:rsidRPr="00693E17">
              <w:rPr>
                <w:szCs w:val="17"/>
              </w:rPr>
              <w:t>CSO adjustment</w:t>
            </w:r>
            <w:r>
              <w:rPr>
                <w:szCs w:val="17"/>
              </w:rPr>
              <w:t xml:space="preserve"> </w:t>
            </w:r>
            <w:r w:rsidRPr="00693E17">
              <w:rPr>
                <w:szCs w:val="17"/>
                <w:vertAlign w:val="superscript"/>
              </w:rPr>
              <w:t>(a)</w:t>
            </w:r>
          </w:p>
          <w:p w:rsidR="00DF17E9" w:rsidRPr="00553310" w:rsidRDefault="00DF17E9" w:rsidP="00044843">
            <w:pPr>
              <w:jc w:val="left"/>
              <w:cnfStyle w:val="000000000000" w:firstRow="0" w:lastRow="0" w:firstColumn="0" w:lastColumn="0" w:oddVBand="0" w:evenVBand="0" w:oddHBand="0" w:evenHBand="0" w:firstRowFirstColumn="0" w:firstRowLastColumn="0" w:lastRowFirstColumn="0" w:lastRowLastColumn="0"/>
            </w:pPr>
            <w:r w:rsidRPr="00553310">
              <w:t>Discount rate</w:t>
            </w:r>
          </w:p>
        </w:tc>
      </w:tr>
      <w:tr w:rsidR="00DF17E9" w:rsidRPr="00693E17" w:rsidTr="00044843">
        <w:tc>
          <w:tcPr>
            <w:cnfStyle w:val="001000000000" w:firstRow="0" w:lastRow="0" w:firstColumn="1" w:lastColumn="0" w:oddVBand="0" w:evenVBand="0" w:oddHBand="0" w:evenHBand="0" w:firstRowFirstColumn="0" w:firstRowLastColumn="0" w:lastRowFirstColumn="0" w:lastRowLastColumn="0"/>
            <w:tcW w:w="1022" w:type="dxa"/>
            <w:tcBorders>
              <w:top w:val="single" w:sz="6" w:space="0" w:color="auto"/>
              <w:bottom w:val="single" w:sz="12" w:space="0" w:color="auto"/>
            </w:tcBorders>
          </w:tcPr>
          <w:p w:rsidR="00DF17E9" w:rsidRPr="00693E17" w:rsidRDefault="00DF17E9" w:rsidP="00044843">
            <w:pPr>
              <w:rPr>
                <w:szCs w:val="17"/>
              </w:rPr>
            </w:pPr>
            <w:r>
              <w:rPr>
                <w:szCs w:val="17"/>
              </w:rPr>
              <w:t>Buildings</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auto"/>
              <w:bottom w:val="single" w:sz="12" w:space="0" w:color="auto"/>
            </w:tcBorders>
            <w:shd w:val="clear" w:color="auto" w:fill="EBEBEB"/>
          </w:tcPr>
          <w:p w:rsidR="00DF17E9" w:rsidRPr="00693E17" w:rsidRDefault="00DF17E9" w:rsidP="00044843">
            <w:pPr>
              <w:jc w:val="left"/>
              <w:rPr>
                <w:szCs w:val="17"/>
              </w:rPr>
            </w:pPr>
            <w:r>
              <w:rPr>
                <w:szCs w:val="17"/>
              </w:rPr>
              <w:t>Depreciated replacement cost</w:t>
            </w:r>
          </w:p>
        </w:tc>
        <w:tc>
          <w:tcPr>
            <w:tcW w:w="1856" w:type="dxa"/>
            <w:tcBorders>
              <w:top w:val="single" w:sz="6" w:space="0" w:color="auto"/>
              <w:bottom w:val="single" w:sz="12" w:space="0" w:color="auto"/>
            </w:tcBorders>
          </w:tcPr>
          <w:p w:rsidR="00DF17E9" w:rsidRPr="00693E17" w:rsidRDefault="00DF17E9" w:rsidP="00044843">
            <w:pPr>
              <w:jc w:val="left"/>
              <w:cnfStyle w:val="000000000000" w:firstRow="0" w:lastRow="0" w:firstColumn="0" w:lastColumn="0" w:oddVBand="0" w:evenVBand="0" w:oddHBand="0" w:evenHBand="0" w:firstRowFirstColumn="0" w:firstRowLastColumn="0" w:lastRowFirstColumn="0" w:lastRowLastColumn="0"/>
              <w:rPr>
                <w:szCs w:val="17"/>
              </w:rPr>
            </w:pPr>
            <w:r>
              <w:rPr>
                <w:szCs w:val="17"/>
              </w:rPr>
              <w:t>Cost per square metre</w:t>
            </w:r>
          </w:p>
        </w:tc>
      </w:tr>
    </w:tbl>
    <w:p w:rsidR="00DF17E9" w:rsidRPr="007639BB" w:rsidRDefault="00DF17E9" w:rsidP="00044843">
      <w:pPr>
        <w:pStyle w:val="Note"/>
      </w:pPr>
      <w:r w:rsidRPr="007639BB">
        <w:t>Note:</w:t>
      </w:r>
    </w:p>
    <w:p w:rsidR="00DF17E9" w:rsidRPr="00840B01" w:rsidRDefault="00DF17E9" w:rsidP="00044843">
      <w:pPr>
        <w:pStyle w:val="Note"/>
      </w:pPr>
      <w:r w:rsidRPr="00840B01">
        <w:t>(a)</w:t>
      </w:r>
      <w:r w:rsidRPr="00840B01">
        <w:tab/>
        <w:t>The community service obligation (CSO) adjustment reflects the specialised nature of the asset being valued through the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DF17E9" w:rsidRDefault="00DF17E9" w:rsidP="00DD16DA"/>
    <w:p w:rsidR="00DF17E9" w:rsidRDefault="00DF17E9" w:rsidP="00DD16DA">
      <w:pPr>
        <w:sectPr w:rsidR="00DF17E9" w:rsidSect="00044843">
          <w:type w:val="continuous"/>
          <w:pgSz w:w="11906" w:h="16838" w:code="9"/>
          <w:pgMar w:top="1134" w:right="1134" w:bottom="1134" w:left="1134" w:header="624" w:footer="567" w:gutter="0"/>
          <w:cols w:num="2" w:space="708"/>
          <w:docGrid w:linePitch="360"/>
        </w:sectPr>
      </w:pPr>
    </w:p>
    <w:p w:rsidR="00DF17E9" w:rsidRPr="00392015" w:rsidRDefault="00DF17E9" w:rsidP="00044843">
      <w:pPr>
        <w:pStyle w:val="Heading3"/>
        <w:tabs>
          <w:tab w:val="right" w:pos="14742"/>
        </w:tabs>
      </w:pPr>
      <w:r w:rsidRPr="00392015">
        <w:lastRenderedPageBreak/>
        <w:t>Fair value measurement of other non-financial assets</w:t>
      </w:r>
    </w:p>
    <w:p w:rsidR="00DF17E9" w:rsidRPr="00092971" w:rsidRDefault="00DF17E9" w:rsidP="00044843">
      <w:pPr>
        <w:pStyle w:val="Subheading"/>
        <w:rPr>
          <w:rStyle w:val="TableUnitsChar"/>
          <w:bCs/>
          <w:lang w:val="en-US"/>
        </w:rPr>
      </w:pPr>
      <w:r>
        <w:t>Carry amounts, fair values and fair value hierarchy</w:t>
      </w:r>
      <w:r>
        <w:tab/>
      </w:r>
      <w:r w:rsidRPr="007639BB">
        <w:rPr>
          <w:rStyle w:val="TableUnitsChar"/>
        </w:rPr>
        <w:t>($ million)</w:t>
      </w:r>
    </w:p>
    <w:tbl>
      <w:tblPr>
        <w:tblStyle w:val="TableDTFGeneral"/>
        <w:tblW w:w="9673" w:type="dxa"/>
        <w:tblLayout w:type="fixed"/>
        <w:tblLook w:val="06A0" w:firstRow="1" w:lastRow="0" w:firstColumn="1" w:lastColumn="0" w:noHBand="1" w:noVBand="1"/>
      </w:tblPr>
      <w:tblGrid>
        <w:gridCol w:w="3427"/>
        <w:gridCol w:w="852"/>
        <w:gridCol w:w="709"/>
        <w:gridCol w:w="850"/>
        <w:gridCol w:w="783"/>
        <w:gridCol w:w="778"/>
        <w:gridCol w:w="709"/>
        <w:gridCol w:w="709"/>
        <w:gridCol w:w="856"/>
      </w:tblGrid>
      <w:tr w:rsidR="0014179F" w:rsidRPr="00092971" w:rsidTr="001417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7" w:type="dxa"/>
            <w:vMerge w:val="restart"/>
            <w:vAlign w:val="top"/>
          </w:tcPr>
          <w:p w:rsidR="0014179F" w:rsidRPr="00092971" w:rsidRDefault="0014179F" w:rsidP="0014179F">
            <w:pPr>
              <w:ind w:left="0" w:firstLine="0"/>
              <w:rPr>
                <w:color w:val="FFFFFF"/>
              </w:rPr>
            </w:pPr>
            <w:r w:rsidRPr="00092971">
              <w:rPr>
                <w:color w:val="FFFFFF"/>
              </w:rPr>
              <w:t>State of Victoria</w:t>
            </w:r>
          </w:p>
        </w:tc>
        <w:tc>
          <w:tcPr>
            <w:tcW w:w="852"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Carrying amount</w:t>
            </w:r>
          </w:p>
        </w:tc>
        <w:tc>
          <w:tcPr>
            <w:tcW w:w="2342" w:type="dxa"/>
            <w:gridSpan w:val="3"/>
            <w:tcBorders>
              <w:bottom w:val="single" w:sz="6" w:space="0" w:color="FFFFFF" w:themeColor="background1"/>
            </w:tcBorders>
          </w:tcPr>
          <w:p w:rsidR="0014179F" w:rsidRPr="00092971" w:rsidRDefault="0014179F" w:rsidP="0014179F">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Fair value measurement at the end of the 2016 reporting period using:</w:t>
            </w:r>
          </w:p>
        </w:tc>
        <w:tc>
          <w:tcPr>
            <w:tcW w:w="778"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Carrying amount</w:t>
            </w:r>
          </w:p>
        </w:tc>
        <w:tc>
          <w:tcPr>
            <w:tcW w:w="2274" w:type="dxa"/>
            <w:gridSpan w:val="3"/>
            <w:tcBorders>
              <w:bottom w:val="single" w:sz="6" w:space="0" w:color="FFFFFF" w:themeColor="background1"/>
            </w:tcBorders>
          </w:tcPr>
          <w:p w:rsidR="0014179F" w:rsidRPr="00092971" w:rsidRDefault="0014179F" w:rsidP="0014179F">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Fair value measurement at the end of the 2015 reporting period using:</w:t>
            </w:r>
          </w:p>
        </w:tc>
      </w:tr>
      <w:tr w:rsidR="0014179F"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7" w:type="dxa"/>
            <w:vMerge/>
          </w:tcPr>
          <w:p w:rsidR="0014179F" w:rsidRPr="00092971" w:rsidRDefault="0014179F" w:rsidP="00044843">
            <w:pPr>
              <w:ind w:left="0" w:firstLine="0"/>
              <w:rPr>
                <w:color w:val="FFFFFF"/>
              </w:rPr>
            </w:pPr>
          </w:p>
        </w:tc>
        <w:tc>
          <w:tcPr>
            <w:tcW w:w="852"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2016</w:t>
            </w:r>
          </w:p>
        </w:tc>
        <w:tc>
          <w:tcPr>
            <w:tcW w:w="709"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tcW w:w="850"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2</w:t>
            </w:r>
          </w:p>
        </w:tc>
        <w:tc>
          <w:tcPr>
            <w:tcW w:w="783"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c>
          <w:tcPr>
            <w:tcW w:w="778" w:type="dxa"/>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tcW w:w="709"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1</w:t>
            </w:r>
          </w:p>
        </w:tc>
        <w:tc>
          <w:tcPr>
            <w:tcW w:w="709"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Level 2 </w:t>
            </w:r>
          </w:p>
        </w:tc>
        <w:tc>
          <w:tcPr>
            <w:tcW w:w="856" w:type="dxa"/>
            <w:tcBorders>
              <w:top w:val="single" w:sz="6" w:space="0" w:color="FFFFFF" w:themeColor="background1"/>
            </w:tcBorders>
          </w:tcPr>
          <w:p w:rsidR="0014179F" w:rsidRPr="00092971"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Level 3</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27" w:type="dxa"/>
            <w:tcBorders>
              <w:bottom w:val="nil"/>
            </w:tcBorders>
          </w:tcPr>
          <w:p w:rsidR="00DF17E9" w:rsidRPr="00092971" w:rsidRDefault="00DF17E9" w:rsidP="00044843">
            <w:pPr>
              <w:ind w:left="113" w:hanging="113"/>
              <w:rPr>
                <w:color w:val="000000"/>
              </w:rPr>
            </w:pPr>
            <w:r w:rsidRPr="00092971">
              <w:rPr>
                <w:color w:val="000000"/>
              </w:rPr>
              <w:t>Investment properties</w:t>
            </w:r>
          </w:p>
        </w:tc>
        <w:tc>
          <w:tcPr>
            <w:tcW w:w="852"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158</w:t>
            </w:r>
          </w:p>
        </w:tc>
        <w:tc>
          <w:tcPr>
            <w:tcW w:w="70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158</w:t>
            </w:r>
          </w:p>
        </w:tc>
        <w:tc>
          <w:tcPr>
            <w:tcW w:w="783"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78"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76</w:t>
            </w:r>
          </w:p>
        </w:tc>
        <w:tc>
          <w:tcPr>
            <w:tcW w:w="70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70</w:t>
            </w:r>
          </w:p>
        </w:tc>
        <w:tc>
          <w:tcPr>
            <w:tcW w:w="856"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27" w:type="dxa"/>
            <w:tcBorders>
              <w:bottom w:val="single" w:sz="6" w:space="0" w:color="auto"/>
            </w:tcBorders>
          </w:tcPr>
          <w:p w:rsidR="00DF17E9" w:rsidRPr="00092971" w:rsidRDefault="00DF17E9" w:rsidP="00044843">
            <w:pPr>
              <w:ind w:left="113" w:hanging="113"/>
              <w:rPr>
                <w:color w:val="000000"/>
              </w:rPr>
            </w:pPr>
            <w:r w:rsidRPr="00092971">
              <w:rPr>
                <w:color w:val="000000"/>
              </w:rPr>
              <w:t>Biological assets</w:t>
            </w:r>
          </w:p>
        </w:tc>
        <w:tc>
          <w:tcPr>
            <w:tcW w:w="852"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61</w:t>
            </w:r>
          </w:p>
        </w:tc>
        <w:tc>
          <w:tcPr>
            <w:tcW w:w="70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50"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13</w:t>
            </w:r>
          </w:p>
        </w:tc>
        <w:tc>
          <w:tcPr>
            <w:tcW w:w="783"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48</w:t>
            </w:r>
          </w:p>
        </w:tc>
        <w:tc>
          <w:tcPr>
            <w:tcW w:w="778"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64</w:t>
            </w:r>
          </w:p>
        </w:tc>
        <w:tc>
          <w:tcPr>
            <w:tcW w:w="70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0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w:t>
            </w:r>
          </w:p>
        </w:tc>
        <w:tc>
          <w:tcPr>
            <w:tcW w:w="856"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49</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27" w:type="dxa"/>
            <w:tcBorders>
              <w:top w:val="single" w:sz="6" w:space="0" w:color="auto"/>
              <w:bottom w:val="single" w:sz="12" w:space="0" w:color="auto"/>
            </w:tcBorders>
          </w:tcPr>
          <w:p w:rsidR="00DF17E9" w:rsidRPr="00092971" w:rsidRDefault="00DF17E9" w:rsidP="00044843">
            <w:pPr>
              <w:ind w:left="113" w:hanging="113"/>
              <w:rPr>
                <w:color w:val="000000"/>
              </w:rPr>
            </w:pPr>
            <w:r w:rsidRPr="00092971">
              <w:rPr>
                <w:b/>
                <w:color w:val="000000"/>
              </w:rPr>
              <w:t>Total investment properties and biological assets</w:t>
            </w:r>
          </w:p>
        </w:tc>
        <w:tc>
          <w:tcPr>
            <w:tcW w:w="852"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219</w:t>
            </w:r>
          </w:p>
        </w:tc>
        <w:tc>
          <w:tcPr>
            <w:tcW w:w="70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50"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171</w:t>
            </w:r>
          </w:p>
        </w:tc>
        <w:tc>
          <w:tcPr>
            <w:tcW w:w="783"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48</w:t>
            </w:r>
          </w:p>
        </w:tc>
        <w:tc>
          <w:tcPr>
            <w:tcW w:w="778"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139</w:t>
            </w:r>
          </w:p>
        </w:tc>
        <w:tc>
          <w:tcPr>
            <w:tcW w:w="70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0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85</w:t>
            </w:r>
          </w:p>
        </w:tc>
        <w:tc>
          <w:tcPr>
            <w:tcW w:w="856"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54</w:t>
            </w:r>
          </w:p>
        </w:tc>
      </w:tr>
    </w:tbl>
    <w:p w:rsidR="00DF17E9" w:rsidRPr="00092971" w:rsidRDefault="00DF17E9" w:rsidP="007639BB">
      <w:pPr>
        <w:rPr>
          <w:rStyle w:val="TableUnitsChar"/>
          <w:b/>
          <w:bCs/>
          <w:lang w:val="en-US"/>
        </w:rPr>
      </w:pPr>
    </w:p>
    <w:tbl>
      <w:tblPr>
        <w:tblStyle w:val="TableDTFGeneral"/>
        <w:tblW w:w="9637" w:type="dxa"/>
        <w:tblLayout w:type="fixed"/>
        <w:tblLook w:val="06A0" w:firstRow="1" w:lastRow="0" w:firstColumn="1" w:lastColumn="0" w:noHBand="1" w:noVBand="1"/>
      </w:tblPr>
      <w:tblGrid>
        <w:gridCol w:w="3431"/>
        <w:gridCol w:w="851"/>
        <w:gridCol w:w="700"/>
        <w:gridCol w:w="842"/>
        <w:gridCol w:w="798"/>
        <w:gridCol w:w="770"/>
        <w:gridCol w:w="714"/>
        <w:gridCol w:w="712"/>
        <w:gridCol w:w="819"/>
      </w:tblGrid>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rsidR="00DF17E9" w:rsidRPr="00092971" w:rsidRDefault="00DF17E9" w:rsidP="00044843">
            <w:pPr>
              <w:ind w:left="0" w:firstLine="0"/>
              <w:rPr>
                <w:color w:val="FFFFFF"/>
              </w:rPr>
            </w:pPr>
            <w:r w:rsidRPr="00092971">
              <w:rPr>
                <w:color w:val="FFFFFF"/>
              </w:rPr>
              <w:t>General government sector</w:t>
            </w:r>
          </w:p>
        </w:tc>
        <w:tc>
          <w:tcPr>
            <w:tcW w:w="851"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700"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84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798"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770"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714"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712"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tcW w:w="819"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rsidR="00DF17E9" w:rsidRPr="00092971" w:rsidRDefault="00DF17E9" w:rsidP="00044843">
            <w:pPr>
              <w:ind w:left="0" w:firstLine="0"/>
              <w:rPr>
                <w:color w:val="000000"/>
              </w:rPr>
            </w:pPr>
            <w:r w:rsidRPr="00092971">
              <w:rPr>
                <w:color w:val="000000"/>
              </w:rPr>
              <w:t>Investment properties</w:t>
            </w:r>
          </w:p>
        </w:tc>
        <w:tc>
          <w:tcPr>
            <w:tcW w:w="851"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151</w:t>
            </w:r>
          </w:p>
        </w:tc>
        <w:tc>
          <w:tcPr>
            <w:tcW w:w="700"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2"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151</w:t>
            </w:r>
          </w:p>
        </w:tc>
        <w:tc>
          <w:tcPr>
            <w:tcW w:w="798"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70"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69</w:t>
            </w:r>
          </w:p>
        </w:tc>
        <w:tc>
          <w:tcPr>
            <w:tcW w:w="714"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2"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64</w:t>
            </w:r>
          </w:p>
        </w:tc>
        <w:tc>
          <w:tcPr>
            <w:tcW w:w="819" w:type="dxa"/>
            <w:tcBorders>
              <w:bottom w:val="nil"/>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bottom w:val="single" w:sz="6" w:space="0" w:color="auto"/>
            </w:tcBorders>
          </w:tcPr>
          <w:p w:rsidR="00DF17E9" w:rsidRPr="00092971" w:rsidRDefault="00DF17E9" w:rsidP="00044843">
            <w:pPr>
              <w:ind w:left="0" w:firstLine="0"/>
              <w:rPr>
                <w:color w:val="000000"/>
              </w:rPr>
            </w:pPr>
            <w:r w:rsidRPr="00092971">
              <w:rPr>
                <w:color w:val="000000"/>
              </w:rPr>
              <w:t>Biological assets</w:t>
            </w:r>
          </w:p>
        </w:tc>
        <w:tc>
          <w:tcPr>
            <w:tcW w:w="851"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tcW w:w="700"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842"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c>
          <w:tcPr>
            <w:tcW w:w="798"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2</w:t>
            </w:r>
          </w:p>
        </w:tc>
        <w:tc>
          <w:tcPr>
            <w:tcW w:w="770"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tcW w:w="714"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c>
          <w:tcPr>
            <w:tcW w:w="712"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w:t>
            </w:r>
          </w:p>
        </w:tc>
        <w:tc>
          <w:tcPr>
            <w:tcW w:w="819" w:type="dxa"/>
            <w:tcBorders>
              <w:bottom w:val="single" w:sz="6"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r w:rsidRPr="00092971">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bottom w:val="single" w:sz="12" w:space="0" w:color="auto"/>
            </w:tcBorders>
          </w:tcPr>
          <w:p w:rsidR="00DF17E9" w:rsidRPr="00092971" w:rsidRDefault="00DF17E9" w:rsidP="0014179F">
            <w:pPr>
              <w:ind w:left="113" w:hanging="113"/>
              <w:rPr>
                <w:color w:val="000000"/>
              </w:rPr>
            </w:pPr>
            <w:r w:rsidRPr="00092971">
              <w:rPr>
                <w:b/>
                <w:color w:val="000000"/>
              </w:rPr>
              <w:t>Total investment properties and biological assets</w:t>
            </w:r>
          </w:p>
        </w:tc>
        <w:tc>
          <w:tcPr>
            <w:tcW w:w="851"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153</w:t>
            </w:r>
          </w:p>
        </w:tc>
        <w:tc>
          <w:tcPr>
            <w:tcW w:w="700"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842"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151</w:t>
            </w:r>
          </w:p>
        </w:tc>
        <w:tc>
          <w:tcPr>
            <w:tcW w:w="798"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2</w:t>
            </w:r>
          </w:p>
        </w:tc>
        <w:tc>
          <w:tcPr>
            <w:tcW w:w="770"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73</w:t>
            </w:r>
          </w:p>
        </w:tc>
        <w:tc>
          <w:tcPr>
            <w:tcW w:w="714"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b/>
                <w:color w:val="000000"/>
              </w:rPr>
              <w:t>..</w:t>
            </w:r>
          </w:p>
        </w:tc>
        <w:tc>
          <w:tcPr>
            <w:tcW w:w="712"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68</w:t>
            </w:r>
          </w:p>
        </w:tc>
        <w:tc>
          <w:tcPr>
            <w:tcW w:w="819" w:type="dxa"/>
            <w:tcBorders>
              <w:top w:val="single" w:sz="6" w:space="0" w:color="auto"/>
              <w:bottom w:val="single" w:sz="12" w:space="0" w:color="auto"/>
            </w:tcBorders>
            <w:shd w:val="clear" w:color="auto" w:fill="EBEBEB" w:themeFill="background2"/>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w:t>
            </w:r>
          </w:p>
        </w:tc>
      </w:tr>
    </w:tbl>
    <w:p w:rsidR="00DF17E9" w:rsidRPr="007639BB" w:rsidRDefault="00DF17E9" w:rsidP="007639BB"/>
    <w:p w:rsidR="00DF17E9" w:rsidRPr="00092971" w:rsidRDefault="00DF17E9" w:rsidP="00044843">
      <w:pPr>
        <w:pStyle w:val="Subheading"/>
        <w:rPr>
          <w:rStyle w:val="TableUnitsChar"/>
          <w:bCs/>
          <w:lang w:val="en-US"/>
        </w:rPr>
      </w:pPr>
      <w:r w:rsidRPr="007639BB">
        <w:t>Reconciliation of Level 3 fair value movements</w:t>
      </w:r>
      <w:r>
        <w:tab/>
      </w:r>
      <w:r w:rsidRPr="000E735B">
        <w:rPr>
          <w:rStyle w:val="TableUnitsChar"/>
        </w:rPr>
        <w:t>($ million)</w:t>
      </w:r>
    </w:p>
    <w:tbl>
      <w:tblPr>
        <w:tblStyle w:val="TableDTFGeneral"/>
        <w:tblW w:w="9637" w:type="dxa"/>
        <w:tblLayout w:type="fixed"/>
        <w:tblLook w:val="02A0" w:firstRow="1" w:lastRow="0" w:firstColumn="1" w:lastColumn="0" w:noHBand="1" w:noVBand="0"/>
      </w:tblPr>
      <w:tblGrid>
        <w:gridCol w:w="5983"/>
        <w:gridCol w:w="913"/>
        <w:gridCol w:w="914"/>
        <w:gridCol w:w="913"/>
        <w:gridCol w:w="914"/>
      </w:tblGrid>
      <w:tr w:rsidR="0014179F" w:rsidRPr="00092971" w:rsidTr="006E44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14179F" w:rsidRPr="00092971" w:rsidRDefault="0014179F"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827" w:type="dxa"/>
            <w:gridSpan w:val="2"/>
          </w:tcPr>
          <w:p w:rsidR="0014179F" w:rsidRPr="00092971" w:rsidRDefault="0014179F" w:rsidP="00044843">
            <w:pPr>
              <w:jc w:val="center"/>
              <w:rPr>
                <w:color w:val="FFFFFF"/>
              </w:rPr>
            </w:pPr>
            <w:r w:rsidRPr="00092971">
              <w:rPr>
                <w:color w:val="FFFFFF"/>
              </w:rPr>
              <w:t>State of Victoria</w:t>
            </w:r>
          </w:p>
        </w:tc>
        <w:tc>
          <w:tcPr>
            <w:tcW w:w="1827" w:type="dxa"/>
            <w:gridSpan w:val="2"/>
          </w:tcPr>
          <w:p w:rsidR="0014179F" w:rsidRPr="00092971" w:rsidRDefault="0014179F" w:rsidP="0014179F">
            <w:pPr>
              <w:jc w:val="cente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 xml:space="preserve">General </w:t>
            </w:r>
            <w:r>
              <w:rPr>
                <w:color w:val="FFFFFF"/>
              </w:rPr>
              <w:br/>
            </w:r>
            <w:r w:rsidRPr="00092971">
              <w:rPr>
                <w:color w:val="FFFFFF"/>
              </w:rPr>
              <w:t>government sector</w:t>
            </w:r>
          </w:p>
        </w:tc>
      </w:tr>
      <w:tr w:rsidR="00DF17E9" w:rsidRPr="00092971"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FFFFFF"/>
              </w:rPr>
            </w:pPr>
            <w:r w:rsidRPr="00092971">
              <w:rPr>
                <w:color w:val="FFFFFF"/>
              </w:rPr>
              <w:t>2016</w:t>
            </w:r>
          </w:p>
        </w:tc>
        <w:tc>
          <w:tcPr>
            <w:tcW w:w="914"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FFFFFF"/>
              </w:rPr>
            </w:pPr>
            <w:r w:rsidRPr="00092971">
              <w:rPr>
                <w:color w:val="FFFFFF"/>
              </w:rPr>
              <w:t>2016</w:t>
            </w:r>
          </w:p>
        </w:tc>
        <w:tc>
          <w:tcPr>
            <w:tcW w:w="914" w:type="dxa"/>
          </w:tcPr>
          <w:p w:rsidR="00DF17E9" w:rsidRPr="00092971"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092971">
              <w:rPr>
                <w:color w:val="FFFFFF"/>
              </w:rPr>
              <w:t>2015</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Opening balance</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r w:rsidRPr="00092971">
              <w:rPr>
                <w:color w:val="000000"/>
              </w:rPr>
              <w:t>54</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68</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r w:rsidRPr="00092971">
              <w:rPr>
                <w:color w:val="000000"/>
              </w:rPr>
              <w:t>5</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68</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Assets reclassified/(sales)</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(62)</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pPr>
              <w:rPr>
                <w:color w:val="000000"/>
              </w:rPr>
            </w:pPr>
            <w:r w:rsidRPr="00092971">
              <w:rPr>
                <w:color w:val="000000"/>
              </w:rPr>
              <w:t>..</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(62)</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Pr>
          <w:p w:rsidR="00DF17E9" w:rsidRPr="00092971" w:rsidRDefault="00DF17E9" w:rsidP="00044843">
            <w:pPr>
              <w:ind w:left="0" w:firstLine="0"/>
              <w:rPr>
                <w:color w:val="000000"/>
              </w:rPr>
            </w:pPr>
            <w:r w:rsidRPr="00092971">
              <w:rPr>
                <w:color w:val="000000"/>
              </w:rPr>
              <w:t>Transfers in (out) of Level 3</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r w:rsidRPr="00092971">
              <w:rPr>
                <w:color w:val="000000"/>
              </w:rPr>
              <w:t>(2)</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49</w:t>
            </w:r>
          </w:p>
        </w:tc>
        <w:tc>
          <w:tcPr>
            <w:cnfStyle w:val="000010000000" w:firstRow="0" w:lastRow="0" w:firstColumn="0" w:lastColumn="0" w:oddVBand="1" w:evenVBand="0" w:oddHBand="0" w:evenHBand="0" w:firstRowFirstColumn="0" w:firstRowLastColumn="0" w:lastRowFirstColumn="0" w:lastRowLastColumn="0"/>
            <w:tcW w:w="913" w:type="dxa"/>
          </w:tcPr>
          <w:p w:rsidR="00DF17E9" w:rsidRPr="00092971" w:rsidRDefault="00DF17E9" w:rsidP="00044843">
            <w:r w:rsidRPr="00092971">
              <w:rPr>
                <w:color w:val="000000"/>
              </w:rPr>
              <w:t>(1)</w:t>
            </w:r>
          </w:p>
        </w:tc>
        <w:tc>
          <w:tcPr>
            <w:tcW w:w="914" w:type="dxa"/>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nil"/>
            </w:tcBorders>
          </w:tcPr>
          <w:p w:rsidR="00DF17E9" w:rsidRPr="00092971" w:rsidRDefault="00DF17E9" w:rsidP="00044843">
            <w:pPr>
              <w:ind w:left="0" w:firstLine="0"/>
              <w:rPr>
                <w:color w:val="000000"/>
              </w:rPr>
            </w:pPr>
            <w:r w:rsidRPr="00092971">
              <w:rPr>
                <w:color w:val="000000"/>
              </w:rPr>
              <w:t>Revaluation</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092971" w:rsidRDefault="00DF17E9" w:rsidP="00044843">
            <w:r w:rsidRPr="00092971">
              <w:rPr>
                <w:color w:val="000000"/>
              </w:rPr>
              <w:t>(3)</w:t>
            </w:r>
          </w:p>
        </w:tc>
        <w:tc>
          <w:tcPr>
            <w:tcW w:w="914"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w:t>
            </w:r>
          </w:p>
        </w:tc>
        <w:tc>
          <w:tcPr>
            <w:cnfStyle w:val="000010000000" w:firstRow="0" w:lastRow="0" w:firstColumn="0" w:lastColumn="0" w:oddVBand="1" w:evenVBand="0" w:oddHBand="0" w:evenHBand="0" w:firstRowFirstColumn="0" w:firstRowLastColumn="0" w:lastRowFirstColumn="0" w:lastRowLastColumn="0"/>
            <w:tcW w:w="913" w:type="dxa"/>
            <w:tcBorders>
              <w:bottom w:val="nil"/>
            </w:tcBorders>
          </w:tcPr>
          <w:p w:rsidR="00DF17E9" w:rsidRPr="00092971" w:rsidRDefault="00DF17E9" w:rsidP="00044843">
            <w:r w:rsidRPr="00092971">
              <w:rPr>
                <w:color w:val="000000"/>
              </w:rPr>
              <w:t>..</w:t>
            </w:r>
          </w:p>
        </w:tc>
        <w:tc>
          <w:tcPr>
            <w:tcW w:w="914" w:type="dxa"/>
            <w:tcBorders>
              <w:bottom w:val="nil"/>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rsidR="00DF17E9" w:rsidRPr="00092971" w:rsidRDefault="00DF17E9" w:rsidP="00044843">
            <w:pPr>
              <w:ind w:left="0" w:firstLine="0"/>
              <w:rPr>
                <w:color w:val="000000"/>
              </w:rPr>
            </w:pPr>
            <w:r w:rsidRPr="00092971">
              <w:rPr>
                <w:color w:val="000000"/>
              </w:rPr>
              <w:t>Reclassification</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DF17E9" w:rsidRPr="00092971" w:rsidRDefault="00DF17E9" w:rsidP="00044843">
            <w:r w:rsidRPr="00092971">
              <w:rPr>
                <w:color w:val="000000"/>
              </w:rPr>
              <w:t>(2)</w:t>
            </w:r>
          </w:p>
        </w:tc>
        <w:tc>
          <w:tcPr>
            <w:tcW w:w="914"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color w:val="000000"/>
              </w:rPr>
              <w:t>(1)</w:t>
            </w:r>
          </w:p>
        </w:tc>
        <w:tc>
          <w:tcPr>
            <w:cnfStyle w:val="000010000000" w:firstRow="0" w:lastRow="0" w:firstColumn="0" w:lastColumn="0" w:oddVBand="1" w:evenVBand="0" w:oddHBand="0" w:evenHBand="0" w:firstRowFirstColumn="0" w:firstRowLastColumn="0" w:lastRowFirstColumn="0" w:lastRowLastColumn="0"/>
            <w:tcW w:w="913" w:type="dxa"/>
            <w:tcBorders>
              <w:bottom w:val="single" w:sz="6" w:space="0" w:color="auto"/>
            </w:tcBorders>
          </w:tcPr>
          <w:p w:rsidR="00DF17E9" w:rsidRPr="00092971" w:rsidRDefault="00DF17E9" w:rsidP="00044843">
            <w:r w:rsidRPr="00092971">
              <w:rPr>
                <w:color w:val="000000"/>
              </w:rPr>
              <w:t>(2)</w:t>
            </w:r>
          </w:p>
        </w:tc>
        <w:tc>
          <w:tcPr>
            <w:tcW w:w="914" w:type="dxa"/>
            <w:tcBorders>
              <w:bottom w:val="single" w:sz="6"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092971">
              <w:rPr>
                <w:color w:val="000000"/>
              </w:rPr>
              <w:t>..</w:t>
            </w:r>
          </w:p>
        </w:tc>
      </w:tr>
      <w:tr w:rsidR="00DF17E9" w:rsidRPr="00092971" w:rsidTr="00044843">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rsidR="00DF17E9" w:rsidRPr="00092971" w:rsidRDefault="00DF17E9" w:rsidP="00044843">
            <w:pPr>
              <w:ind w:left="0" w:firstLine="0"/>
              <w:rPr>
                <w:color w:val="000000"/>
              </w:rPr>
            </w:pPr>
            <w:r w:rsidRPr="00092971">
              <w:rPr>
                <w:b/>
                <w:color w:val="000000"/>
              </w:rPr>
              <w:t xml:space="preserve">Closing balance </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bottom w:val="single" w:sz="12" w:space="0" w:color="auto"/>
            </w:tcBorders>
          </w:tcPr>
          <w:p w:rsidR="00DF17E9" w:rsidRPr="00092971" w:rsidRDefault="00DF17E9" w:rsidP="00044843">
            <w:r w:rsidRPr="00092971">
              <w:rPr>
                <w:b/>
                <w:color w:val="000000"/>
              </w:rPr>
              <w:t>48</w:t>
            </w:r>
          </w:p>
        </w:tc>
        <w:tc>
          <w:tcPr>
            <w:tcW w:w="914"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54</w:t>
            </w:r>
          </w:p>
        </w:tc>
        <w:tc>
          <w:tcPr>
            <w:cnfStyle w:val="000010000000" w:firstRow="0" w:lastRow="0" w:firstColumn="0" w:lastColumn="0" w:oddVBand="1" w:evenVBand="0" w:oddHBand="0" w:evenHBand="0" w:firstRowFirstColumn="0" w:firstRowLastColumn="0" w:lastRowFirstColumn="0" w:lastRowLastColumn="0"/>
            <w:tcW w:w="913" w:type="dxa"/>
            <w:tcBorders>
              <w:top w:val="single" w:sz="6" w:space="0" w:color="auto"/>
              <w:bottom w:val="single" w:sz="12" w:space="0" w:color="auto"/>
            </w:tcBorders>
          </w:tcPr>
          <w:p w:rsidR="00DF17E9" w:rsidRPr="00092971" w:rsidRDefault="00DF17E9" w:rsidP="00044843">
            <w:r w:rsidRPr="00092971">
              <w:rPr>
                <w:b/>
                <w:color w:val="000000"/>
              </w:rPr>
              <w:t>2</w:t>
            </w:r>
          </w:p>
        </w:tc>
        <w:tc>
          <w:tcPr>
            <w:tcW w:w="914" w:type="dxa"/>
            <w:tcBorders>
              <w:top w:val="single" w:sz="6" w:space="0" w:color="auto"/>
              <w:bottom w:val="single" w:sz="12" w:space="0" w:color="auto"/>
            </w:tcBorders>
          </w:tcPr>
          <w:p w:rsidR="00DF17E9" w:rsidRPr="00092971" w:rsidRDefault="00DF17E9" w:rsidP="00044843">
            <w:pPr>
              <w:cnfStyle w:val="000000000000" w:firstRow="0" w:lastRow="0" w:firstColumn="0" w:lastColumn="0" w:oddVBand="0" w:evenVBand="0" w:oddHBand="0" w:evenHBand="0" w:firstRowFirstColumn="0" w:firstRowLastColumn="0" w:lastRowFirstColumn="0" w:lastRowLastColumn="0"/>
            </w:pPr>
            <w:r w:rsidRPr="00092971">
              <w:rPr>
                <w:b/>
                <w:color w:val="000000"/>
              </w:rPr>
              <w:t>5</w:t>
            </w:r>
          </w:p>
        </w:tc>
      </w:tr>
    </w:tbl>
    <w:p w:rsidR="00DF17E9" w:rsidRPr="000E735B" w:rsidRDefault="00DF17E9" w:rsidP="00044843"/>
    <w:p w:rsidR="00DF17E9" w:rsidRDefault="00DF17E9" w:rsidP="007639BB">
      <w:pPr>
        <w:pStyle w:val="Heading2"/>
        <w:sectPr w:rsidR="00DF17E9" w:rsidSect="00044843">
          <w:type w:val="continuous"/>
          <w:pgSz w:w="11906" w:h="16838" w:code="9"/>
          <w:pgMar w:top="1134" w:right="1134" w:bottom="1134" w:left="1134" w:header="624" w:footer="567" w:gutter="0"/>
          <w:cols w:space="708"/>
          <w:docGrid w:linePitch="360"/>
        </w:sectPr>
      </w:pPr>
    </w:p>
    <w:p w:rsidR="00DF17E9" w:rsidRDefault="00DF17E9">
      <w:pPr>
        <w:rPr>
          <w:rFonts w:asciiTheme="majorHAnsi" w:hAnsiTheme="majorHAnsi"/>
          <w:b/>
          <w:spacing w:val="-2"/>
        </w:rPr>
      </w:pPr>
      <w:r>
        <w:lastRenderedPageBreak/>
        <w:br w:type="page"/>
      </w:r>
    </w:p>
    <w:p w:rsidR="00DF17E9" w:rsidRDefault="00DF17E9" w:rsidP="007639BB">
      <w:pPr>
        <w:pStyle w:val="Subheading"/>
      </w:pPr>
      <w:r w:rsidRPr="005C6999">
        <w:lastRenderedPageBreak/>
        <w:t xml:space="preserve">Description of significant unobservable inputs to Level 3 valuations </w:t>
      </w:r>
    </w:p>
    <w:p w:rsidR="00DF17E9" w:rsidRDefault="00DF17E9" w:rsidP="00DD16DA">
      <w:r w:rsidRPr="006A75A2">
        <w:rPr>
          <w:lang w:eastAsia="en-AU"/>
        </w:rPr>
        <w:t>The description of the significant unobservable inputs to Level 3 assets measured at fair value can be seen below</w:t>
      </w:r>
      <w:r>
        <w:rPr>
          <w:lang w:eastAsia="en-AU"/>
        </w:rPr>
        <w:t xml:space="preserve">. </w:t>
      </w:r>
      <w:r w:rsidRPr="006A75A2">
        <w:rPr>
          <w:lang w:eastAsia="en-AU"/>
        </w:rPr>
        <w:t xml:space="preserve">The disclosure is based on the description associated with the significant asset balances within each of the different Level 3 asset classes as per </w:t>
      </w:r>
      <w:r w:rsidRPr="00392015">
        <w:rPr>
          <w:lang w:eastAsia="en-AU"/>
        </w:rPr>
        <w:t>other non-financial assets fair value hierarchy table in this note. These</w:t>
      </w:r>
      <w:r w:rsidRPr="006A75A2">
        <w:rPr>
          <w:lang w:eastAsia="en-AU"/>
        </w:rPr>
        <w:t xml:space="preserv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t xml:space="preserve"> </w:t>
      </w:r>
    </w:p>
    <w:tbl>
      <w:tblPr>
        <w:tblStyle w:val="TableDTFGeneral"/>
        <w:tblW w:w="4939" w:type="pct"/>
        <w:tblLayout w:type="fixed"/>
        <w:tblLook w:val="02A0" w:firstRow="1" w:lastRow="0" w:firstColumn="1" w:lastColumn="0" w:noHBand="1" w:noVBand="0"/>
      </w:tblPr>
      <w:tblGrid>
        <w:gridCol w:w="1429"/>
        <w:gridCol w:w="1435"/>
        <w:gridCol w:w="1659"/>
      </w:tblGrid>
      <w:tr w:rsidR="00DF17E9" w:rsidRPr="000004E3"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9" w:type="dxa"/>
            <w:tcBorders>
              <w:bottom w:val="single" w:sz="6" w:space="0" w:color="auto"/>
            </w:tcBorders>
          </w:tcPr>
          <w:p w:rsidR="00DF17E9" w:rsidRPr="000004E3" w:rsidRDefault="00DF17E9" w:rsidP="00044843">
            <w:pPr>
              <w:ind w:left="0" w:firstLine="0"/>
            </w:pPr>
            <w:r w:rsidRPr="000004E3">
              <w:lastRenderedPageBreak/>
              <w:t>Asset class</w:t>
            </w:r>
          </w:p>
        </w:tc>
        <w:tc>
          <w:tcPr>
            <w:cnfStyle w:val="000010000000" w:firstRow="0" w:lastRow="0" w:firstColumn="0" w:lastColumn="0" w:oddVBand="1" w:evenVBand="0" w:oddHBand="0" w:evenHBand="0" w:firstRowFirstColumn="0" w:firstRowLastColumn="0" w:lastRowFirstColumn="0" w:lastRowLastColumn="0"/>
            <w:tcW w:w="1435" w:type="dxa"/>
            <w:tcBorders>
              <w:bottom w:val="single" w:sz="6" w:space="0" w:color="auto"/>
            </w:tcBorders>
          </w:tcPr>
          <w:p w:rsidR="00DF17E9" w:rsidRPr="000004E3" w:rsidRDefault="00DF17E9" w:rsidP="00044843">
            <w:pPr>
              <w:jc w:val="left"/>
            </w:pPr>
            <w:r w:rsidRPr="000004E3">
              <w:t>Valuation technique</w:t>
            </w:r>
          </w:p>
        </w:tc>
        <w:tc>
          <w:tcPr>
            <w:tcW w:w="1659" w:type="dxa"/>
            <w:tcBorders>
              <w:bottom w:val="single" w:sz="6" w:space="0" w:color="auto"/>
            </w:tcBorders>
          </w:tcPr>
          <w:p w:rsidR="00DF17E9" w:rsidRPr="000004E3" w:rsidRDefault="00DF17E9" w:rsidP="00044843">
            <w:pPr>
              <w:jc w:val="left"/>
              <w:cnfStyle w:val="100000000000" w:firstRow="1" w:lastRow="0" w:firstColumn="0" w:lastColumn="0" w:oddVBand="0" w:evenVBand="0" w:oddHBand="0" w:evenHBand="0" w:firstRowFirstColumn="0" w:firstRowLastColumn="0" w:lastRowFirstColumn="0" w:lastRowLastColumn="0"/>
            </w:pPr>
            <w:r w:rsidRPr="000004E3">
              <w:t>Significant unobservable input</w:t>
            </w:r>
          </w:p>
        </w:tc>
      </w:tr>
      <w:tr w:rsidR="00DF17E9" w:rsidRPr="000004E3" w:rsidTr="00044843">
        <w:tc>
          <w:tcPr>
            <w:cnfStyle w:val="001000000000" w:firstRow="0" w:lastRow="0" w:firstColumn="1" w:lastColumn="0" w:oddVBand="0" w:evenVBand="0" w:oddHBand="0" w:evenHBand="0" w:firstRowFirstColumn="0" w:firstRowLastColumn="0" w:lastRowFirstColumn="0" w:lastRowLastColumn="0"/>
            <w:tcW w:w="1429" w:type="dxa"/>
            <w:tcBorders>
              <w:top w:val="single" w:sz="6" w:space="0" w:color="auto"/>
              <w:bottom w:val="single" w:sz="12" w:space="0" w:color="auto"/>
            </w:tcBorders>
          </w:tcPr>
          <w:p w:rsidR="00DF17E9" w:rsidRPr="000004E3" w:rsidRDefault="00DF17E9" w:rsidP="00044843">
            <w:pPr>
              <w:ind w:left="0" w:firstLine="0"/>
            </w:pPr>
            <w:r>
              <w:t>Biological assets</w:t>
            </w:r>
          </w:p>
        </w:tc>
        <w:tc>
          <w:tcPr>
            <w:cnfStyle w:val="000010000000" w:firstRow="0" w:lastRow="0" w:firstColumn="0" w:lastColumn="0" w:oddVBand="1" w:evenVBand="0" w:oddHBand="0" w:evenHBand="0" w:firstRowFirstColumn="0" w:firstRowLastColumn="0" w:lastRowFirstColumn="0" w:lastRowLastColumn="0"/>
            <w:tcW w:w="1435" w:type="dxa"/>
            <w:tcBorders>
              <w:top w:val="single" w:sz="6" w:space="0" w:color="auto"/>
              <w:bottom w:val="single" w:sz="12" w:space="0" w:color="auto"/>
            </w:tcBorders>
          </w:tcPr>
          <w:p w:rsidR="00DF17E9" w:rsidRPr="000004E3" w:rsidRDefault="00DF17E9" w:rsidP="00044843">
            <w:pPr>
              <w:jc w:val="left"/>
            </w:pPr>
            <w:r>
              <w:t>Market approach</w:t>
            </w:r>
          </w:p>
        </w:tc>
        <w:tc>
          <w:tcPr>
            <w:tcW w:w="1659" w:type="dxa"/>
            <w:tcBorders>
              <w:top w:val="single" w:sz="6" w:space="0" w:color="auto"/>
              <w:bottom w:val="single" w:sz="12" w:space="0" w:color="auto"/>
            </w:tcBorders>
          </w:tcPr>
          <w:p w:rsidR="00DF17E9" w:rsidRPr="000004E3" w:rsidRDefault="00DF17E9" w:rsidP="00044843">
            <w:pPr>
              <w:jc w:val="left"/>
              <w:cnfStyle w:val="000000000000" w:firstRow="0" w:lastRow="0" w:firstColumn="0" w:lastColumn="0" w:oddVBand="0" w:evenVBand="0" w:oddHBand="0" w:evenHBand="0" w:firstRowFirstColumn="0" w:firstRowLastColumn="0" w:lastRowFirstColumn="0" w:lastRowLastColumn="0"/>
            </w:pPr>
            <w:r>
              <w:t xml:space="preserve">CSO adjustment </w:t>
            </w:r>
            <w:r w:rsidRPr="002C4CE8">
              <w:rPr>
                <w:vertAlign w:val="superscript"/>
              </w:rPr>
              <w:t>(a)</w:t>
            </w:r>
          </w:p>
        </w:tc>
      </w:tr>
    </w:tbl>
    <w:p w:rsidR="00DF17E9" w:rsidRPr="007639BB" w:rsidRDefault="00DF17E9" w:rsidP="00044843">
      <w:pPr>
        <w:pStyle w:val="Note"/>
      </w:pPr>
      <w:r w:rsidRPr="007639BB">
        <w:t>Note:</w:t>
      </w:r>
    </w:p>
    <w:p w:rsidR="00DF17E9" w:rsidRPr="00840B01" w:rsidRDefault="00DF17E9" w:rsidP="00044843">
      <w:pPr>
        <w:pStyle w:val="Note"/>
      </w:pPr>
      <w:r w:rsidRPr="00840B01">
        <w:t>(a)</w:t>
      </w:r>
      <w:r w:rsidRPr="00840B01">
        <w:tab/>
        <w:t>The community service obligation (CSO) adjustment reflects the specialised nature of the asset being valued through the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DF17E9" w:rsidRDefault="00DF17E9" w:rsidP="00DD16DA"/>
    <w:p w:rsidR="002F70BC" w:rsidRDefault="002F70BC" w:rsidP="00DD16DA"/>
    <w:bookmarkEnd w:id="60"/>
    <w:p w:rsidR="00DF17E9" w:rsidRDefault="00DF17E9" w:rsidP="00DD16DA"/>
    <w:p w:rsidR="00DF17E9" w:rsidRDefault="00DF17E9" w:rsidP="00DD16DA">
      <w:pPr>
        <w:sectPr w:rsidR="00DF17E9" w:rsidSect="00044843">
          <w:type w:val="continuous"/>
          <w:pgSz w:w="11906" w:h="16838" w:code="9"/>
          <w:pgMar w:top="1134" w:right="1134" w:bottom="1134" w:left="1134" w:header="624" w:footer="567" w:gutter="0"/>
          <w:cols w:num="2" w:space="708"/>
          <w:docGrid w:linePitch="360"/>
        </w:sectPr>
      </w:pPr>
    </w:p>
    <w:p w:rsidR="00DF17E9" w:rsidRDefault="00DF17E9" w:rsidP="00044843">
      <w:pPr>
        <w:sectPr w:rsidR="00DF17E9" w:rsidSect="00044843">
          <w:headerReference w:type="even" r:id="rId229"/>
          <w:headerReference w:type="default" r:id="rId230"/>
          <w:footerReference w:type="even" r:id="rId231"/>
          <w:footerReference w:type="default" r:id="rId232"/>
          <w:type w:val="continuous"/>
          <w:pgSz w:w="11906" w:h="16838" w:code="9"/>
          <w:pgMar w:top="1134" w:right="1134" w:bottom="1134" w:left="1134" w:header="624" w:footer="567" w:gutter="0"/>
          <w:cols w:num="2" w:space="708"/>
          <w:docGrid w:linePitch="360"/>
        </w:sectPr>
      </w:pPr>
    </w:p>
    <w:p w:rsidR="00DF17E9" w:rsidRDefault="00DF17E9" w:rsidP="00044843">
      <w:pPr>
        <w:pStyle w:val="Heading1"/>
      </w:pPr>
      <w:bookmarkStart w:id="66" w:name="_Toc462865846"/>
      <w:r>
        <w:lastRenderedPageBreak/>
        <w:t>Comparison against budget and the public account</w:t>
      </w:r>
      <w:bookmarkEnd w:id="66"/>
    </w:p>
    <w:p w:rsidR="00DF17E9" w:rsidRDefault="00DF17E9" w:rsidP="00293429">
      <w:pPr>
        <w:pStyle w:val="Subheadingunderline"/>
        <w:sectPr w:rsidR="00DF17E9" w:rsidSect="00044843">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624" w:footer="567" w:gutter="0"/>
          <w:cols w:space="708"/>
          <w:docGrid w:linePitch="360"/>
        </w:sectPr>
      </w:pPr>
    </w:p>
    <w:p w:rsidR="00DF17E9" w:rsidRPr="00635722" w:rsidRDefault="00DF17E9" w:rsidP="00293429">
      <w:pPr>
        <w:pStyle w:val="Subheadingunderline"/>
      </w:pPr>
      <w:bookmarkStart w:id="67" w:name="Section_08"/>
      <w:r w:rsidRPr="00635722">
        <w:lastRenderedPageBreak/>
        <w:t xml:space="preserve">Introduction </w:t>
      </w:r>
    </w:p>
    <w:p w:rsidR="00DF17E9" w:rsidRPr="00CC0A3A" w:rsidRDefault="00DF17E9" w:rsidP="00E204F3">
      <w:r w:rsidRPr="00CC0A3A">
        <w:t xml:space="preserve">This section presents </w:t>
      </w:r>
      <w:r>
        <w:t xml:space="preserve">a summary of </w:t>
      </w:r>
      <w:r w:rsidRPr="00CC0A3A">
        <w:t>the original and revised published budget estimates for the Victorian general government sector and explains mater</w:t>
      </w:r>
      <w:r>
        <w:t>ial variances between the</w:t>
      </w:r>
      <w:r w:rsidRPr="00CC0A3A">
        <w:t xml:space="preserve"> estimates and actual outcom</w:t>
      </w:r>
      <w:r>
        <w:t xml:space="preserve">es as presented in these </w:t>
      </w:r>
      <w:r w:rsidRPr="00CC0A3A">
        <w:t>financial statements.</w:t>
      </w:r>
    </w:p>
    <w:p w:rsidR="00DF17E9" w:rsidRDefault="00DF17E9" w:rsidP="00293429">
      <w:r>
        <w:t>It also provides disclosure of information in respect of the Public Account, in accordance with the requirement of the</w:t>
      </w:r>
      <w:r w:rsidRPr="00843E5B">
        <w:t xml:space="preserve"> </w:t>
      </w:r>
      <w:r w:rsidRPr="00843E5B">
        <w:rPr>
          <w:rFonts w:eastAsiaTheme="minorEastAsia"/>
          <w:i/>
          <w:lang w:eastAsia="en-AU"/>
        </w:rPr>
        <w:t>Financial Management Act, No. 18 of 1994</w:t>
      </w:r>
      <w:r w:rsidRPr="00843E5B">
        <w:rPr>
          <w:rFonts w:eastAsiaTheme="minorEastAsia"/>
          <w:lang w:eastAsia="en-AU"/>
        </w:rPr>
        <w:t xml:space="preserve"> (FMA)</w:t>
      </w:r>
      <w:r>
        <w:rPr>
          <w:rFonts w:eastAsiaTheme="minorEastAsia"/>
          <w:lang w:eastAsia="en-AU"/>
        </w:rPr>
        <w:t>.</w:t>
      </w:r>
    </w:p>
    <w:p w:rsidR="00DF17E9" w:rsidRPr="00E40EDA" w:rsidRDefault="00DF17E9" w:rsidP="00293429">
      <w:pPr>
        <w:pStyle w:val="Subheadingunderline"/>
      </w:pPr>
      <w:r>
        <w:br w:type="column"/>
      </w:r>
      <w:r w:rsidRPr="00E40EDA">
        <w:lastRenderedPageBreak/>
        <w:t>Structure</w:t>
      </w:r>
    </w:p>
    <w:p w:rsidR="00DF17E9" w:rsidRDefault="00DF17E9">
      <w:pPr>
        <w:pStyle w:val="TOC9"/>
        <w:rPr>
          <w:rFonts w:eastAsiaTheme="minorEastAsia"/>
          <w:noProof/>
          <w:sz w:val="22"/>
          <w:lang w:eastAsia="en-AU"/>
        </w:rPr>
      </w:pPr>
      <w:r>
        <w:rPr>
          <w:b/>
          <w:noProof/>
        </w:rPr>
        <w:fldChar w:fldCharType="begin"/>
      </w:r>
      <w:r>
        <w:rPr>
          <w:b/>
          <w:noProof/>
        </w:rPr>
        <w:instrText xml:space="preserve"> TOC \h \z \t "Heading 2,9" \b Section_08 </w:instrText>
      </w:r>
      <w:r>
        <w:rPr>
          <w:b/>
          <w:noProof/>
        </w:rPr>
        <w:fldChar w:fldCharType="separate"/>
      </w:r>
      <w:hyperlink w:anchor="_Toc459976827" w:history="1">
        <w:r w:rsidRPr="0073373E">
          <w:rPr>
            <w:rStyle w:val="Hyperlink"/>
            <w:noProof/>
            <w14:scene3d>
              <w14:camera w14:prst="orthographicFront"/>
              <w14:lightRig w14:rig="threePt" w14:dir="t">
                <w14:rot w14:lat="0" w14:lon="0" w14:rev="0"/>
              </w14:lightRig>
            </w14:scene3d>
          </w:rPr>
          <w:t>8.1</w:t>
        </w:r>
        <w:r>
          <w:rPr>
            <w:rFonts w:eastAsiaTheme="minorEastAsia"/>
            <w:noProof/>
            <w:sz w:val="22"/>
            <w:lang w:eastAsia="en-AU"/>
          </w:rPr>
          <w:tab/>
        </w:r>
        <w:r w:rsidRPr="0073373E">
          <w:rPr>
            <w:rStyle w:val="Hyperlink"/>
            <w:noProof/>
          </w:rPr>
          <w:t>Explanations of material variances between budget and actual outcomes</w:t>
        </w:r>
        <w:r>
          <w:rPr>
            <w:noProof/>
            <w:webHidden/>
          </w:rPr>
          <w:tab/>
        </w:r>
        <w:r>
          <w:rPr>
            <w:noProof/>
            <w:webHidden/>
          </w:rPr>
          <w:fldChar w:fldCharType="begin"/>
        </w:r>
        <w:r>
          <w:rPr>
            <w:noProof/>
            <w:webHidden/>
          </w:rPr>
          <w:instrText xml:space="preserve"> PAGEREF _Toc459976827 \h </w:instrText>
        </w:r>
        <w:r>
          <w:rPr>
            <w:noProof/>
            <w:webHidden/>
          </w:rPr>
        </w:r>
        <w:r>
          <w:rPr>
            <w:noProof/>
            <w:webHidden/>
          </w:rPr>
          <w:fldChar w:fldCharType="separate"/>
        </w:r>
        <w:r w:rsidR="00E3704D">
          <w:rPr>
            <w:noProof/>
            <w:webHidden/>
          </w:rPr>
          <w:t>112</w:t>
        </w:r>
        <w:r>
          <w:rPr>
            <w:noProof/>
            <w:webHidden/>
          </w:rPr>
          <w:fldChar w:fldCharType="end"/>
        </w:r>
      </w:hyperlink>
    </w:p>
    <w:p w:rsidR="00DF17E9" w:rsidRDefault="003A3C3D">
      <w:pPr>
        <w:pStyle w:val="TOC9"/>
        <w:rPr>
          <w:rFonts w:eastAsiaTheme="minorEastAsia"/>
          <w:noProof/>
          <w:sz w:val="22"/>
          <w:lang w:eastAsia="en-AU"/>
        </w:rPr>
      </w:pPr>
      <w:hyperlink w:anchor="_Toc459976828" w:history="1">
        <w:r w:rsidR="00DF17E9" w:rsidRPr="0073373E">
          <w:rPr>
            <w:rStyle w:val="Hyperlink"/>
            <w:noProof/>
            <w14:scene3d>
              <w14:camera w14:prst="orthographicFront"/>
              <w14:lightRig w14:rig="threePt" w14:dir="t">
                <w14:rot w14:lat="0" w14:lon="0" w14:rev="0"/>
              </w14:lightRig>
            </w14:scene3d>
          </w:rPr>
          <w:t>8.2</w:t>
        </w:r>
        <w:r w:rsidR="00DF17E9">
          <w:rPr>
            <w:rFonts w:eastAsiaTheme="minorEastAsia"/>
            <w:noProof/>
            <w:sz w:val="22"/>
            <w:lang w:eastAsia="en-AU"/>
          </w:rPr>
          <w:tab/>
        </w:r>
        <w:r w:rsidR="00DF17E9" w:rsidRPr="0073373E">
          <w:rPr>
            <w:rStyle w:val="Hyperlink"/>
            <w:noProof/>
          </w:rPr>
          <w:t>Public Account disclosures</w:t>
        </w:r>
        <w:r w:rsidR="00DF17E9">
          <w:rPr>
            <w:noProof/>
            <w:webHidden/>
          </w:rPr>
          <w:tab/>
        </w:r>
        <w:r w:rsidR="00DF17E9">
          <w:rPr>
            <w:noProof/>
            <w:webHidden/>
          </w:rPr>
          <w:fldChar w:fldCharType="begin"/>
        </w:r>
        <w:r w:rsidR="00DF17E9">
          <w:rPr>
            <w:noProof/>
            <w:webHidden/>
          </w:rPr>
          <w:instrText xml:space="preserve"> PAGEREF _Toc459976828 \h </w:instrText>
        </w:r>
        <w:r w:rsidR="00DF17E9">
          <w:rPr>
            <w:noProof/>
            <w:webHidden/>
          </w:rPr>
        </w:r>
        <w:r w:rsidR="00DF17E9">
          <w:rPr>
            <w:noProof/>
            <w:webHidden/>
          </w:rPr>
          <w:fldChar w:fldCharType="separate"/>
        </w:r>
        <w:r w:rsidR="00E3704D">
          <w:rPr>
            <w:noProof/>
            <w:webHidden/>
          </w:rPr>
          <w:t>121</w:t>
        </w:r>
        <w:r w:rsidR="00DF17E9">
          <w:rPr>
            <w:noProof/>
            <w:webHidden/>
          </w:rPr>
          <w:fldChar w:fldCharType="end"/>
        </w:r>
      </w:hyperlink>
    </w:p>
    <w:p w:rsidR="00DF17E9" w:rsidRDefault="00DF17E9" w:rsidP="00293429">
      <w:pPr>
        <w:pStyle w:val="TOC9"/>
      </w:pPr>
      <w:r>
        <w:rPr>
          <w:b/>
          <w:noProof/>
          <w:spacing w:val="-2"/>
          <w:szCs w:val="19"/>
        </w:rPr>
        <w:fldChar w:fldCharType="end"/>
      </w:r>
    </w:p>
    <w:p w:rsidR="00DF17E9" w:rsidRDefault="00DF17E9" w:rsidP="00044843">
      <w:pPr>
        <w:sectPr w:rsidR="00DF17E9" w:rsidSect="007639BB">
          <w:type w:val="continuous"/>
          <w:pgSz w:w="11906" w:h="16838" w:code="9"/>
          <w:pgMar w:top="1134" w:right="1134" w:bottom="1134" w:left="1134" w:header="624" w:footer="567" w:gutter="0"/>
          <w:cols w:num="2" w:space="708"/>
          <w:docGrid w:linePitch="360"/>
        </w:sectPr>
      </w:pPr>
    </w:p>
    <w:p w:rsidR="00DF17E9" w:rsidRDefault="00DF17E9" w:rsidP="00044843">
      <w:pPr>
        <w:pBdr>
          <w:top w:val="single" w:sz="6" w:space="1" w:color="0063A6" w:themeColor="accent1"/>
        </w:pBdr>
      </w:pPr>
    </w:p>
    <w:p w:rsidR="00DF17E9" w:rsidRDefault="00DF17E9" w:rsidP="00044843">
      <w:pPr>
        <w:sectPr w:rsidR="00DF17E9" w:rsidSect="00044843">
          <w:headerReference w:type="default" r:id="rId239"/>
          <w:footerReference w:type="even" r:id="rId240"/>
          <w:footerReference w:type="default" r:id="rId241"/>
          <w:type w:val="continuous"/>
          <w:pgSz w:w="11906" w:h="16838" w:code="9"/>
          <w:pgMar w:top="1151" w:right="1151" w:bottom="1151" w:left="1151" w:header="720" w:footer="720" w:gutter="0"/>
          <w:cols w:space="708"/>
          <w:docGrid w:linePitch="360"/>
        </w:sectPr>
      </w:pPr>
    </w:p>
    <w:p w:rsidR="00DF17E9" w:rsidRPr="003260E9" w:rsidRDefault="00DF17E9" w:rsidP="002F70BC">
      <w:pPr>
        <w:pStyle w:val="Heading2"/>
        <w:spacing w:before="0"/>
        <w:ind w:left="578" w:hanging="578"/>
      </w:pPr>
      <w:bookmarkStart w:id="68" w:name="_Toc459976827"/>
      <w:r w:rsidRPr="003260E9">
        <w:lastRenderedPageBreak/>
        <w:t>Explanations of material variances between budget and actual outcomes</w:t>
      </w:r>
      <w:bookmarkEnd w:id="68"/>
    </w:p>
    <w:p w:rsidR="00DF17E9" w:rsidRPr="00CC0A3A" w:rsidRDefault="00DF17E9" w:rsidP="00CC0A3A">
      <w:r w:rsidRPr="00CC0A3A">
        <w:t>The tables and notes that follow explain material variances between the general government sector original budget as published in Chapter 1 of 2015</w:t>
      </w:r>
      <w:r w:rsidRPr="00CC0A3A">
        <w:noBreakHyphen/>
        <w:t xml:space="preserve">16 Budget Paper No. 5 </w:t>
      </w:r>
      <w:r w:rsidRPr="00CC0A3A">
        <w:rPr>
          <w:i/>
        </w:rPr>
        <w:t>Statement of Finances</w:t>
      </w:r>
      <w:r w:rsidRPr="00CC0A3A">
        <w:t xml:space="preserve"> and actual outcomes. </w:t>
      </w:r>
    </w:p>
    <w:p w:rsidR="00DF17E9" w:rsidRPr="00CC0A3A" w:rsidRDefault="00DF17E9" w:rsidP="00CC0A3A">
      <w:r w:rsidRPr="00CC0A3A">
        <w:t xml:space="preserve">The tables also include the revised budget estimates as published in </w:t>
      </w:r>
      <w:r w:rsidRPr="00CC0A3A">
        <w:rPr>
          <w:i/>
        </w:rPr>
        <w:t>Appendix B</w:t>
      </w:r>
      <w:r w:rsidRPr="00CC0A3A">
        <w:t xml:space="preserve"> of 2016</w:t>
      </w:r>
      <w:r w:rsidRPr="00CC0A3A">
        <w:noBreakHyphen/>
        <w:t xml:space="preserve">17 Budget Paper No. 5 </w:t>
      </w:r>
      <w:r w:rsidRPr="009F455E">
        <w:rPr>
          <w:i/>
        </w:rPr>
        <w:t>Statement of Finances</w:t>
      </w:r>
      <w:r w:rsidRPr="00CC0A3A">
        <w:t>.</w:t>
      </w:r>
    </w:p>
    <w:p w:rsidR="00DF17E9" w:rsidRPr="0045367C" w:rsidRDefault="00DF17E9" w:rsidP="002F70BC">
      <w:pPr>
        <w:spacing w:before="160"/>
      </w:pPr>
      <w:r w:rsidRPr="0045367C">
        <w:lastRenderedPageBreak/>
        <w:t xml:space="preserve">The </w:t>
      </w:r>
      <w:r>
        <w:t xml:space="preserve">original </w:t>
      </w:r>
      <w:r w:rsidRPr="0045367C">
        <w:t>budget data is sourced from the estimated financial statements, which were reviewed by the Auditor</w:t>
      </w:r>
      <w:r w:rsidRPr="0045367C">
        <w:noBreakHyphen/>
        <w:t>General, but not subject to an audit.</w:t>
      </w:r>
    </w:p>
    <w:p w:rsidR="00DF17E9" w:rsidRDefault="00DF17E9" w:rsidP="00CC0A3A">
      <w:r w:rsidRPr="0045367C">
        <w:t>For the general government sector comprehensive operating statement, variances are considered to be material where the variance exceeds the greater of 10 per cent of the original budget estimates or $15 million. In regard to the other statements, high level explanations of major variances in the key aggregates, where material, have been provided.</w:t>
      </w:r>
      <w:r>
        <w:t xml:space="preserve"> </w:t>
      </w:r>
    </w:p>
    <w:p w:rsidR="00DF17E9" w:rsidRDefault="00DF17E9">
      <w:pPr>
        <w:sectPr w:rsidR="00DF17E9" w:rsidSect="00CC0A3A">
          <w:type w:val="continuous"/>
          <w:pgSz w:w="11906" w:h="16838" w:code="9"/>
          <w:pgMar w:top="1151" w:right="1151" w:bottom="1151" w:left="1151" w:header="720" w:footer="720" w:gutter="0"/>
          <w:cols w:num="2" w:space="708"/>
          <w:docGrid w:linePitch="360"/>
        </w:sectPr>
      </w:pPr>
    </w:p>
    <w:p w:rsidR="00DF17E9" w:rsidRDefault="00DF17E9">
      <w:pPr>
        <w:rPr>
          <w:rFonts w:asciiTheme="majorHAnsi" w:eastAsiaTheme="majorEastAsia" w:hAnsiTheme="majorHAnsi" w:cstheme="majorBidi"/>
          <w:b/>
          <w:bCs/>
          <w:spacing w:val="-2"/>
          <w:szCs w:val="26"/>
        </w:rPr>
      </w:pPr>
      <w:r>
        <w:lastRenderedPageBreak/>
        <w:br w:type="page"/>
      </w:r>
    </w:p>
    <w:p w:rsidR="00DF17E9" w:rsidRPr="00C12632" w:rsidRDefault="00DF17E9" w:rsidP="00044843">
      <w:pPr>
        <w:pStyle w:val="Subheading"/>
        <w:rPr>
          <w:bCs/>
          <w:lang w:val="en-US"/>
        </w:rPr>
      </w:pPr>
      <w:bookmarkStart w:id="69" w:name="_Toc451953916"/>
      <w:r w:rsidRPr="006005C5">
        <w:lastRenderedPageBreak/>
        <w:t xml:space="preserve">Consolidated </w:t>
      </w:r>
      <w:r w:rsidRPr="006F3C50">
        <w:t>comprehensive</w:t>
      </w:r>
      <w:r w:rsidRPr="006005C5">
        <w:t xml:space="preserve"> operating statement for the financial year ending 30 June</w:t>
      </w:r>
      <w:r>
        <w:tab/>
      </w:r>
      <w:r w:rsidRPr="00D8280F">
        <w:rPr>
          <w:rStyle w:val="TableUnitsChar"/>
        </w:rPr>
        <w:t>($ million)</w:t>
      </w:r>
      <w:bookmarkEnd w:id="69"/>
    </w:p>
    <w:tbl>
      <w:tblPr>
        <w:tblStyle w:val="TableDTFGeneral"/>
        <w:tblW w:w="9657" w:type="dxa"/>
        <w:tblLayout w:type="fixed"/>
        <w:tblLook w:val="06A0" w:firstRow="1" w:lastRow="0" w:firstColumn="1" w:lastColumn="0" w:noHBand="1" w:noVBand="1"/>
      </w:tblPr>
      <w:tblGrid>
        <w:gridCol w:w="3573"/>
        <w:gridCol w:w="567"/>
        <w:gridCol w:w="992"/>
        <w:gridCol w:w="851"/>
        <w:gridCol w:w="850"/>
        <w:gridCol w:w="851"/>
        <w:gridCol w:w="567"/>
        <w:gridCol w:w="850"/>
        <w:gridCol w:w="556"/>
      </w:tblGrid>
      <w:tr w:rsidR="0014179F" w:rsidRPr="00C12632" w:rsidTr="0014179F">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3573" w:type="dxa"/>
            <w:vAlign w:val="top"/>
          </w:tcPr>
          <w:p w:rsidR="0014179F" w:rsidRPr="00C12632" w:rsidRDefault="0014179F" w:rsidP="0014179F">
            <w:pPr>
              <w:ind w:left="0" w:firstLine="0"/>
              <w:rPr>
                <w:color w:val="FFFFFF"/>
              </w:rPr>
            </w:pPr>
            <w:r w:rsidRPr="00C12632">
              <w:rPr>
                <w:color w:val="FFFFFF"/>
              </w:rPr>
              <w:t>General government sector</w:t>
            </w:r>
          </w:p>
        </w:tc>
        <w:tc>
          <w:tcPr>
            <w:tcW w:w="567" w:type="dxa"/>
          </w:tcPr>
          <w:p w:rsidR="0014179F" w:rsidRPr="00C12632" w:rsidRDefault="0014179F"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Notes</w:t>
            </w:r>
          </w:p>
        </w:tc>
        <w:tc>
          <w:tcPr>
            <w:tcW w:w="992"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Published budget</w:t>
            </w:r>
          </w:p>
        </w:tc>
        <w:tc>
          <w:tcPr>
            <w:tcW w:w="851"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Pr>
                <w:color w:val="FFFFFF"/>
              </w:rPr>
              <w:t>R</w:t>
            </w:r>
            <w:r w:rsidRPr="00C12632">
              <w:rPr>
                <w:color w:val="FFFFFF"/>
              </w:rPr>
              <w:t>evised budget</w:t>
            </w:r>
          </w:p>
        </w:tc>
        <w:tc>
          <w:tcPr>
            <w:tcW w:w="850"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2016 actual</w:t>
            </w:r>
          </w:p>
        </w:tc>
        <w:tc>
          <w:tcPr>
            <w:tcW w:w="851"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Budget variance</w:t>
            </w:r>
          </w:p>
        </w:tc>
        <w:tc>
          <w:tcPr>
            <w:tcW w:w="567"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w:t>
            </w:r>
          </w:p>
        </w:tc>
        <w:tc>
          <w:tcPr>
            <w:tcW w:w="850"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Revised budget variance</w:t>
            </w:r>
          </w:p>
        </w:tc>
        <w:tc>
          <w:tcPr>
            <w:tcW w:w="556" w:type="dxa"/>
          </w:tcPr>
          <w:p w:rsidR="0014179F" w:rsidRPr="00C12632" w:rsidRDefault="0014179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b/>
                <w:color w:val="000000"/>
              </w:rPr>
              <w:t>Revenue from transactions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Taxation revenue</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(a)</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19 024</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20 079</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19 896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871</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(183)</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Interest revenue</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(b)</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831</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795</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786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(45)</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Dividends and income tax equivalent and rate equivalent revenue</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(c)</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1 144</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762</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848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(296)</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(26)</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86</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Sales of goods and services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(d)</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6 779</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6 643</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6 671</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(108)</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C12632" w:rsidRDefault="00DF17E9" w:rsidP="00044843">
            <w:pPr>
              <w:ind w:left="113" w:hanging="113"/>
              <w:rPr>
                <w:color w:val="000000"/>
              </w:rPr>
            </w:pPr>
            <w:r w:rsidRPr="00C12632">
              <w:rPr>
                <w:color w:val="000000"/>
              </w:rPr>
              <w:t>Grant revenue</w:t>
            </w:r>
          </w:p>
        </w:tc>
        <w:tc>
          <w:tcPr>
            <w:tcW w:w="56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(e)</w:t>
            </w:r>
          </w:p>
        </w:tc>
        <w:tc>
          <w:tcPr>
            <w:tcW w:w="992"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25 579</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25 364</w:t>
            </w:r>
          </w:p>
        </w:tc>
        <w:tc>
          <w:tcPr>
            <w:tcW w:w="850"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25 406</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(173)</w:t>
            </w:r>
          </w:p>
        </w:tc>
        <w:tc>
          <w:tcPr>
            <w:tcW w:w="567"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43</w:t>
            </w:r>
          </w:p>
        </w:tc>
        <w:tc>
          <w:tcPr>
            <w:tcW w:w="556"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C12632" w:rsidRDefault="00DF17E9" w:rsidP="00044843">
            <w:pPr>
              <w:ind w:left="113" w:hanging="113"/>
              <w:rPr>
                <w:color w:val="000000"/>
              </w:rPr>
            </w:pPr>
            <w:r w:rsidRPr="00C12632">
              <w:rPr>
                <w:color w:val="000000"/>
              </w:rPr>
              <w:t>Other revenue</w:t>
            </w:r>
          </w:p>
        </w:tc>
        <w:tc>
          <w:tcPr>
            <w:tcW w:w="56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(f)</w:t>
            </w:r>
          </w:p>
        </w:tc>
        <w:tc>
          <w:tcPr>
            <w:tcW w:w="992"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2 171</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2 828</w:t>
            </w:r>
          </w:p>
        </w:tc>
        <w:tc>
          <w:tcPr>
            <w:tcW w:w="850"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3 108</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937</w:t>
            </w:r>
          </w:p>
        </w:tc>
        <w:tc>
          <w:tcPr>
            <w:tcW w:w="567"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43</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280</w:t>
            </w:r>
          </w:p>
        </w:tc>
        <w:tc>
          <w:tcPr>
            <w:tcW w:w="556"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rsidR="00DF17E9" w:rsidRPr="00C12632" w:rsidRDefault="00DF17E9" w:rsidP="00044843">
            <w:pPr>
              <w:ind w:left="113" w:hanging="113"/>
              <w:rPr>
                <w:color w:val="000000"/>
              </w:rPr>
            </w:pPr>
            <w:r w:rsidRPr="00C12632">
              <w:rPr>
                <w:b/>
                <w:color w:val="000000"/>
              </w:rPr>
              <w:t xml:space="preserve">Total revenue from transactions </w:t>
            </w:r>
          </w:p>
        </w:tc>
        <w:tc>
          <w:tcPr>
            <w:tcW w:w="56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55 529</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56 470</w:t>
            </w:r>
          </w:p>
        </w:tc>
        <w:tc>
          <w:tcPr>
            <w:tcW w:w="850"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56 716</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1 187</w:t>
            </w:r>
          </w:p>
        </w:tc>
        <w:tc>
          <w:tcPr>
            <w:tcW w:w="567"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246</w:t>
            </w:r>
          </w:p>
        </w:tc>
        <w:tc>
          <w:tcPr>
            <w:tcW w:w="556"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b/>
                <w:color w:val="000000"/>
              </w:rPr>
              <w:t>Expenses from transactions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Employee expenses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(g)</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19 903</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20 057</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20 002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99</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(55)</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Net superannuation interest expense</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886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878</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878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Other superannuation</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(h)</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2 102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2 130</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2 123</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21</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Depreciation</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2 577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2 506</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2 504</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(73)</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Interest expense</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(j)</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2 096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2 134</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2 076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(58)</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C12632" w:rsidRDefault="00DF17E9" w:rsidP="00044843">
            <w:pPr>
              <w:ind w:left="113" w:hanging="113"/>
              <w:rPr>
                <w:color w:val="000000"/>
              </w:rPr>
            </w:pPr>
            <w:r w:rsidRPr="00C12632">
              <w:rPr>
                <w:color w:val="000000"/>
              </w:rPr>
              <w:t>Grant expense</w:t>
            </w:r>
          </w:p>
        </w:tc>
        <w:tc>
          <w:tcPr>
            <w:tcW w:w="56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(k)</w:t>
            </w:r>
          </w:p>
        </w:tc>
        <w:tc>
          <w:tcPr>
            <w:tcW w:w="992"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8 687</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8 547</w:t>
            </w:r>
          </w:p>
        </w:tc>
        <w:tc>
          <w:tcPr>
            <w:tcW w:w="850"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8 564</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(123)</w:t>
            </w:r>
          </w:p>
        </w:tc>
        <w:tc>
          <w:tcPr>
            <w:tcW w:w="567"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w:t>
            </w:r>
          </w:p>
        </w:tc>
        <w:tc>
          <w:tcPr>
            <w:tcW w:w="556"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C12632" w:rsidRDefault="00DF17E9" w:rsidP="00044843">
            <w:pPr>
              <w:ind w:left="113" w:hanging="113"/>
              <w:rPr>
                <w:color w:val="000000"/>
              </w:rPr>
            </w:pPr>
            <w:r w:rsidRPr="00C12632">
              <w:rPr>
                <w:color w:val="000000"/>
              </w:rPr>
              <w:t>Other operating expenses</w:t>
            </w:r>
          </w:p>
        </w:tc>
        <w:tc>
          <w:tcPr>
            <w:tcW w:w="56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(l)</w:t>
            </w:r>
          </w:p>
        </w:tc>
        <w:tc>
          <w:tcPr>
            <w:tcW w:w="992"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18 058</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18 331</w:t>
            </w:r>
          </w:p>
        </w:tc>
        <w:tc>
          <w:tcPr>
            <w:tcW w:w="850"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17 905</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(153)</w:t>
            </w:r>
          </w:p>
        </w:tc>
        <w:tc>
          <w:tcPr>
            <w:tcW w:w="567"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(426)</w:t>
            </w:r>
          </w:p>
        </w:tc>
        <w:tc>
          <w:tcPr>
            <w:tcW w:w="556"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Total expenses from transactions</w:t>
            </w:r>
          </w:p>
        </w:tc>
        <w:tc>
          <w:tcPr>
            <w:tcW w:w="567" w:type="dxa"/>
            <w:tcBorders>
              <w:top w:val="single" w:sz="6" w:space="0" w:color="auto"/>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54 310</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54 582</w:t>
            </w:r>
          </w:p>
        </w:tc>
        <w:tc>
          <w:tcPr>
            <w:tcW w:w="850"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54 052</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(258)</w:t>
            </w:r>
          </w:p>
        </w:tc>
        <w:tc>
          <w:tcPr>
            <w:tcW w:w="567"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(530)</w:t>
            </w:r>
          </w:p>
        </w:tc>
        <w:tc>
          <w:tcPr>
            <w:tcW w:w="556"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rsidR="00DF17E9" w:rsidRPr="00C12632" w:rsidRDefault="00DF17E9" w:rsidP="00044843">
            <w:pPr>
              <w:ind w:left="113" w:hanging="113"/>
              <w:rPr>
                <w:color w:val="000000"/>
              </w:rPr>
            </w:pPr>
            <w:r w:rsidRPr="00C12632">
              <w:rPr>
                <w:b/>
                <w:color w:val="000000"/>
              </w:rPr>
              <w:t>Net result from transactions – net operating balance</w:t>
            </w:r>
          </w:p>
        </w:tc>
        <w:tc>
          <w:tcPr>
            <w:tcW w:w="567" w:type="dxa"/>
            <w:tcBorders>
              <w:top w:val="single" w:sz="6" w:space="0" w:color="auto"/>
              <w:bottom w:val="single" w:sz="12"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1 219</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1 888</w:t>
            </w:r>
          </w:p>
        </w:tc>
        <w:tc>
          <w:tcPr>
            <w:tcW w:w="850"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2 664</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1 445</w:t>
            </w:r>
          </w:p>
        </w:tc>
        <w:tc>
          <w:tcPr>
            <w:tcW w:w="567"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119</w:t>
            </w:r>
          </w:p>
        </w:tc>
        <w:tc>
          <w:tcPr>
            <w:tcW w:w="850"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776</w:t>
            </w:r>
          </w:p>
        </w:tc>
        <w:tc>
          <w:tcPr>
            <w:tcW w:w="556"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41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12" w:space="0" w:color="auto"/>
            </w:tcBorders>
          </w:tcPr>
          <w:p w:rsidR="00DF17E9" w:rsidRPr="00C12632" w:rsidRDefault="00DF17E9" w:rsidP="00044843">
            <w:pPr>
              <w:ind w:left="113" w:hanging="113"/>
              <w:rPr>
                <w:color w:val="000000"/>
              </w:rPr>
            </w:pPr>
            <w:r w:rsidRPr="00C12632">
              <w:rPr>
                <w:b/>
                <w:color w:val="000000"/>
              </w:rPr>
              <w:t xml:space="preserve">Other economic flows included in net result </w:t>
            </w:r>
          </w:p>
        </w:tc>
        <w:tc>
          <w:tcPr>
            <w:tcW w:w="567" w:type="dxa"/>
            <w:tcBorders>
              <w:top w:val="single" w:sz="12"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Borders>
              <w:top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67" w:type="dxa"/>
            <w:tcBorders>
              <w:top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56" w:type="dxa"/>
            <w:tcBorders>
              <w:top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Net gain/(loss) on d</w:t>
            </w:r>
            <w:r w:rsidR="00A70890">
              <w:rPr>
                <w:color w:val="000000"/>
              </w:rPr>
              <w:t>isposal of non-financial assets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64</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55</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(145)</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(208)</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(200)</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Net gain/(loss) on financial assets or liabilities at fair value</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5 402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(5 412)</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C12632" w:rsidRDefault="00DF17E9" w:rsidP="00044843">
            <w:pPr>
              <w:ind w:left="113" w:hanging="113"/>
              <w:rPr>
                <w:color w:val="000000"/>
              </w:rPr>
            </w:pPr>
            <w:r w:rsidRPr="00C12632">
              <w:rPr>
                <w:color w:val="000000"/>
              </w:rPr>
              <w:t>Share of net profit/(loss) from associates/joint venture entities, excluding dividends</w:t>
            </w:r>
          </w:p>
        </w:tc>
        <w:tc>
          <w:tcPr>
            <w:tcW w:w="56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850"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w:t>
            </w:r>
          </w:p>
        </w:tc>
        <w:tc>
          <w:tcPr>
            <w:tcW w:w="567"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w:t>
            </w:r>
          </w:p>
        </w:tc>
        <w:tc>
          <w:tcPr>
            <w:tcW w:w="556"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C12632" w:rsidRDefault="00DF17E9" w:rsidP="00044843">
            <w:pPr>
              <w:ind w:left="113" w:hanging="113"/>
              <w:rPr>
                <w:color w:val="000000"/>
              </w:rPr>
            </w:pPr>
            <w:r w:rsidRPr="00C12632">
              <w:rPr>
                <w:color w:val="000000"/>
              </w:rPr>
              <w:t>Other gains/(losses) from other economic flows</w:t>
            </w:r>
          </w:p>
        </w:tc>
        <w:tc>
          <w:tcPr>
            <w:tcW w:w="56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(318)</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(304)</w:t>
            </w:r>
          </w:p>
        </w:tc>
        <w:tc>
          <w:tcPr>
            <w:tcW w:w="850"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(688)</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(369)</w:t>
            </w:r>
          </w:p>
        </w:tc>
        <w:tc>
          <w:tcPr>
            <w:tcW w:w="567"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(384)</w:t>
            </w:r>
          </w:p>
        </w:tc>
        <w:tc>
          <w:tcPr>
            <w:tcW w:w="556"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Total other economic flows included in net result</w:t>
            </w:r>
          </w:p>
        </w:tc>
        <w:tc>
          <w:tcPr>
            <w:tcW w:w="567" w:type="dxa"/>
            <w:tcBorders>
              <w:top w:val="single" w:sz="6" w:space="0" w:color="auto"/>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5 147</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(250)</w:t>
            </w:r>
          </w:p>
        </w:tc>
        <w:tc>
          <w:tcPr>
            <w:tcW w:w="850"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(847)</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(5 994)</w:t>
            </w:r>
          </w:p>
        </w:tc>
        <w:tc>
          <w:tcPr>
            <w:tcW w:w="567"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(596)</w:t>
            </w:r>
          </w:p>
        </w:tc>
        <w:tc>
          <w:tcPr>
            <w:tcW w:w="556"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Net result</w:t>
            </w:r>
          </w:p>
        </w:tc>
        <w:tc>
          <w:tcPr>
            <w:tcW w:w="567" w:type="dxa"/>
            <w:tcBorders>
              <w:top w:val="single" w:sz="6" w:space="0" w:color="auto"/>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6 366</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1 638</w:t>
            </w:r>
          </w:p>
        </w:tc>
        <w:tc>
          <w:tcPr>
            <w:tcW w:w="850"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1 817</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(4 549)</w:t>
            </w:r>
          </w:p>
        </w:tc>
        <w:tc>
          <w:tcPr>
            <w:tcW w:w="567"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180</w:t>
            </w:r>
          </w:p>
        </w:tc>
        <w:tc>
          <w:tcPr>
            <w:tcW w:w="556"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rsidR="00DF17E9" w:rsidRPr="00C12632" w:rsidRDefault="00DF17E9" w:rsidP="00044843">
            <w:pPr>
              <w:ind w:left="113" w:hanging="113"/>
              <w:rPr>
                <w:color w:val="000000"/>
              </w:rPr>
            </w:pPr>
            <w:r w:rsidRPr="00C12632">
              <w:rPr>
                <w:b/>
                <w:color w:val="000000"/>
              </w:rPr>
              <w:t>Other economic flows – other comprehensive income</w:t>
            </w:r>
          </w:p>
        </w:tc>
        <w:tc>
          <w:tcPr>
            <w:tcW w:w="56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67"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56"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b/>
                <w:color w:val="000000"/>
              </w:rPr>
              <w:t>Items that will not be reclassified to net result</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Changes in non-financial assets revaluation surplus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756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472</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6 236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5 480</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5 764</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Remeasurement of superannuation defined benefits plans</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962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(1 791)</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(3 220)</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(4 183)</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(1 429)</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Pr>
          <w:p w:rsidR="00DF17E9" w:rsidRPr="00C12632" w:rsidRDefault="00DF17E9" w:rsidP="00044843">
            <w:pPr>
              <w:ind w:left="113" w:hanging="113"/>
              <w:rPr>
                <w:color w:val="000000"/>
              </w:rPr>
            </w:pPr>
            <w:r w:rsidRPr="00C12632">
              <w:rPr>
                <w:color w:val="000000"/>
              </w:rPr>
              <w:t>Other movements in equity</w:t>
            </w:r>
          </w:p>
        </w:tc>
        <w:tc>
          <w:tcPr>
            <w:tcW w:w="56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w:t>
            </w:r>
          </w:p>
        </w:tc>
        <w:tc>
          <w:tcPr>
            <w:tcW w:w="850"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23</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w:t>
            </w:r>
          </w:p>
        </w:tc>
        <w:tc>
          <w:tcPr>
            <w:tcW w:w="567"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w:t>
            </w:r>
          </w:p>
        </w:tc>
        <w:tc>
          <w:tcPr>
            <w:tcW w:w="556"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C12632" w:rsidRDefault="00DF17E9" w:rsidP="00044843">
            <w:pPr>
              <w:ind w:left="113" w:hanging="113"/>
              <w:rPr>
                <w:color w:val="000000"/>
              </w:rPr>
            </w:pPr>
            <w:r w:rsidRPr="00C12632">
              <w:rPr>
                <w:b/>
                <w:color w:val="000000"/>
              </w:rPr>
              <w:t>Items that may be reclassified subsequently to net result</w:t>
            </w:r>
          </w:p>
        </w:tc>
        <w:tc>
          <w:tcPr>
            <w:tcW w:w="56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67"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556"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rsidR="00DF17E9" w:rsidRPr="00C12632" w:rsidRDefault="00DF17E9" w:rsidP="00044843">
            <w:pPr>
              <w:ind w:left="113" w:hanging="113"/>
              <w:rPr>
                <w:color w:val="000000"/>
              </w:rPr>
            </w:pPr>
            <w:r w:rsidRPr="00C12632">
              <w:rPr>
                <w:color w:val="000000"/>
              </w:rPr>
              <w:t>Net gain/(loss) on financial assets at fair value</w:t>
            </w:r>
          </w:p>
        </w:tc>
        <w:tc>
          <w:tcPr>
            <w:tcW w:w="56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0"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(85)</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(86)</w:t>
            </w:r>
          </w:p>
        </w:tc>
        <w:tc>
          <w:tcPr>
            <w:tcW w:w="567"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(86)</w:t>
            </w:r>
          </w:p>
        </w:tc>
        <w:tc>
          <w:tcPr>
            <w:tcW w:w="556"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nil"/>
              <w:bottom w:val="nil"/>
            </w:tcBorders>
          </w:tcPr>
          <w:p w:rsidR="00DF17E9" w:rsidRPr="00C12632" w:rsidRDefault="00DF17E9" w:rsidP="00044843">
            <w:pPr>
              <w:ind w:left="113" w:hanging="113"/>
              <w:rPr>
                <w:color w:val="000000"/>
              </w:rPr>
            </w:pPr>
            <w:r w:rsidRPr="00C12632">
              <w:rPr>
                <w:color w:val="000000"/>
              </w:rPr>
              <w:t>Net gain/(loss) on equity investments in other sector entities at proportional share of the carrying amount of net assets</w:t>
            </w:r>
          </w:p>
        </w:tc>
        <w:tc>
          <w:tcPr>
            <w:tcW w:w="567" w:type="dxa"/>
            <w:tcBorders>
              <w:top w:val="nil"/>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92" w:type="dxa"/>
            <w:tcBorders>
              <w:top w:val="nil"/>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tcW w:w="851" w:type="dxa"/>
            <w:tcBorders>
              <w:top w:val="nil"/>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1 471</w:t>
            </w:r>
          </w:p>
        </w:tc>
        <w:tc>
          <w:tcPr>
            <w:tcW w:w="850" w:type="dxa"/>
            <w:tcBorders>
              <w:top w:val="nil"/>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10 533</w:t>
            </w:r>
          </w:p>
        </w:tc>
        <w:tc>
          <w:tcPr>
            <w:tcW w:w="851" w:type="dxa"/>
            <w:tcBorders>
              <w:top w:val="nil"/>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10 531</w:t>
            </w:r>
          </w:p>
        </w:tc>
        <w:tc>
          <w:tcPr>
            <w:tcW w:w="567" w:type="dxa"/>
            <w:tcBorders>
              <w:top w:val="nil"/>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c>
          <w:tcPr>
            <w:tcW w:w="850" w:type="dxa"/>
            <w:tcBorders>
              <w:top w:val="nil"/>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9 062</w:t>
            </w:r>
          </w:p>
        </w:tc>
        <w:tc>
          <w:tcPr>
            <w:tcW w:w="556" w:type="dxa"/>
            <w:tcBorders>
              <w:top w:val="nil"/>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rsidR="00DF17E9" w:rsidRPr="00C12632" w:rsidRDefault="00DF17E9" w:rsidP="00044843">
            <w:pPr>
              <w:ind w:left="113" w:hanging="113"/>
              <w:rPr>
                <w:color w:val="000000"/>
              </w:rPr>
            </w:pPr>
            <w:r w:rsidRPr="00C12632">
              <w:rPr>
                <w:b/>
                <w:color w:val="000000"/>
              </w:rPr>
              <w:t>Total other economic flows – other comprehensive income</w:t>
            </w:r>
          </w:p>
        </w:tc>
        <w:tc>
          <w:tcPr>
            <w:tcW w:w="56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1 727</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187</w:t>
            </w:r>
          </w:p>
        </w:tc>
        <w:tc>
          <w:tcPr>
            <w:tcW w:w="850"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13 486</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11 760</w:t>
            </w:r>
          </w:p>
        </w:tc>
        <w:tc>
          <w:tcPr>
            <w:tcW w:w="567"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13 300</w:t>
            </w:r>
          </w:p>
        </w:tc>
        <w:tc>
          <w:tcPr>
            <w:tcW w:w="556"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rsidR="00DF17E9" w:rsidRPr="00C12632" w:rsidRDefault="00A70890" w:rsidP="00044843">
            <w:pPr>
              <w:ind w:left="113" w:hanging="113"/>
              <w:rPr>
                <w:color w:val="000000"/>
              </w:rPr>
            </w:pPr>
            <w:r>
              <w:rPr>
                <w:b/>
                <w:color w:val="000000"/>
              </w:rPr>
              <w:t>Comprehensive result –</w:t>
            </w:r>
            <w:r w:rsidR="00DF17E9" w:rsidRPr="00C12632">
              <w:rPr>
                <w:b/>
                <w:color w:val="000000"/>
              </w:rPr>
              <w:t xml:space="preserve"> total change in net worth</w:t>
            </w:r>
          </w:p>
        </w:tc>
        <w:tc>
          <w:tcPr>
            <w:tcW w:w="567" w:type="dxa"/>
            <w:tcBorders>
              <w:top w:val="single" w:sz="6" w:space="0" w:color="auto"/>
              <w:bottom w:val="single" w:sz="12"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92"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8 093</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1 824</w:t>
            </w:r>
          </w:p>
        </w:tc>
        <w:tc>
          <w:tcPr>
            <w:tcW w:w="850"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15 303</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7 211</w:t>
            </w:r>
          </w:p>
        </w:tc>
        <w:tc>
          <w:tcPr>
            <w:tcW w:w="567"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c>
          <w:tcPr>
            <w:tcW w:w="850"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13 479</w:t>
            </w:r>
          </w:p>
        </w:tc>
        <w:tc>
          <w:tcPr>
            <w:tcW w:w="556"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n.a.</w:t>
            </w:r>
          </w:p>
        </w:tc>
      </w:tr>
    </w:tbl>
    <w:p w:rsidR="00DF17E9" w:rsidRDefault="00DF17E9" w:rsidP="00044843">
      <w:pPr>
        <w:rPr>
          <w:rFonts w:asciiTheme="majorHAnsi" w:hAnsiTheme="majorHAnsi"/>
          <w:spacing w:val="4"/>
          <w:sz w:val="17"/>
        </w:rPr>
        <w:sectPr w:rsidR="00DF17E9" w:rsidSect="00044843">
          <w:headerReference w:type="even" r:id="rId242"/>
          <w:headerReference w:type="default" r:id="rId243"/>
          <w:type w:val="continuous"/>
          <w:pgSz w:w="11906" w:h="16838" w:code="9"/>
          <w:pgMar w:top="1138" w:right="1138" w:bottom="1138" w:left="1138" w:header="619" w:footer="562" w:gutter="0"/>
          <w:cols w:space="708"/>
          <w:docGrid w:linePitch="360"/>
        </w:sectPr>
      </w:pPr>
    </w:p>
    <w:p w:rsidR="00DF17E9" w:rsidRDefault="00DF17E9">
      <w:pPr>
        <w:rPr>
          <w:rFonts w:asciiTheme="majorHAnsi" w:hAnsiTheme="majorHAnsi"/>
          <w:b/>
          <w:spacing w:val="-2"/>
        </w:rPr>
      </w:pPr>
      <w:bookmarkStart w:id="70" w:name="_Toc451953917"/>
      <w:r>
        <w:rPr>
          <w:rFonts w:asciiTheme="majorHAnsi" w:hAnsiTheme="majorHAnsi"/>
          <w:b/>
          <w:spacing w:val="-2"/>
        </w:rPr>
        <w:lastRenderedPageBreak/>
        <w:br w:type="page"/>
      </w:r>
    </w:p>
    <w:p w:rsidR="00DF17E9" w:rsidRPr="00A217E7" w:rsidRDefault="00DF17E9" w:rsidP="00044843">
      <w:pPr>
        <w:rPr>
          <w:rFonts w:asciiTheme="majorHAnsi" w:hAnsiTheme="majorHAnsi"/>
          <w:b/>
          <w:spacing w:val="-2"/>
        </w:rPr>
      </w:pPr>
      <w:r w:rsidRPr="00A217E7">
        <w:rPr>
          <w:rFonts w:asciiTheme="majorHAnsi" w:hAnsiTheme="majorHAnsi"/>
          <w:b/>
          <w:spacing w:val="-2"/>
        </w:rPr>
        <w:lastRenderedPageBreak/>
        <w:t>Revenue from transactions</w:t>
      </w:r>
    </w:p>
    <w:p w:rsidR="00DF17E9" w:rsidRPr="00380FE8" w:rsidRDefault="00DF17E9" w:rsidP="00044843">
      <w:r w:rsidRPr="00380FE8">
        <w:t>Rev</w:t>
      </w:r>
      <w:r>
        <w:t>enue from transactions was $56.7</w:t>
      </w:r>
      <w:r w:rsidRPr="00380FE8">
        <w:t xml:space="preserve"> billion for the year to 30 June 2016. This was 2 per cent higher than estimated in the original budget. The movements in revenue items from the original budget are discussed below.</w:t>
      </w:r>
    </w:p>
    <w:p w:rsidR="00DF17E9" w:rsidRPr="00380FE8" w:rsidRDefault="00DF17E9" w:rsidP="00044843">
      <w:pPr>
        <w:pStyle w:val="ListAlpha"/>
      </w:pPr>
      <w:r>
        <w:t>Taxation revenue was $871</w:t>
      </w:r>
      <w:r w:rsidRPr="00380FE8">
        <w:t xml:space="preserve"> million (5 per cent) higher than the original publi</w:t>
      </w:r>
      <w:r>
        <w:t>shed estimate, largely from</w:t>
      </w:r>
      <w:r w:rsidRPr="00380FE8">
        <w:t xml:space="preserve"> higher land transfer duty revenue of $811 million due to the continued strength in the Me</w:t>
      </w:r>
      <w:r>
        <w:t>lbourne property market.</w:t>
      </w:r>
    </w:p>
    <w:p w:rsidR="00DF17E9" w:rsidRPr="00380FE8" w:rsidRDefault="00DF17E9" w:rsidP="00044843">
      <w:pPr>
        <w:pStyle w:val="ListAlpha"/>
      </w:pPr>
      <w:r w:rsidRPr="00380FE8">
        <w:t>Interest revenue was $45 million lower than original budget, mainly reflecting lower than expected returns on funds held.</w:t>
      </w:r>
    </w:p>
    <w:p w:rsidR="00DF17E9" w:rsidRPr="00380FE8" w:rsidRDefault="00DF17E9" w:rsidP="00044843">
      <w:pPr>
        <w:pStyle w:val="ListAlpha"/>
      </w:pPr>
      <w:r w:rsidRPr="00380FE8">
        <w:t xml:space="preserve">Dividends, income tax and rate equivalent </w:t>
      </w:r>
      <w:r w:rsidRPr="004D08DD">
        <w:t>revenue</w:t>
      </w:r>
      <w:r w:rsidRPr="00380FE8">
        <w:t xml:space="preserve"> was $</w:t>
      </w:r>
      <w:r>
        <w:t>296</w:t>
      </w:r>
      <w:r w:rsidRPr="00380FE8">
        <w:t xml:space="preserve"> million lower than </w:t>
      </w:r>
      <w:r>
        <w:t xml:space="preserve">originally </w:t>
      </w:r>
      <w:r w:rsidRPr="00380FE8">
        <w:t>budg</w:t>
      </w:r>
      <w:r>
        <w:t xml:space="preserve">eted. This was largely due to lower dividends revenue </w:t>
      </w:r>
      <w:r w:rsidRPr="00380FE8">
        <w:t>from Transport Accident Commission.</w:t>
      </w:r>
    </w:p>
    <w:p w:rsidR="00DF17E9" w:rsidRPr="00380FE8" w:rsidRDefault="00DF17E9" w:rsidP="00044843">
      <w:pPr>
        <w:pStyle w:val="ListAlpha"/>
      </w:pPr>
      <w:r w:rsidRPr="00380FE8">
        <w:t xml:space="preserve">Revenue from sales of good and services was $108 million lower than original budget, primarily reflecting </w:t>
      </w:r>
      <w:r>
        <w:t>lower than budgeted provision of services</w:t>
      </w:r>
      <w:r w:rsidRPr="00380FE8">
        <w:t xml:space="preserve"> revenue of $170 million </w:t>
      </w:r>
      <w:r>
        <w:t>for</w:t>
      </w:r>
      <w:r w:rsidRPr="00380FE8">
        <w:t xml:space="preserve"> health and hospital services. The lower than expected outcome was partially offset by higher than expected land title fee receipts of $68</w:t>
      </w:r>
      <w:r>
        <w:t> </w:t>
      </w:r>
      <w:r w:rsidRPr="00380FE8">
        <w:t>million due to a stronger than expected property market.</w:t>
      </w:r>
    </w:p>
    <w:p w:rsidR="00DF17E9" w:rsidRPr="00380FE8" w:rsidRDefault="00DF17E9" w:rsidP="00044843">
      <w:pPr>
        <w:pStyle w:val="ListAlpha"/>
      </w:pPr>
      <w:r>
        <w:t>Grant revenue was $173</w:t>
      </w:r>
      <w:r w:rsidRPr="00380FE8">
        <w:t xml:space="preserve"> million lower than originally </w:t>
      </w:r>
      <w:r>
        <w:t>budgeted. This was due to a $300 </w:t>
      </w:r>
      <w:r w:rsidRPr="00380FE8">
        <w:t xml:space="preserve">million reduction in capital grants received from the Commonwealth for road and rail </w:t>
      </w:r>
      <w:r>
        <w:t xml:space="preserve">infrastructure </w:t>
      </w:r>
      <w:r w:rsidRPr="00380FE8">
        <w:t>investments. Also contributing to the variance is lower than expec</w:t>
      </w:r>
      <w:r>
        <w:t>ted Commonwealth grants of $198 </w:t>
      </w:r>
      <w:r w:rsidRPr="00380FE8">
        <w:t>million on-passed to local government. Th</w:t>
      </w:r>
      <w:r>
        <w:t xml:space="preserve">is was </w:t>
      </w:r>
      <w:r w:rsidRPr="00380FE8">
        <w:t>due</w:t>
      </w:r>
      <w:r>
        <w:t xml:space="preserve"> to the advance payment of 2015</w:t>
      </w:r>
      <w:r>
        <w:noBreakHyphen/>
      </w:r>
      <w:r w:rsidRPr="00380FE8">
        <w:t>16 grants in the 2014-15 year. In aggregate, the reduction in grants revenue was offset by an increase in current grants received from the Commonwealth</w:t>
      </w:r>
      <w:r>
        <w:t xml:space="preserve"> </w:t>
      </w:r>
      <w:r w:rsidRPr="00380FE8">
        <w:t>in relation to health and hospital services; including the pharmaceutical benefit scheme and higher hospital activity.</w:t>
      </w:r>
    </w:p>
    <w:p w:rsidR="00DF17E9" w:rsidRPr="00380FE8" w:rsidRDefault="00DF17E9" w:rsidP="00044843">
      <w:pPr>
        <w:pStyle w:val="ListAlpha"/>
      </w:pPr>
      <w:r>
        <w:br w:type="column"/>
      </w:r>
      <w:r>
        <w:lastRenderedPageBreak/>
        <w:t>Other revenue was $937 million (43</w:t>
      </w:r>
      <w:r w:rsidRPr="00380FE8">
        <w:t xml:space="preserve"> per cent) higher than original budget. Major variations relate to the following:</w:t>
      </w:r>
    </w:p>
    <w:p w:rsidR="00DF17E9" w:rsidRPr="00380FE8" w:rsidRDefault="00DF17E9" w:rsidP="00044843">
      <w:pPr>
        <w:pStyle w:val="ListBullet2"/>
        <w:numPr>
          <w:ilvl w:val="1"/>
          <w:numId w:val="20"/>
        </w:numPr>
        <w:ind w:left="794" w:hanging="397"/>
      </w:pPr>
      <w:r>
        <w:t>o</w:t>
      </w:r>
      <w:r w:rsidRPr="00380FE8">
        <w:t>ne-off revenue of $5</w:t>
      </w:r>
      <w:r>
        <w:t>41</w:t>
      </w:r>
      <w:r w:rsidRPr="00380FE8">
        <w:t xml:space="preserve"> million</w:t>
      </w:r>
      <w:r>
        <w:t xml:space="preserve"> plus interest</w:t>
      </w:r>
      <w:r w:rsidRPr="00380FE8">
        <w:t xml:space="preserve"> associated with the High Court of Australia’s decision</w:t>
      </w:r>
      <w:r w:rsidRPr="0085569B">
        <w:t xml:space="preserve"> in favour of the State in </w:t>
      </w:r>
      <w:r w:rsidR="002F70BC">
        <w:t xml:space="preserve">the </w:t>
      </w:r>
      <w:r w:rsidRPr="0085569B">
        <w:t>Tattersalls</w:t>
      </w:r>
      <w:r w:rsidR="00670AF1">
        <w:t>’</w:t>
      </w:r>
      <w:r w:rsidRPr="0085569B">
        <w:t xml:space="preserve"> ‘Gambling Licences’ proceedings</w:t>
      </w:r>
      <w:r w:rsidRPr="00380FE8">
        <w:t xml:space="preserve">; </w:t>
      </w:r>
    </w:p>
    <w:p w:rsidR="00DF17E9" w:rsidRPr="00B675E8" w:rsidRDefault="00DF17E9" w:rsidP="00044843">
      <w:pPr>
        <w:pStyle w:val="ListBullet2"/>
        <w:numPr>
          <w:ilvl w:val="1"/>
          <w:numId w:val="20"/>
        </w:numPr>
        <w:ind w:left="794" w:hanging="397"/>
      </w:pPr>
      <w:r>
        <w:t>t</w:t>
      </w:r>
      <w:r w:rsidRPr="00B675E8">
        <w:t>he recognition of assets received free of charge of $35 million, largely from roads provided</w:t>
      </w:r>
      <w:r>
        <w:t xml:space="preserve"> to VicRoads from local council; and</w:t>
      </w:r>
    </w:p>
    <w:p w:rsidR="00DF17E9" w:rsidRPr="00380FE8" w:rsidRDefault="00DF17E9" w:rsidP="00044843">
      <w:pPr>
        <w:pStyle w:val="ListBullet2"/>
        <w:numPr>
          <w:ilvl w:val="1"/>
          <w:numId w:val="20"/>
        </w:numPr>
        <w:ind w:left="794" w:hanging="397"/>
      </w:pPr>
      <w:r>
        <w:t>h</w:t>
      </w:r>
      <w:r w:rsidRPr="00380FE8">
        <w:t>igher than expected miscellaneous income received from heal</w:t>
      </w:r>
      <w:r>
        <w:t>th and hospital services of $161</w:t>
      </w:r>
      <w:r w:rsidRPr="00380FE8">
        <w:t xml:space="preserve"> million. Miscellaneous income in health an</w:t>
      </w:r>
      <w:r>
        <w:t>d hospital services is largely from</w:t>
      </w:r>
      <w:r w:rsidRPr="00380FE8">
        <w:t xml:space="preserve"> own source re</w:t>
      </w:r>
      <w:r>
        <w:t>venue.</w:t>
      </w:r>
    </w:p>
    <w:p w:rsidR="00DF17E9" w:rsidRPr="00380FE8" w:rsidRDefault="00DF17E9" w:rsidP="00044843">
      <w:pPr>
        <w:spacing w:before="120"/>
        <w:rPr>
          <w:rFonts w:asciiTheme="majorHAnsi" w:hAnsiTheme="majorHAnsi"/>
          <w:b/>
          <w:spacing w:val="-2"/>
        </w:rPr>
      </w:pPr>
      <w:r w:rsidRPr="00380FE8">
        <w:rPr>
          <w:rFonts w:asciiTheme="majorHAnsi" w:hAnsiTheme="majorHAnsi"/>
          <w:b/>
          <w:spacing w:val="-2"/>
        </w:rPr>
        <w:t>Expenses from transactions</w:t>
      </w:r>
    </w:p>
    <w:p w:rsidR="00DF17E9" w:rsidRPr="00380FE8" w:rsidRDefault="00DF17E9" w:rsidP="00044843">
      <w:r w:rsidRPr="00380FE8">
        <w:t xml:space="preserve">Expenses from transactions was $54 billion for the year to 30 June 2016. This was </w:t>
      </w:r>
      <w:r>
        <w:t xml:space="preserve">marginally </w:t>
      </w:r>
      <w:r w:rsidRPr="00380FE8">
        <w:t>lower than the original budget. The main movements are outlined below.</w:t>
      </w:r>
    </w:p>
    <w:p w:rsidR="00DF17E9" w:rsidRPr="00380FE8" w:rsidRDefault="00DF17E9" w:rsidP="00044843">
      <w:pPr>
        <w:pStyle w:val="ListAlpha"/>
      </w:pPr>
      <w:r w:rsidRPr="00380FE8">
        <w:t xml:space="preserve">Employee expenses were $99 million higher than originally estimated. </w:t>
      </w:r>
      <w:r w:rsidRPr="00AC654D">
        <w:t xml:space="preserve">This was due to </w:t>
      </w:r>
      <w:r>
        <w:t>higher actual salaries in hospitals to meet higher than expected demand, offset by departmental underspends compared to the original budget.</w:t>
      </w:r>
    </w:p>
    <w:p w:rsidR="00DF17E9" w:rsidRPr="00380FE8" w:rsidRDefault="001F4A96" w:rsidP="001F4A96">
      <w:pPr>
        <w:pStyle w:val="ListAlpha"/>
      </w:pPr>
      <w:r w:rsidRPr="001F4A96">
        <w:t>Other superannuation expenses were $21</w:t>
      </w:r>
      <w:r w:rsidR="004350F7">
        <w:t> </w:t>
      </w:r>
      <w:r w:rsidRPr="001F4A96">
        <w:t>million higher than the original budget. This is due to increases in employer contributions to superannuation in line with inc</w:t>
      </w:r>
      <w:r>
        <w:t xml:space="preserve">reased </w:t>
      </w:r>
      <w:r w:rsidRPr="001F4A96">
        <w:t>employee expenses. This increase was partially offset by defined benefit service costs being lower th</w:t>
      </w:r>
      <w:r>
        <w:t>an the original budget due to a</w:t>
      </w:r>
      <w:r w:rsidRPr="001F4A96">
        <w:t xml:space="preserve"> higher bond yield rates associated wi</w:t>
      </w:r>
      <w:r>
        <w:t>th reductions in interest rates</w:t>
      </w:r>
      <w:r w:rsidR="00DF17E9" w:rsidRPr="00380FE8">
        <w:t>.</w:t>
      </w:r>
    </w:p>
    <w:p w:rsidR="00DF17E9" w:rsidRPr="00380FE8" w:rsidRDefault="00DF17E9" w:rsidP="00044843">
      <w:pPr>
        <w:pStyle w:val="ListAlpha"/>
      </w:pPr>
      <w:r w:rsidRPr="00380FE8">
        <w:t>The decrease</w:t>
      </w:r>
      <w:r>
        <w:t xml:space="preserve"> in depreciation expense of $73 </w:t>
      </w:r>
      <w:r w:rsidRPr="00380FE8">
        <w:t xml:space="preserve">million compared to the original budget largely reflects lower depreciation expense for roads and roads infrastructure </w:t>
      </w:r>
      <w:r>
        <w:t xml:space="preserve">following a revaluation of road assets </w:t>
      </w:r>
      <w:r w:rsidRPr="00380FE8">
        <w:t>during the 2014-15 financial year.</w:t>
      </w:r>
    </w:p>
    <w:p w:rsidR="00DF17E9" w:rsidRDefault="00DF17E9" w:rsidP="00044843">
      <w:pPr>
        <w:pStyle w:val="ListAlpha"/>
      </w:pPr>
      <w:r w:rsidRPr="00380FE8">
        <w:t>Interest expense was $20 million lower than original budget, mainly associated with a decrease in interest rates since the published budget.</w:t>
      </w:r>
      <w:r>
        <w:br w:type="page"/>
      </w:r>
    </w:p>
    <w:p w:rsidR="00DF17E9" w:rsidRPr="00380FE8" w:rsidRDefault="00DF17E9" w:rsidP="00044843">
      <w:pPr>
        <w:pStyle w:val="ListAlpha"/>
      </w:pPr>
      <w:r>
        <w:lastRenderedPageBreak/>
        <w:t>Grant expense</w:t>
      </w:r>
      <w:r w:rsidRPr="00380FE8">
        <w:t xml:space="preserve"> w</w:t>
      </w:r>
      <w:r>
        <w:t>as</w:t>
      </w:r>
      <w:r w:rsidRPr="00380FE8">
        <w:t xml:space="preserve"> $123 mil</w:t>
      </w:r>
      <w:r>
        <w:t>lion lower than original budget, mainly from</w:t>
      </w:r>
      <w:r w:rsidRPr="00380FE8">
        <w:t xml:space="preserve"> lower than expected Commonwealth grants to local government. The reduction of Commonwealth grants on-passed to local government was due to the advance</w:t>
      </w:r>
      <w:r w:rsidRPr="00972EA5">
        <w:t xml:space="preserve"> </w:t>
      </w:r>
      <w:r w:rsidRPr="00380FE8">
        <w:t>payment of 2015-16 grants in the 2014-15 year.</w:t>
      </w:r>
    </w:p>
    <w:p w:rsidR="00DF17E9" w:rsidRPr="00315E2B" w:rsidRDefault="00DF17E9" w:rsidP="00044843">
      <w:pPr>
        <w:pStyle w:val="ListAlpha"/>
      </w:pPr>
      <w:r w:rsidRPr="00380FE8">
        <w:t>Ot</w:t>
      </w:r>
      <w:r>
        <w:t>her operating expenses were $153</w:t>
      </w:r>
      <w:r w:rsidRPr="00380FE8">
        <w:t xml:space="preserve"> million lower than the original budget</w:t>
      </w:r>
      <w:r w:rsidRPr="00315E2B">
        <w:t xml:space="preserve">. </w:t>
      </w:r>
      <w:r w:rsidR="002F70BC">
        <w:t xml:space="preserve">This was primarily due to unexpected underspend across departments. </w:t>
      </w:r>
      <w:r>
        <w:t>The lower than expected outcome was partially offset by t</w:t>
      </w:r>
      <w:r w:rsidRPr="00315E2B">
        <w:t>he government’s decision to forgive the outstanding balance of the loan to the Director of Housing. This decision</w:t>
      </w:r>
      <w:r>
        <w:t xml:space="preserve"> was made to simplify</w:t>
      </w:r>
      <w:r w:rsidRPr="00315E2B">
        <w:t xml:space="preserve"> the financial arrangements between</w:t>
      </w:r>
      <w:r>
        <w:t xml:space="preserve"> the Director of Housing and the Treasurer.</w:t>
      </w:r>
    </w:p>
    <w:p w:rsidR="00DF17E9" w:rsidRDefault="002F70BC" w:rsidP="00044843">
      <w:pPr>
        <w:spacing w:before="120"/>
        <w:rPr>
          <w:rFonts w:asciiTheme="majorHAnsi" w:hAnsiTheme="majorHAnsi"/>
          <w:b/>
          <w:spacing w:val="-2"/>
        </w:rPr>
      </w:pPr>
      <w:r>
        <w:rPr>
          <w:rFonts w:asciiTheme="majorHAnsi" w:hAnsiTheme="majorHAnsi"/>
          <w:b/>
          <w:spacing w:val="-2"/>
        </w:rPr>
        <w:br w:type="column"/>
      </w:r>
      <w:r w:rsidR="00DF17E9" w:rsidRPr="00A217E7">
        <w:rPr>
          <w:rFonts w:asciiTheme="majorHAnsi" w:hAnsiTheme="majorHAnsi"/>
          <w:b/>
          <w:spacing w:val="-2"/>
        </w:rPr>
        <w:lastRenderedPageBreak/>
        <w:t>Other economic flows included in net result</w:t>
      </w:r>
    </w:p>
    <w:p w:rsidR="00DF17E9" w:rsidRDefault="00DF17E9" w:rsidP="00044843">
      <w:pPr>
        <w:sectPr w:rsidR="00DF17E9" w:rsidSect="00044843">
          <w:headerReference w:type="even" r:id="rId244"/>
          <w:type w:val="continuous"/>
          <w:pgSz w:w="11906" w:h="16838" w:code="9"/>
          <w:pgMar w:top="1138" w:right="1138" w:bottom="1138" w:left="1138" w:header="619" w:footer="562" w:gutter="0"/>
          <w:cols w:num="2" w:space="708"/>
          <w:docGrid w:linePitch="360"/>
        </w:sectPr>
      </w:pPr>
      <w:r>
        <w:t>Total other economic flows included in the net result have decreased by $6.0 billion compared to estimates in the original budget</w:t>
      </w:r>
      <w:r w:rsidRPr="00E14BF8">
        <w:t xml:space="preserve">. </w:t>
      </w:r>
      <w:r>
        <w:t xml:space="preserve">This decrease primarily arises as a result of </w:t>
      </w:r>
      <w:r w:rsidRPr="006A0059">
        <w:t>the revised</w:t>
      </w:r>
      <w:r>
        <w:t xml:space="preserve"> timing from </w:t>
      </w:r>
      <w:r w:rsidRPr="006A0059">
        <w:t>entering into a medium-term lease over the operations of the Port</w:t>
      </w:r>
      <w:r>
        <w:t xml:space="preserve"> of Melbourne from 2015-16 to 2016-17. </w:t>
      </w:r>
    </w:p>
    <w:p w:rsidR="00DF17E9" w:rsidRDefault="00DF17E9">
      <w:pPr>
        <w:rPr>
          <w:rFonts w:asciiTheme="majorHAnsi" w:hAnsiTheme="majorHAnsi"/>
          <w:b/>
          <w:spacing w:val="-2"/>
        </w:rPr>
      </w:pPr>
      <w:r>
        <w:lastRenderedPageBreak/>
        <w:br w:type="page"/>
      </w:r>
    </w:p>
    <w:p w:rsidR="00DF17E9" w:rsidRPr="00C12632" w:rsidRDefault="00DF17E9" w:rsidP="00044843">
      <w:pPr>
        <w:pStyle w:val="Subheading"/>
        <w:rPr>
          <w:lang w:val="en-US"/>
        </w:rPr>
      </w:pPr>
      <w:r w:rsidRPr="006005C5">
        <w:lastRenderedPageBreak/>
        <w:t>Consolidated balance sheet as at 30 June</w:t>
      </w:r>
      <w:r>
        <w:tab/>
      </w:r>
      <w:r w:rsidRPr="00427CC1">
        <w:rPr>
          <w:rStyle w:val="TableUnitsChar"/>
        </w:rPr>
        <w:t>($ million)</w:t>
      </w:r>
      <w:bookmarkEnd w:id="70"/>
    </w:p>
    <w:tbl>
      <w:tblPr>
        <w:tblStyle w:val="TableDTFGeneral"/>
        <w:tblW w:w="9668" w:type="dxa"/>
        <w:tblLayout w:type="fixed"/>
        <w:tblLook w:val="02A0" w:firstRow="1" w:lastRow="0" w:firstColumn="1" w:lastColumn="0" w:noHBand="1" w:noVBand="0"/>
      </w:tblPr>
      <w:tblGrid>
        <w:gridCol w:w="4140"/>
        <w:gridCol w:w="992"/>
        <w:gridCol w:w="851"/>
        <w:gridCol w:w="850"/>
        <w:gridCol w:w="851"/>
        <w:gridCol w:w="567"/>
        <w:gridCol w:w="850"/>
        <w:gridCol w:w="567"/>
      </w:tblGrid>
      <w:tr w:rsidR="00A70890" w:rsidRPr="00C12632" w:rsidTr="006E44BF">
        <w:trPr>
          <w:cnfStyle w:val="100000000000" w:firstRow="1" w:lastRow="0" w:firstColumn="0" w:lastColumn="0" w:oddVBand="0" w:evenVBand="0" w:oddHBand="0" w:evenHBand="0" w:firstRowFirstColumn="0" w:firstRowLastColumn="0" w:lastRowFirstColumn="0" w:lastRowLastColumn="0"/>
          <w:trHeight w:val="114"/>
          <w:tblHeader/>
        </w:trPr>
        <w:tc>
          <w:tcPr>
            <w:cnfStyle w:val="001000000000" w:firstRow="0" w:lastRow="0" w:firstColumn="1" w:lastColumn="0" w:oddVBand="0" w:evenVBand="0" w:oddHBand="0" w:evenHBand="0" w:firstRowFirstColumn="0" w:firstRowLastColumn="0" w:lastRowFirstColumn="0" w:lastRowLastColumn="0"/>
            <w:tcW w:w="4140" w:type="dxa"/>
            <w:vAlign w:val="top"/>
          </w:tcPr>
          <w:p w:rsidR="00A70890" w:rsidRPr="00C12632" w:rsidRDefault="00A70890" w:rsidP="006E44BF">
            <w:pPr>
              <w:ind w:left="0" w:firstLine="0"/>
              <w:rPr>
                <w:color w:val="FFFFFF"/>
              </w:rPr>
            </w:pPr>
            <w:r w:rsidRPr="00C12632">
              <w:rPr>
                <w:color w:val="FFFFFF"/>
              </w:rPr>
              <w:t>General government sector</w:t>
            </w:r>
          </w:p>
        </w:tc>
        <w:tc>
          <w:tcPr>
            <w:cnfStyle w:val="000010000000" w:firstRow="0" w:lastRow="0" w:firstColumn="0" w:lastColumn="0" w:oddVBand="1" w:evenVBand="0" w:oddHBand="0" w:evenHBand="0" w:firstRowFirstColumn="0" w:firstRowLastColumn="0" w:lastRowFirstColumn="0" w:lastRowLastColumn="0"/>
            <w:tcW w:w="992" w:type="dxa"/>
          </w:tcPr>
          <w:p w:rsidR="00A70890" w:rsidRPr="00C12632" w:rsidRDefault="00A70890" w:rsidP="00044843">
            <w:pPr>
              <w:rPr>
                <w:color w:val="FFFFFF"/>
              </w:rPr>
            </w:pPr>
            <w:r w:rsidRPr="00C12632">
              <w:rPr>
                <w:color w:val="FFFFFF"/>
              </w:rPr>
              <w:t>Published budget</w:t>
            </w:r>
          </w:p>
        </w:tc>
        <w:tc>
          <w:tcPr>
            <w:tcW w:w="851" w:type="dxa"/>
          </w:tcPr>
          <w:p w:rsidR="00A70890" w:rsidRPr="00C12632" w:rsidRDefault="00A70890"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Revised budget</w:t>
            </w:r>
          </w:p>
        </w:tc>
        <w:tc>
          <w:tcPr>
            <w:cnfStyle w:val="000010000000" w:firstRow="0" w:lastRow="0" w:firstColumn="0" w:lastColumn="0" w:oddVBand="1" w:evenVBand="0" w:oddHBand="0" w:evenHBand="0" w:firstRowFirstColumn="0" w:firstRowLastColumn="0" w:lastRowFirstColumn="0" w:lastRowLastColumn="0"/>
            <w:tcW w:w="850" w:type="dxa"/>
          </w:tcPr>
          <w:p w:rsidR="00A70890" w:rsidRPr="00C12632" w:rsidRDefault="00A70890" w:rsidP="00044843">
            <w:pPr>
              <w:rPr>
                <w:color w:val="FFFFFF"/>
              </w:rPr>
            </w:pPr>
            <w:r w:rsidRPr="00C12632">
              <w:rPr>
                <w:color w:val="FFFFFF"/>
              </w:rPr>
              <w:t>2016 actual</w:t>
            </w:r>
          </w:p>
        </w:tc>
        <w:tc>
          <w:tcPr>
            <w:tcW w:w="851" w:type="dxa"/>
          </w:tcPr>
          <w:p w:rsidR="00A70890" w:rsidRPr="00C12632" w:rsidRDefault="00A70890"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Budget variance</w:t>
            </w:r>
          </w:p>
        </w:tc>
        <w:tc>
          <w:tcPr>
            <w:cnfStyle w:val="000010000000" w:firstRow="0" w:lastRow="0" w:firstColumn="0" w:lastColumn="0" w:oddVBand="1" w:evenVBand="0" w:oddHBand="0" w:evenHBand="0" w:firstRowFirstColumn="0" w:firstRowLastColumn="0" w:lastRowFirstColumn="0" w:lastRowLastColumn="0"/>
            <w:tcW w:w="567" w:type="dxa"/>
          </w:tcPr>
          <w:p w:rsidR="00A70890" w:rsidRPr="00C12632" w:rsidRDefault="00A70890" w:rsidP="00A70890">
            <w:pPr>
              <w:rPr>
                <w:color w:val="FFFFFF"/>
              </w:rPr>
            </w:pPr>
            <w:r w:rsidRPr="00C12632">
              <w:rPr>
                <w:color w:val="FFFFFF"/>
              </w:rPr>
              <w:t xml:space="preserve"> %</w:t>
            </w:r>
          </w:p>
        </w:tc>
        <w:tc>
          <w:tcPr>
            <w:tcW w:w="850" w:type="dxa"/>
          </w:tcPr>
          <w:p w:rsidR="00A70890" w:rsidRPr="00C12632" w:rsidRDefault="00A70890" w:rsidP="006E44BF">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Revised budget variance</w:t>
            </w:r>
          </w:p>
        </w:tc>
        <w:tc>
          <w:tcPr>
            <w:cnfStyle w:val="000010000000" w:firstRow="0" w:lastRow="0" w:firstColumn="0" w:lastColumn="0" w:oddVBand="1" w:evenVBand="0" w:oddHBand="0" w:evenHBand="0" w:firstRowFirstColumn="0" w:firstRowLastColumn="0" w:lastRowFirstColumn="0" w:lastRowLastColumn="0"/>
            <w:tcW w:w="567" w:type="dxa"/>
          </w:tcPr>
          <w:p w:rsidR="00A70890" w:rsidRPr="00C12632" w:rsidRDefault="00A70890" w:rsidP="00044843">
            <w:pPr>
              <w:rPr>
                <w:color w:val="FFFFFF"/>
              </w:rPr>
            </w:pPr>
            <w:r w:rsidRPr="00C12632">
              <w:rPr>
                <w:color w:val="FFFFFF"/>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b/>
                <w:color w:val="000000"/>
              </w:rPr>
              <w:t>Assets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5 110</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4 338</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4 772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(338)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(7)</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434</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Advances paid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4 521</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4 521</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4 582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62</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61</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Receivables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4 858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5 157</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5 566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708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15</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409</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Investments, loans and placements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3 146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3 552</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2 853</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(293)</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(9)</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(698)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044843">
            <w:pPr>
              <w:ind w:left="0" w:firstLine="0"/>
              <w:rPr>
                <w:color w:val="000000"/>
              </w:rPr>
            </w:pPr>
            <w:r w:rsidRPr="00C12632">
              <w:rPr>
                <w:color w:val="000000"/>
              </w:rPr>
              <w:t>Investments accounted for using the equity method</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r w:rsidRPr="00C12632">
              <w:rPr>
                <w:color w:val="000000"/>
              </w:rPr>
              <w:t>44</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45</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r w:rsidRPr="00C12632">
              <w:rPr>
                <w:color w:val="000000"/>
              </w:rPr>
              <w:t>46</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5</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044843">
            <w:pPr>
              <w:ind w:left="0" w:firstLine="0"/>
              <w:rPr>
                <w:color w:val="000000"/>
              </w:rPr>
            </w:pPr>
            <w:r w:rsidRPr="00C12632">
              <w:rPr>
                <w:color w:val="000000"/>
              </w:rPr>
              <w:t>Investments in other sector entities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80 697</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85 347</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pPr>
              <w:rPr>
                <w:color w:val="000000"/>
              </w:rPr>
            </w:pPr>
            <w:r w:rsidRPr="00C12632">
              <w:rPr>
                <w:color w:val="000000"/>
              </w:rPr>
              <w:t>94 710</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14 013</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17</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9 364</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11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Total financial assets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98 376</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102 958</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112 531</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14 154</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14</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9 572</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tcBorders>
          </w:tcPr>
          <w:p w:rsidR="00DF17E9" w:rsidRPr="00C12632" w:rsidRDefault="00DF17E9" w:rsidP="00044843">
            <w:pPr>
              <w:ind w:left="0" w:firstLine="0"/>
              <w:rPr>
                <w:color w:val="000000"/>
              </w:rPr>
            </w:pPr>
            <w:r w:rsidRPr="00C12632">
              <w:rPr>
                <w:b/>
                <w:color w:val="000000"/>
              </w:rPr>
              <w:t>Non-financial assets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Inventories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158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148</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188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19</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40</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27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Non-financial assets held-for-sale</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128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162</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188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60</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46</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26</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044843">
            <w:pPr>
              <w:ind w:left="0" w:firstLine="0"/>
              <w:rPr>
                <w:color w:val="000000"/>
              </w:rPr>
            </w:pPr>
            <w:r w:rsidRPr="00C12632">
              <w:rPr>
                <w:color w:val="000000"/>
              </w:rPr>
              <w:t>Land, buildings, infrastructure, plant and equipment</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111 781</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108 600</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pPr>
              <w:rPr>
                <w:color w:val="000000"/>
              </w:rPr>
            </w:pPr>
            <w:r w:rsidRPr="00C12632">
              <w:rPr>
                <w:color w:val="000000"/>
              </w:rPr>
              <w:t>114 254</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2 474</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2</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5 654</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044843">
            <w:pPr>
              <w:ind w:left="0" w:firstLine="0"/>
              <w:rPr>
                <w:color w:val="000000"/>
              </w:rPr>
            </w:pPr>
            <w:r w:rsidRPr="00C12632">
              <w:rPr>
                <w:color w:val="000000"/>
              </w:rPr>
              <w:t>Other non-financial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1 147</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1 024</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 xml:space="preserve">1 </w:t>
            </w:r>
            <w:r w:rsidRPr="00C12632">
              <w:t>081</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(67)</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(6)</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56</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Total non-financial assets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113 215</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109 935</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115 711</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2 496</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2</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5 776</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tcBorders>
          </w:tcPr>
          <w:p w:rsidR="00DF17E9" w:rsidRPr="00C12632" w:rsidRDefault="00DF17E9" w:rsidP="00044843">
            <w:pPr>
              <w:ind w:left="0" w:firstLine="0"/>
              <w:rPr>
                <w:color w:val="000000"/>
              </w:rPr>
            </w:pPr>
            <w:r w:rsidRPr="00C12632">
              <w:rPr>
                <w:b/>
                <w:color w:val="000000"/>
              </w:rPr>
              <w:t>Total assets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b/>
                <w:color w:val="000000"/>
              </w:rPr>
              <w:t>211 591</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212 893</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C12632" w:rsidRDefault="00DF17E9" w:rsidP="00044843">
            <w:pPr>
              <w:rPr>
                <w:color w:val="000000"/>
              </w:rPr>
            </w:pPr>
            <w:r w:rsidRPr="00C12632">
              <w:rPr>
                <w:b/>
                <w:color w:val="000000"/>
              </w:rPr>
              <w:t>228 242</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16 650</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r w:rsidRPr="00C12632">
              <w:rPr>
                <w:b/>
                <w:color w:val="000000"/>
              </w:rPr>
              <w:t>8</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15 349</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r w:rsidRPr="00C12632">
              <w:rPr>
                <w:b/>
                <w:color w:val="000000"/>
              </w:rPr>
              <w:t>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Deposits held and advances received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426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518</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706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280</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66</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36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Payables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5 594</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5 267</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5 773</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179</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3</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506</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Borrowings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29 249</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34 386</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33 811</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4 562</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16</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(575)</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Employee benefits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5 767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5 860</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6 137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370</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6</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044843">
            <w:pPr>
              <w:ind w:left="0" w:firstLine="0"/>
              <w:rPr>
                <w:color w:val="000000"/>
              </w:rPr>
            </w:pPr>
            <w:r w:rsidRPr="00C12632">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29 809</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27 888</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pPr>
              <w:rPr>
                <w:color w:val="000000"/>
              </w:rPr>
            </w:pPr>
            <w:r w:rsidRPr="00C12632">
              <w:rPr>
                <w:color w:val="000000"/>
              </w:rPr>
              <w:t>29 291</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(518)</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(2)</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1 403</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044843">
            <w:pPr>
              <w:ind w:left="0" w:firstLine="0"/>
              <w:rPr>
                <w:color w:val="000000"/>
              </w:rPr>
            </w:pPr>
            <w:r w:rsidRPr="00C12632">
              <w:rPr>
                <w:color w:val="000000"/>
              </w:rPr>
              <w:t>Other provisions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665</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891</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829</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164</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25</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(62)</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71 510</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74 809</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76 547</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5 037</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7</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1 738</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Net assets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140 082</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138 084</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151 695</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11 613</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12" w:space="0" w:color="auto"/>
            </w:tcBorders>
          </w:tcPr>
          <w:p w:rsidR="00DF17E9" w:rsidRPr="00C12632" w:rsidRDefault="00DF17E9" w:rsidP="00044843">
            <w:r w:rsidRPr="00C12632">
              <w:rPr>
                <w:b/>
                <w:color w:val="000000"/>
              </w:rPr>
              <w:t>8</w:t>
            </w:r>
          </w:p>
        </w:tc>
        <w:tc>
          <w:tcPr>
            <w:tcW w:w="850"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13 610</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12" w:space="0" w:color="auto"/>
            </w:tcBorders>
          </w:tcPr>
          <w:p w:rsidR="00DF17E9" w:rsidRPr="00C12632" w:rsidRDefault="00DF17E9" w:rsidP="00044843">
            <w:r w:rsidRPr="00C12632">
              <w:rPr>
                <w:b/>
                <w:color w:val="000000"/>
              </w:rPr>
              <w:t>10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12" w:space="0" w:color="auto"/>
            </w:tcBorders>
          </w:tcPr>
          <w:p w:rsidR="00DF17E9" w:rsidRPr="00C12632" w:rsidRDefault="00DF17E9" w:rsidP="00044843">
            <w:pPr>
              <w:ind w:left="0" w:firstLine="0"/>
              <w:rPr>
                <w:color w:val="000000"/>
              </w:rPr>
            </w:pPr>
            <w:r w:rsidRPr="00C12632">
              <w:rPr>
                <w:color w:val="000000"/>
              </w:rPr>
              <w:t>Accumulated surplus/(deficit)</w:t>
            </w:r>
          </w:p>
        </w:tc>
        <w:tc>
          <w:tcPr>
            <w:cnfStyle w:val="000010000000" w:firstRow="0" w:lastRow="0" w:firstColumn="0" w:lastColumn="0" w:oddVBand="1" w:evenVBand="0" w:oddHBand="0" w:evenHBand="0" w:firstRowFirstColumn="0" w:firstRowLastColumn="0" w:lastRowFirstColumn="0" w:lastRowLastColumn="0"/>
            <w:tcW w:w="992" w:type="dxa"/>
            <w:tcBorders>
              <w:top w:val="single" w:sz="12" w:space="0" w:color="auto"/>
            </w:tcBorders>
          </w:tcPr>
          <w:p w:rsidR="00DF17E9" w:rsidRPr="00C12632" w:rsidRDefault="00DF17E9" w:rsidP="00044843">
            <w:pPr>
              <w:rPr>
                <w:color w:val="000000"/>
              </w:rPr>
            </w:pPr>
            <w:r w:rsidRPr="00C12632">
              <w:rPr>
                <w:color w:val="000000"/>
              </w:rPr>
              <w:t>47 152</w:t>
            </w:r>
          </w:p>
        </w:tc>
        <w:tc>
          <w:tcPr>
            <w:tcW w:w="851"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45 682</w:t>
            </w:r>
          </w:p>
        </w:tc>
        <w:tc>
          <w:tcPr>
            <w:cnfStyle w:val="000010000000" w:firstRow="0" w:lastRow="0" w:firstColumn="0" w:lastColumn="0" w:oddVBand="1" w:evenVBand="0" w:oddHBand="0" w:evenHBand="0" w:firstRowFirstColumn="0" w:firstRowLastColumn="0" w:lastRowFirstColumn="0" w:lastRowLastColumn="0"/>
            <w:tcW w:w="850" w:type="dxa"/>
            <w:tcBorders>
              <w:top w:val="single" w:sz="12" w:space="0" w:color="auto"/>
            </w:tcBorders>
          </w:tcPr>
          <w:p w:rsidR="00DF17E9" w:rsidRPr="00C12632" w:rsidRDefault="00DF17E9" w:rsidP="00044843">
            <w:pPr>
              <w:rPr>
                <w:color w:val="000000"/>
              </w:rPr>
            </w:pPr>
            <w:r w:rsidRPr="00C12632">
              <w:rPr>
                <w:color w:val="000000"/>
              </w:rPr>
              <w:t>44 454</w:t>
            </w:r>
          </w:p>
        </w:tc>
        <w:tc>
          <w:tcPr>
            <w:tcW w:w="851"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(2 698</w:t>
            </w:r>
            <w:r w:rsidRPr="00C12632">
              <w:t>)</w:t>
            </w:r>
          </w:p>
        </w:tc>
        <w:tc>
          <w:tcPr>
            <w:cnfStyle w:val="000010000000" w:firstRow="0" w:lastRow="0" w:firstColumn="0" w:lastColumn="0" w:oddVBand="1" w:evenVBand="0" w:oddHBand="0" w:evenHBand="0" w:firstRowFirstColumn="0" w:firstRowLastColumn="0" w:lastRowFirstColumn="0" w:lastRowLastColumn="0"/>
            <w:tcW w:w="567" w:type="dxa"/>
            <w:tcBorders>
              <w:top w:val="single" w:sz="12" w:space="0" w:color="auto"/>
            </w:tcBorders>
          </w:tcPr>
          <w:p w:rsidR="00DF17E9" w:rsidRPr="00C12632" w:rsidRDefault="00DF17E9" w:rsidP="00044843">
            <w:r w:rsidRPr="00C12632">
              <w:rPr>
                <w:color w:val="000000"/>
              </w:rPr>
              <w:t>(6)</w:t>
            </w:r>
          </w:p>
        </w:tc>
        <w:tc>
          <w:tcPr>
            <w:tcW w:w="850"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(1 229</w:t>
            </w:r>
            <w:r w:rsidRPr="00C12632">
              <w:t>)</w:t>
            </w:r>
          </w:p>
        </w:tc>
        <w:tc>
          <w:tcPr>
            <w:cnfStyle w:val="000010000000" w:firstRow="0" w:lastRow="0" w:firstColumn="0" w:lastColumn="0" w:oddVBand="1" w:evenVBand="0" w:oddHBand="0" w:evenHBand="0" w:firstRowFirstColumn="0" w:firstRowLastColumn="0" w:lastRowFirstColumn="0" w:lastRowLastColumn="0"/>
            <w:tcW w:w="567" w:type="dxa"/>
            <w:tcBorders>
              <w:top w:val="single" w:sz="12" w:space="0" w:color="auto"/>
            </w:tcBorders>
          </w:tcPr>
          <w:p w:rsidR="00DF17E9" w:rsidRPr="00C12632" w:rsidRDefault="00DF17E9" w:rsidP="00044843">
            <w:r w:rsidRPr="00C12632">
              <w:rPr>
                <w:color w:val="000000"/>
              </w:rPr>
              <w:t>(3)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044843">
            <w:pPr>
              <w:ind w:left="0" w:firstLine="0"/>
              <w:rPr>
                <w:color w:val="000000"/>
              </w:rPr>
            </w:pPr>
            <w:r w:rsidRPr="00C12632">
              <w:rPr>
                <w:color w:val="000000"/>
              </w:rPr>
              <w:t>Reserves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92 880</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92 402</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pPr>
              <w:rPr>
                <w:color w:val="000000"/>
              </w:rPr>
            </w:pPr>
            <w:r w:rsidRPr="00C12632">
              <w:rPr>
                <w:color w:val="000000"/>
              </w:rPr>
              <w:t>107 191</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14 311</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15</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14 789</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16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044843">
            <w:pPr>
              <w:ind w:left="0" w:firstLine="0"/>
              <w:rPr>
                <w:color w:val="000000"/>
              </w:rPr>
            </w:pPr>
            <w:r w:rsidRPr="00C12632">
              <w:rPr>
                <w:color w:val="000000"/>
              </w:rPr>
              <w:t>Non-controlling interest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50</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50</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pPr>
              <w:rPr>
                <w:color w:val="000000"/>
              </w:rPr>
            </w:pPr>
            <w:r w:rsidRPr="00C12632">
              <w:rPr>
                <w:color w:val="000000"/>
              </w:rPr>
              <w:t>..</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pPr>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Net worth</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140 082</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138 084</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151 695</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11 613</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12" w:space="0" w:color="auto"/>
            </w:tcBorders>
          </w:tcPr>
          <w:p w:rsidR="00DF17E9" w:rsidRPr="00C12632" w:rsidRDefault="00DF17E9" w:rsidP="00044843">
            <w:r w:rsidRPr="00C12632">
              <w:rPr>
                <w:b/>
                <w:color w:val="000000"/>
              </w:rPr>
              <w:t>8</w:t>
            </w:r>
          </w:p>
        </w:tc>
        <w:tc>
          <w:tcPr>
            <w:tcW w:w="850"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13 610</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12" w:space="0" w:color="auto"/>
            </w:tcBorders>
          </w:tcPr>
          <w:p w:rsidR="00DF17E9" w:rsidRPr="00C12632" w:rsidRDefault="00DF17E9" w:rsidP="00044843">
            <w:r w:rsidRPr="00C12632">
              <w:rPr>
                <w:b/>
                <w:color w:val="000000"/>
              </w:rPr>
              <w:t>10</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4140" w:type="dxa"/>
            <w:tcBorders>
              <w:top w:val="single" w:sz="12" w:space="0" w:color="auto"/>
            </w:tcBorders>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top w:val="single" w:sz="12" w:space="0" w:color="auto"/>
            </w:tcBorders>
          </w:tcPr>
          <w:p w:rsidR="00DF17E9" w:rsidRPr="00C12632" w:rsidRDefault="00DF17E9" w:rsidP="00044843">
            <w:pPr>
              <w:rPr>
                <w:color w:val="000000"/>
              </w:rPr>
            </w:pPr>
            <w:r w:rsidRPr="00C12632">
              <w:rPr>
                <w:color w:val="000000"/>
              </w:rPr>
              <w:t xml:space="preserve"> </w:t>
            </w:r>
          </w:p>
        </w:tc>
        <w:tc>
          <w:tcPr>
            <w:tcW w:w="851"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Borders>
              <w:top w:val="single" w:sz="12" w:space="0" w:color="auto"/>
            </w:tcBorders>
          </w:tcPr>
          <w:p w:rsidR="00DF17E9" w:rsidRPr="00C12632" w:rsidRDefault="00DF17E9" w:rsidP="00044843">
            <w:pPr>
              <w:rPr>
                <w:color w:val="000000"/>
              </w:rPr>
            </w:pPr>
            <w:r w:rsidRPr="00C12632">
              <w:rPr>
                <w:color w:val="000000"/>
              </w:rPr>
              <w:t xml:space="preserve"> </w:t>
            </w:r>
          </w:p>
        </w:tc>
        <w:tc>
          <w:tcPr>
            <w:tcW w:w="851"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Borders>
              <w:top w:val="single" w:sz="12" w:space="0" w:color="auto"/>
            </w:tcBorders>
          </w:tcPr>
          <w:p w:rsidR="00DF17E9" w:rsidRPr="00C12632" w:rsidRDefault="00DF17E9" w:rsidP="00044843">
            <w:pPr>
              <w:rPr>
                <w:color w:val="000000"/>
              </w:rPr>
            </w:pPr>
            <w:r w:rsidRPr="00C12632">
              <w:rPr>
                <w:color w:val="000000"/>
              </w:rPr>
              <w:t xml:space="preserve"> </w:t>
            </w:r>
          </w:p>
        </w:tc>
        <w:tc>
          <w:tcPr>
            <w:tcW w:w="850"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Borders>
              <w:top w:val="single" w:sz="12" w:space="0" w:color="auto"/>
            </w:tcBorders>
          </w:tcPr>
          <w:p w:rsidR="00DF17E9" w:rsidRPr="00C12632" w:rsidRDefault="00DF17E9" w:rsidP="00044843">
            <w:pPr>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b/>
                <w:color w:val="000000"/>
              </w:rPr>
              <w:t>FISCAL AGGREGATES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044843">
            <w:pPr>
              <w:ind w:left="0" w:firstLine="0"/>
              <w:rPr>
                <w:color w:val="000000"/>
              </w:rPr>
            </w:pPr>
            <w:r w:rsidRPr="00C12632">
              <w:rPr>
                <w:color w:val="000000"/>
              </w:rPr>
              <w:t>Net financial worth</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26 867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28 150</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35 984</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9 117</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34</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 xml:space="preserve">7 </w:t>
            </w:r>
            <w:r w:rsidRPr="00C12632">
              <w:t>834</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28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044843">
            <w:pPr>
              <w:ind w:left="0" w:firstLine="0"/>
              <w:rPr>
                <w:color w:val="000000"/>
              </w:rPr>
            </w:pPr>
            <w:r w:rsidRPr="00C12632">
              <w:rPr>
                <w:color w:val="000000"/>
              </w:rPr>
              <w:t>Net financial liabilities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53 831</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57 197</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pPr>
              <w:rPr>
                <w:color w:val="000000"/>
              </w:rPr>
            </w:pPr>
            <w:r w:rsidRPr="00C12632">
              <w:rPr>
                <w:color w:val="000000"/>
              </w:rPr>
              <w:t>58 727</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4 896</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9</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1 530</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40" w:type="dxa"/>
            <w:tcBorders>
              <w:bottom w:val="single" w:sz="12" w:space="0" w:color="auto"/>
            </w:tcBorders>
          </w:tcPr>
          <w:p w:rsidR="00DF17E9" w:rsidRPr="00C12632" w:rsidRDefault="00DF17E9" w:rsidP="00044843">
            <w:pPr>
              <w:ind w:left="0" w:firstLine="0"/>
              <w:rPr>
                <w:color w:val="000000"/>
              </w:rPr>
            </w:pPr>
            <w:r w:rsidRPr="00C12632">
              <w:rPr>
                <w:color w:val="000000"/>
              </w:rPr>
              <w:t>Net debt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12" w:space="0" w:color="auto"/>
            </w:tcBorders>
          </w:tcPr>
          <w:p w:rsidR="00DF17E9" w:rsidRPr="00C12632" w:rsidRDefault="00DF17E9" w:rsidP="00044843">
            <w:pPr>
              <w:rPr>
                <w:color w:val="000000"/>
              </w:rPr>
            </w:pPr>
            <w:r w:rsidRPr="00C12632">
              <w:rPr>
                <w:color w:val="000000"/>
              </w:rPr>
              <w:t>16 898</w:t>
            </w:r>
          </w:p>
        </w:tc>
        <w:tc>
          <w:tcPr>
            <w:tcW w:w="851"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22 493</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12" w:space="0" w:color="auto"/>
            </w:tcBorders>
          </w:tcPr>
          <w:p w:rsidR="00DF17E9" w:rsidRPr="00C12632" w:rsidRDefault="00DF17E9" w:rsidP="00044843">
            <w:pPr>
              <w:rPr>
                <w:color w:val="000000"/>
              </w:rPr>
            </w:pPr>
            <w:r w:rsidRPr="00C12632">
              <w:rPr>
                <w:color w:val="000000"/>
              </w:rPr>
              <w:t>22 309</w:t>
            </w:r>
          </w:p>
        </w:tc>
        <w:tc>
          <w:tcPr>
            <w:tcW w:w="851"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5 411</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12" w:space="0" w:color="auto"/>
            </w:tcBorders>
          </w:tcPr>
          <w:p w:rsidR="00DF17E9" w:rsidRPr="00C12632" w:rsidRDefault="00DF17E9" w:rsidP="00044843">
            <w:r w:rsidRPr="00C12632">
              <w:rPr>
                <w:color w:val="000000"/>
              </w:rPr>
              <w:t>32</w:t>
            </w:r>
          </w:p>
        </w:tc>
        <w:tc>
          <w:tcPr>
            <w:tcW w:w="850"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(185)</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12" w:space="0" w:color="auto"/>
            </w:tcBorders>
          </w:tcPr>
          <w:p w:rsidR="00DF17E9" w:rsidRPr="00C12632" w:rsidRDefault="00DF17E9" w:rsidP="00044843">
            <w:r w:rsidRPr="00C12632">
              <w:rPr>
                <w:color w:val="000000"/>
              </w:rPr>
              <w:t>(1)</w:t>
            </w:r>
          </w:p>
        </w:tc>
      </w:tr>
    </w:tbl>
    <w:p w:rsidR="00DF17E9" w:rsidRDefault="00DF17E9">
      <w:pPr>
        <w:rPr>
          <w:rFonts w:ascii="Calibri" w:eastAsia="Times New Roman" w:hAnsi="Calibri" w:cs="Times New Roman"/>
          <w:b/>
          <w:kern w:val="28"/>
          <w:sz w:val="28"/>
        </w:rPr>
      </w:pPr>
    </w:p>
    <w:p w:rsidR="00DF17E9" w:rsidRDefault="00DF17E9" w:rsidP="001B2CDC">
      <w:pPr>
        <w:rPr>
          <w:rFonts w:asciiTheme="majorHAnsi" w:hAnsiTheme="majorHAnsi"/>
          <w:b/>
          <w:spacing w:val="-2"/>
        </w:rPr>
        <w:sectPr w:rsidR="00DF17E9" w:rsidSect="00044843">
          <w:type w:val="continuous"/>
          <w:pgSz w:w="11906" w:h="16838" w:code="9"/>
          <w:pgMar w:top="1138" w:right="1138" w:bottom="1138" w:left="1138" w:header="619" w:footer="562" w:gutter="0"/>
          <w:cols w:space="708"/>
          <w:docGrid w:linePitch="360"/>
        </w:sectPr>
      </w:pPr>
    </w:p>
    <w:p w:rsidR="00DF17E9" w:rsidRDefault="00DF17E9" w:rsidP="00044843">
      <w:pPr>
        <w:rPr>
          <w:rFonts w:asciiTheme="majorHAnsi" w:hAnsiTheme="majorHAnsi"/>
          <w:b/>
          <w:spacing w:val="-2"/>
        </w:rPr>
      </w:pPr>
      <w:bookmarkStart w:id="71" w:name="_Toc451953918"/>
      <w:r>
        <w:rPr>
          <w:rFonts w:asciiTheme="majorHAnsi" w:hAnsiTheme="majorHAnsi"/>
          <w:b/>
          <w:spacing w:val="-2"/>
        </w:rPr>
        <w:lastRenderedPageBreak/>
        <w:br w:type="page"/>
      </w:r>
    </w:p>
    <w:p w:rsidR="00DF17E9" w:rsidRPr="00A217E7" w:rsidRDefault="00DF17E9" w:rsidP="00044843">
      <w:pPr>
        <w:rPr>
          <w:rFonts w:asciiTheme="majorHAnsi" w:hAnsiTheme="majorHAnsi"/>
          <w:b/>
          <w:spacing w:val="-2"/>
        </w:rPr>
      </w:pPr>
      <w:r w:rsidRPr="00A217E7">
        <w:rPr>
          <w:rFonts w:asciiTheme="majorHAnsi" w:hAnsiTheme="majorHAnsi"/>
          <w:b/>
          <w:spacing w:val="-2"/>
        </w:rPr>
        <w:lastRenderedPageBreak/>
        <w:t>Net financial worth</w:t>
      </w:r>
    </w:p>
    <w:p w:rsidR="00DF17E9" w:rsidRPr="00380FE8" w:rsidRDefault="00DF17E9" w:rsidP="00044843">
      <w:r>
        <w:t xml:space="preserve">Net financial worth is total financial assets less total liabilities. Net </w:t>
      </w:r>
      <w:r w:rsidRPr="00380FE8">
        <w:t>finan</w:t>
      </w:r>
      <w:r>
        <w:t>cial worth was $9.1 billion (34 </w:t>
      </w:r>
      <w:r w:rsidRPr="00380FE8">
        <w:t>per cent) higher than the ori</w:t>
      </w:r>
      <w:r>
        <w:t>ginal budget. This was due to higher financial assets of $14</w:t>
      </w:r>
      <w:r w:rsidRPr="00380FE8">
        <w:t>.</w:t>
      </w:r>
      <w:r>
        <w:t>2</w:t>
      </w:r>
      <w:r w:rsidRPr="00380FE8">
        <w:t xml:space="preserve"> billion partially offset with higher liabilities of $5 billion when compared to the original budget.</w:t>
      </w:r>
    </w:p>
    <w:p w:rsidR="00DF17E9" w:rsidRDefault="00DF17E9" w:rsidP="00044843">
      <w:r w:rsidRPr="00380FE8">
        <w:t>The increase in total financial asset</w:t>
      </w:r>
      <w:r>
        <w:t>s</w:t>
      </w:r>
      <w:r w:rsidRPr="00380FE8">
        <w:t xml:space="preserve"> was</w:t>
      </w:r>
      <w:r>
        <w:t xml:space="preserve"> due to higher investments in the public non-financial corporations (PNFC) sector. This was primarily a </w:t>
      </w:r>
      <w:r w:rsidRPr="006A0059">
        <w:t>result of the revised</w:t>
      </w:r>
      <w:r>
        <w:t xml:space="preserve"> timing from </w:t>
      </w:r>
      <w:r w:rsidRPr="006A0059">
        <w:t>entering into a medium-term lease over the operations of the Port</w:t>
      </w:r>
      <w:r w:rsidR="006E44BF">
        <w:t> </w:t>
      </w:r>
      <w:r>
        <w:t xml:space="preserve">of Melbourne from 2015-16 to 2016-17. </w:t>
      </w:r>
    </w:p>
    <w:p w:rsidR="00DF17E9" w:rsidRDefault="00DF17E9" w:rsidP="00044843">
      <w:r w:rsidRPr="00347A56">
        <w:t xml:space="preserve">Also </w:t>
      </w:r>
      <w:r>
        <w:t>contributing to higher than expected investments in the PNFC sector include:</w:t>
      </w:r>
    </w:p>
    <w:p w:rsidR="00DF17E9" w:rsidRDefault="00DF17E9" w:rsidP="004350F7">
      <w:pPr>
        <w:pStyle w:val="ListBullet"/>
      </w:pPr>
      <w:r>
        <w:t>the revaluation of Port of Melbourne Corporation’s non-financial assets to reflect the expected lease transaction price;</w:t>
      </w:r>
    </w:p>
    <w:p w:rsidR="00DF17E9" w:rsidRDefault="00DF17E9" w:rsidP="004350F7">
      <w:pPr>
        <w:pStyle w:val="ListBullet"/>
      </w:pPr>
      <w:r>
        <w:t>the revaluation of the Di</w:t>
      </w:r>
      <w:r w:rsidR="00F90DAE">
        <w:t xml:space="preserve">rector of Housing and </w:t>
      </w:r>
      <w:r w:rsidR="005B64A3">
        <w:t xml:space="preserve">the </w:t>
      </w:r>
      <w:r>
        <w:t>Water</w:t>
      </w:r>
      <w:r w:rsidR="00F90DAE">
        <w:t xml:space="preserve"> Corporations</w:t>
      </w:r>
      <w:r>
        <w:t xml:space="preserve"> non-financial assets, in line with the relevant financial reporting requirements; and</w:t>
      </w:r>
    </w:p>
    <w:p w:rsidR="00DF17E9" w:rsidRDefault="00DF17E9" w:rsidP="004350F7">
      <w:pPr>
        <w:pStyle w:val="ListBullet"/>
      </w:pPr>
      <w:r>
        <w:t>an increase in rail infrastructure investment, mainly the Level Crossing Removal Program.</w:t>
      </w:r>
    </w:p>
    <w:p w:rsidR="00DF17E9" w:rsidRPr="004D4AE2" w:rsidRDefault="00DF17E9">
      <w:r>
        <w:t xml:space="preserve">The increase in total liabilities was largely attributed to higher borrowings balance </w:t>
      </w:r>
      <w:r w:rsidRPr="00E91936">
        <w:t>due to lower than originally budgeted debt retirement associated with the revised tim</w:t>
      </w:r>
      <w:r w:rsidR="006E44BF">
        <w:t>ing from entering into a medium</w:t>
      </w:r>
      <w:r w:rsidR="006E44BF">
        <w:noBreakHyphen/>
      </w:r>
      <w:r w:rsidRPr="00E91936">
        <w:t>term lease over the operations of the Port of Melbourne from 2015-16 to 2016-17.</w:t>
      </w:r>
    </w:p>
    <w:p w:rsidR="00DF17E9" w:rsidRPr="00A217E7" w:rsidRDefault="00DF17E9" w:rsidP="00044843">
      <w:pPr>
        <w:spacing w:before="120"/>
        <w:rPr>
          <w:rFonts w:asciiTheme="majorHAnsi" w:hAnsiTheme="majorHAnsi"/>
          <w:b/>
          <w:spacing w:val="-2"/>
        </w:rPr>
      </w:pPr>
      <w:r w:rsidRPr="00A217E7">
        <w:rPr>
          <w:rFonts w:asciiTheme="majorHAnsi" w:hAnsiTheme="majorHAnsi"/>
          <w:b/>
          <w:spacing w:val="-2"/>
        </w:rPr>
        <w:t>Net financial liabilities</w:t>
      </w:r>
    </w:p>
    <w:p w:rsidR="00DF17E9" w:rsidRDefault="00DF17E9" w:rsidP="00044843">
      <w:r>
        <w:t>Net financial liabilities are total liabilities less all financial assets (excluding investments in other sectors). Net financial liabilities were $5.0 billion higher than original budget. The drivers for the variance are consistent with the explanation in net financial worth.</w:t>
      </w:r>
    </w:p>
    <w:p w:rsidR="00DF17E9" w:rsidRPr="00A217E7" w:rsidRDefault="00DF17E9" w:rsidP="00044843">
      <w:pPr>
        <w:rPr>
          <w:rFonts w:asciiTheme="majorHAnsi" w:hAnsiTheme="majorHAnsi"/>
          <w:b/>
          <w:spacing w:val="-2"/>
        </w:rPr>
      </w:pPr>
      <w:r>
        <w:rPr>
          <w:rFonts w:asciiTheme="majorHAnsi" w:hAnsiTheme="majorHAnsi"/>
          <w:b/>
          <w:spacing w:val="-2"/>
        </w:rPr>
        <w:br w:type="column"/>
      </w:r>
      <w:r w:rsidRPr="00A217E7">
        <w:rPr>
          <w:rFonts w:asciiTheme="majorHAnsi" w:hAnsiTheme="majorHAnsi"/>
          <w:b/>
          <w:spacing w:val="-2"/>
        </w:rPr>
        <w:lastRenderedPageBreak/>
        <w:t>Net debt</w:t>
      </w:r>
    </w:p>
    <w:p w:rsidR="00DF17E9" w:rsidRPr="003C5E46" w:rsidRDefault="00DF17E9" w:rsidP="00044843">
      <w:r>
        <w:t xml:space="preserve">Net debt equals the sum of deposits held, advances received, government securities, loans and other borrowings less the sum of cash and deposits, advances paid and investments, loans and placements. Net debt is $5.4 billion higher when compared to the original budget. This is primarily due to lower than </w:t>
      </w:r>
      <w:r w:rsidRPr="00382351">
        <w:t xml:space="preserve">originally budgeted debt retirement associated with the revised timing </w:t>
      </w:r>
      <w:r w:rsidR="004350F7">
        <w:br/>
      </w:r>
      <w:r w:rsidRPr="00382351">
        <w:t xml:space="preserve">from entering into a medium-term lease over the operations of the Port of Melbourne from </w:t>
      </w:r>
      <w:r w:rsidR="004350F7">
        <w:br/>
      </w:r>
      <w:r w:rsidRPr="00382351">
        <w:t>2015-16 to 2016-17.</w:t>
      </w:r>
    </w:p>
    <w:p w:rsidR="00DF17E9" w:rsidRPr="003C5E46" w:rsidRDefault="00DF17E9" w:rsidP="00044843"/>
    <w:p w:rsidR="00DF17E9" w:rsidRDefault="00DF17E9" w:rsidP="00044843">
      <w:pPr>
        <w:sectPr w:rsidR="00DF17E9" w:rsidSect="00044843">
          <w:type w:val="continuous"/>
          <w:pgSz w:w="11906" w:h="16838" w:code="9"/>
          <w:pgMar w:top="1138" w:right="1138" w:bottom="1138" w:left="1138" w:header="619" w:footer="562" w:gutter="0"/>
          <w:cols w:num="2" w:space="708"/>
          <w:docGrid w:linePitch="360"/>
        </w:sectPr>
      </w:pPr>
    </w:p>
    <w:p w:rsidR="00DF17E9" w:rsidRDefault="00DF17E9" w:rsidP="00044843">
      <w:pPr>
        <w:rPr>
          <w:rFonts w:asciiTheme="majorHAnsi" w:hAnsiTheme="majorHAnsi"/>
          <w:b/>
          <w:spacing w:val="-2"/>
        </w:rPr>
      </w:pPr>
      <w:r>
        <w:lastRenderedPageBreak/>
        <w:br w:type="page"/>
      </w:r>
    </w:p>
    <w:p w:rsidR="00DF17E9" w:rsidRDefault="00DF17E9">
      <w:pPr>
        <w:sectPr w:rsidR="00DF17E9" w:rsidSect="00044843">
          <w:type w:val="continuous"/>
          <w:pgSz w:w="11906" w:h="16838" w:code="9"/>
          <w:pgMar w:top="1151" w:right="1151" w:bottom="1151" w:left="1151" w:header="720" w:footer="720" w:gutter="0"/>
          <w:cols w:num="2" w:space="708"/>
          <w:docGrid w:linePitch="360"/>
        </w:sectPr>
      </w:pPr>
    </w:p>
    <w:p w:rsidR="00DF17E9" w:rsidRPr="00C12632" w:rsidRDefault="00DF17E9" w:rsidP="00044843">
      <w:pPr>
        <w:pStyle w:val="Subheading"/>
        <w:rPr>
          <w:bCs/>
          <w:lang w:val="en-US"/>
        </w:rPr>
      </w:pPr>
      <w:r w:rsidRPr="006005C5">
        <w:lastRenderedPageBreak/>
        <w:t>Consolidated cash flow statement for the year ended 30 June</w:t>
      </w:r>
      <w:r>
        <w:tab/>
      </w:r>
      <w:r w:rsidRPr="00427CC1">
        <w:rPr>
          <w:rStyle w:val="TableUnitsChar"/>
        </w:rPr>
        <w:t>($ million)</w:t>
      </w:r>
      <w:bookmarkEnd w:id="71"/>
    </w:p>
    <w:tbl>
      <w:tblPr>
        <w:tblStyle w:val="TableDTFGeneral"/>
        <w:tblW w:w="9665" w:type="dxa"/>
        <w:tblLayout w:type="fixed"/>
        <w:tblLook w:val="02A0" w:firstRow="1" w:lastRow="0" w:firstColumn="1" w:lastColumn="0" w:noHBand="1" w:noVBand="0"/>
      </w:tblPr>
      <w:tblGrid>
        <w:gridCol w:w="4140"/>
        <w:gridCol w:w="992"/>
        <w:gridCol w:w="851"/>
        <w:gridCol w:w="850"/>
        <w:gridCol w:w="851"/>
        <w:gridCol w:w="567"/>
        <w:gridCol w:w="850"/>
        <w:gridCol w:w="550"/>
        <w:gridCol w:w="14"/>
      </w:tblGrid>
      <w:tr w:rsidR="006E44BF" w:rsidRPr="00C12632" w:rsidTr="006E44BF">
        <w:trPr>
          <w:cnfStyle w:val="100000000000" w:firstRow="1" w:lastRow="0" w:firstColumn="0" w:lastColumn="0" w:oddVBand="0" w:evenVBand="0" w:oddHBand="0" w:evenHBand="0" w:firstRowFirstColumn="0" w:firstRowLastColumn="0" w:lastRowFirstColumn="0" w:lastRowLastColumn="0"/>
          <w:trHeight w:val="172"/>
          <w:tblHeader/>
        </w:trPr>
        <w:tc>
          <w:tcPr>
            <w:cnfStyle w:val="001000000000" w:firstRow="0" w:lastRow="0" w:firstColumn="1" w:lastColumn="0" w:oddVBand="0" w:evenVBand="0" w:oddHBand="0" w:evenHBand="0" w:firstRowFirstColumn="0" w:firstRowLastColumn="0" w:lastRowFirstColumn="0" w:lastRowLastColumn="0"/>
            <w:tcW w:w="4140" w:type="dxa"/>
            <w:vAlign w:val="top"/>
          </w:tcPr>
          <w:p w:rsidR="006E44BF" w:rsidRPr="00C12632" w:rsidRDefault="006E44BF" w:rsidP="006E44BF">
            <w:pPr>
              <w:ind w:left="113" w:hanging="113"/>
              <w:rPr>
                <w:color w:val="FFFFFF"/>
              </w:rPr>
            </w:pPr>
            <w:r w:rsidRPr="00C12632">
              <w:rPr>
                <w:color w:val="FFFFFF"/>
              </w:rPr>
              <w:t xml:space="preserve">General government sector </w:t>
            </w:r>
          </w:p>
        </w:tc>
        <w:tc>
          <w:tcPr>
            <w:cnfStyle w:val="000010000000" w:firstRow="0" w:lastRow="0" w:firstColumn="0" w:lastColumn="0" w:oddVBand="1" w:evenVBand="0" w:oddHBand="0" w:evenHBand="0" w:firstRowFirstColumn="0" w:firstRowLastColumn="0" w:lastRowFirstColumn="0" w:lastRowLastColumn="0"/>
            <w:tcW w:w="992" w:type="dxa"/>
          </w:tcPr>
          <w:p w:rsidR="006E44BF" w:rsidRPr="00C12632" w:rsidRDefault="006E44BF" w:rsidP="00044843">
            <w:pPr>
              <w:rPr>
                <w:color w:val="FFFFFF"/>
              </w:rPr>
            </w:pPr>
            <w:r w:rsidRPr="00C12632">
              <w:rPr>
                <w:color w:val="FFFFFF"/>
              </w:rPr>
              <w:t>Published budget</w:t>
            </w:r>
          </w:p>
        </w:tc>
        <w:tc>
          <w:tcPr>
            <w:tcW w:w="851" w:type="dxa"/>
          </w:tcPr>
          <w:p w:rsidR="006E44BF" w:rsidRPr="00C12632" w:rsidRDefault="006E44B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Revised budget</w:t>
            </w:r>
          </w:p>
        </w:tc>
        <w:tc>
          <w:tcPr>
            <w:cnfStyle w:val="000010000000" w:firstRow="0" w:lastRow="0" w:firstColumn="0" w:lastColumn="0" w:oddVBand="1" w:evenVBand="0" w:oddHBand="0" w:evenHBand="0" w:firstRowFirstColumn="0" w:firstRowLastColumn="0" w:lastRowFirstColumn="0" w:lastRowLastColumn="0"/>
            <w:tcW w:w="850" w:type="dxa"/>
          </w:tcPr>
          <w:p w:rsidR="006E44BF" w:rsidRPr="00C12632" w:rsidRDefault="006E44BF" w:rsidP="00044843">
            <w:pPr>
              <w:rPr>
                <w:color w:val="FFFFFF"/>
              </w:rPr>
            </w:pPr>
            <w:r w:rsidRPr="00C12632">
              <w:rPr>
                <w:color w:val="FFFFFF"/>
              </w:rPr>
              <w:t>2016 actual</w:t>
            </w:r>
          </w:p>
        </w:tc>
        <w:tc>
          <w:tcPr>
            <w:tcW w:w="851" w:type="dxa"/>
          </w:tcPr>
          <w:p w:rsidR="006E44BF" w:rsidRPr="00C12632" w:rsidRDefault="006E44B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Budget variance</w:t>
            </w:r>
          </w:p>
        </w:tc>
        <w:tc>
          <w:tcPr>
            <w:cnfStyle w:val="000010000000" w:firstRow="0" w:lastRow="0" w:firstColumn="0" w:lastColumn="0" w:oddVBand="1" w:evenVBand="0" w:oddHBand="0" w:evenHBand="0" w:firstRowFirstColumn="0" w:firstRowLastColumn="0" w:lastRowFirstColumn="0" w:lastRowLastColumn="0"/>
            <w:tcW w:w="567" w:type="dxa"/>
          </w:tcPr>
          <w:p w:rsidR="006E44BF" w:rsidRPr="00C12632" w:rsidRDefault="006E44BF" w:rsidP="00044843">
            <w:pPr>
              <w:rPr>
                <w:color w:val="FFFFFF"/>
              </w:rPr>
            </w:pPr>
            <w:r w:rsidRPr="00C12632">
              <w:rPr>
                <w:color w:val="FFFFFF"/>
              </w:rPr>
              <w:t>%</w:t>
            </w:r>
          </w:p>
        </w:tc>
        <w:tc>
          <w:tcPr>
            <w:tcW w:w="850" w:type="dxa"/>
          </w:tcPr>
          <w:p w:rsidR="006E44BF" w:rsidRPr="00C12632" w:rsidRDefault="006E44BF" w:rsidP="006E44BF">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Re</w:t>
            </w:r>
            <w:r>
              <w:rPr>
                <w:color w:val="FFFFFF"/>
              </w:rPr>
              <w:t>v</w:t>
            </w:r>
            <w:r w:rsidRPr="00C12632">
              <w:rPr>
                <w:color w:val="FFFFFF"/>
              </w:rPr>
              <w:t>ised budget variance</w:t>
            </w:r>
          </w:p>
        </w:tc>
        <w:tc>
          <w:tcPr>
            <w:cnfStyle w:val="000010000000" w:firstRow="0" w:lastRow="0" w:firstColumn="0" w:lastColumn="0" w:oddVBand="1" w:evenVBand="0" w:oddHBand="0" w:evenHBand="0" w:firstRowFirstColumn="0" w:firstRowLastColumn="0" w:lastRowFirstColumn="0" w:lastRowLastColumn="0"/>
            <w:tcW w:w="564" w:type="dxa"/>
            <w:gridSpan w:val="2"/>
          </w:tcPr>
          <w:p w:rsidR="006E44BF" w:rsidRPr="00C12632" w:rsidRDefault="006E44BF" w:rsidP="00044843">
            <w:pPr>
              <w:rPr>
                <w:color w:val="FFFFFF"/>
              </w:rPr>
            </w:pPr>
            <w:r w:rsidRPr="00C12632">
              <w:rPr>
                <w:color w:val="FFFFFF"/>
              </w:rPr>
              <w:t>%</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b/>
                <w:color w:val="000000"/>
              </w:rPr>
              <w:t>Cash flows from operating activities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pPr>
              <w:rPr>
                <w:color w:val="000000"/>
              </w:rPr>
            </w:pPr>
            <w:r w:rsidRPr="00C12632">
              <w:rPr>
                <w:b/>
                <w:color w:val="000000"/>
              </w:rPr>
              <w:t xml:space="preserve"> </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b/>
                <w:color w:val="000000"/>
              </w:rPr>
              <w:t>Receipts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pPr>
              <w:rPr>
                <w:color w:val="000000"/>
              </w:rPr>
            </w:pPr>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pPr>
              <w:rPr>
                <w:color w:val="000000"/>
              </w:rPr>
            </w:pPr>
            <w:r w:rsidRPr="00C12632">
              <w:rPr>
                <w:b/>
                <w:color w:val="000000"/>
              </w:rPr>
              <w:t xml:space="preserve"> </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Taxes received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19 007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20 020</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19 775</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768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4</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(245)</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(1)</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Grants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25 668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25 414</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25 375</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(293)</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(39)</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7 531</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7 372</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color w:val="000000"/>
              </w:rPr>
              <w:t>7 253</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(4)</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(119)</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(2)</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Interest received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812</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794</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786</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(25)</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(3)</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(1)</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6E44BF">
            <w:pPr>
              <w:ind w:left="113" w:hanging="113"/>
              <w:rPr>
                <w:color w:val="000000"/>
              </w:rPr>
            </w:pPr>
            <w:r w:rsidRPr="00C12632">
              <w:rPr>
                <w:color w:val="000000"/>
              </w:rPr>
              <w:t>Dividends and income tax equivalent and rate equivalent receipts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1 143</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761</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r w:rsidRPr="00C12632">
              <w:rPr>
                <w:color w:val="000000"/>
              </w:rPr>
              <w:t>802</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(342)</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(30)</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40</w:t>
            </w:r>
          </w:p>
        </w:tc>
        <w:tc>
          <w:tcPr>
            <w:cnfStyle w:val="000010000000" w:firstRow="0" w:lastRow="0" w:firstColumn="0" w:lastColumn="0" w:oddVBand="1" w:evenVBand="0" w:oddHBand="0" w:evenHBand="0" w:firstRowFirstColumn="0" w:firstRowLastColumn="0" w:lastRowFirstColumn="0" w:lastRowLastColumn="0"/>
            <w:tcW w:w="550" w:type="dxa"/>
            <w:tcBorders>
              <w:bottom w:val="nil"/>
            </w:tcBorders>
          </w:tcPr>
          <w:p w:rsidR="00DF17E9" w:rsidRPr="00C12632" w:rsidRDefault="00DF17E9" w:rsidP="00044843">
            <w:r w:rsidRPr="00C12632">
              <w:rPr>
                <w:color w:val="000000"/>
              </w:rPr>
              <w:t>5</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Other receipts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1 741</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2 365</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pPr>
              <w:rPr>
                <w:color w:val="000000"/>
              </w:rPr>
            </w:pPr>
            <w:r w:rsidRPr="00C12632">
              <w:rPr>
                <w:color w:val="000000"/>
              </w:rPr>
              <w:t>2 436</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695</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40</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72</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r w:rsidRPr="00C12632">
              <w:rPr>
                <w:color w:val="000000"/>
              </w:rPr>
              <w:t>3</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tcBorders>
          </w:tcPr>
          <w:p w:rsidR="00DF17E9" w:rsidRPr="00C12632" w:rsidRDefault="00DF17E9" w:rsidP="006E44BF">
            <w:pPr>
              <w:ind w:left="113" w:hanging="113"/>
              <w:rPr>
                <w:color w:val="000000"/>
              </w:rPr>
            </w:pPr>
            <w:r w:rsidRPr="00C12632">
              <w:rPr>
                <w:b/>
                <w:color w:val="000000"/>
              </w:rPr>
              <w:t>Total receipts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b/>
                <w:color w:val="000000"/>
              </w:rPr>
              <w:t>55 904</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56 728</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C12632" w:rsidRDefault="00DF17E9" w:rsidP="00044843">
            <w:pPr>
              <w:rPr>
                <w:color w:val="000000"/>
              </w:rPr>
            </w:pPr>
            <w:r w:rsidRPr="00C12632">
              <w:rPr>
                <w:b/>
                <w:color w:val="000000"/>
              </w:rPr>
              <w:t>56 428</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524</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r w:rsidRPr="00C12632">
              <w:rPr>
                <w:b/>
                <w:color w:val="000000"/>
              </w:rPr>
              <w:t>1</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(300)</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tcBorders>
          </w:tcPr>
          <w:p w:rsidR="00DF17E9" w:rsidRPr="00C12632" w:rsidRDefault="00DF17E9" w:rsidP="00044843">
            <w:r w:rsidRPr="00C12632">
              <w:rPr>
                <w:b/>
                <w:color w:val="000000"/>
              </w:rPr>
              <w:t>(1)</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b/>
                <w:color w:val="000000"/>
              </w:rPr>
              <w:t>Payments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b/>
                <w:color w:val="000000"/>
              </w:rPr>
              <w:t xml:space="preserve"> </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Payments for employees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(19 657)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(19 795)</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(19 621)</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36</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174</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(1)</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(2 969)</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(2 858)</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(2 877)</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92</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(3)</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(19)</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1</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Interest paid</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(2 059)</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(2 096)</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(2 040)</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(1)</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56</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(3)</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color w:val="000000"/>
              </w:rPr>
              <w:t>Grants and subsidies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(8 748)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(8 674)</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r w:rsidRPr="00C12632">
              <w:rPr>
                <w:color w:val="000000"/>
              </w:rPr>
              <w:t>(8 538)</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210</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color w:val="000000"/>
              </w:rPr>
              <w:t>(2)</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137</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color w:val="000000"/>
              </w:rPr>
              <w:t>(2)</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6E44BF">
            <w:pPr>
              <w:ind w:left="113" w:hanging="113"/>
              <w:rPr>
                <w:color w:val="000000"/>
              </w:rPr>
            </w:pPr>
            <w:r w:rsidRPr="00C12632">
              <w:rPr>
                <w:color w:val="000000"/>
              </w:rPr>
              <w:t>Goods and services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r w:rsidRPr="00C12632">
              <w:rPr>
                <w:color w:val="000000"/>
              </w:rPr>
              <w:t>(18 056)</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(17 865)</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r w:rsidRPr="00C12632">
              <w:rPr>
                <w:color w:val="000000"/>
              </w:rPr>
              <w:t>(17 257)</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798</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(4)</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608</w:t>
            </w:r>
          </w:p>
        </w:tc>
        <w:tc>
          <w:tcPr>
            <w:cnfStyle w:val="000010000000" w:firstRow="0" w:lastRow="0" w:firstColumn="0" w:lastColumn="0" w:oddVBand="1" w:evenVBand="0" w:oddHBand="0" w:evenHBand="0" w:firstRowFirstColumn="0" w:firstRowLastColumn="0" w:lastRowFirstColumn="0" w:lastRowLastColumn="0"/>
            <w:tcW w:w="550" w:type="dxa"/>
            <w:tcBorders>
              <w:bottom w:val="nil"/>
            </w:tcBorders>
          </w:tcPr>
          <w:p w:rsidR="00DF17E9" w:rsidRPr="00C12632" w:rsidRDefault="00DF17E9" w:rsidP="00044843">
            <w:r w:rsidRPr="00C12632">
              <w:rPr>
                <w:color w:val="000000"/>
              </w:rPr>
              <w:t>(3)</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Other payments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(661)</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(665)</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(736)</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(75)</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11</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(70)</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r w:rsidRPr="00C12632">
              <w:rPr>
                <w:color w:val="000000"/>
              </w:rPr>
              <w:t>11</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6" w:space="0" w:color="auto"/>
            </w:tcBorders>
          </w:tcPr>
          <w:p w:rsidR="00DF17E9" w:rsidRPr="00C12632" w:rsidRDefault="00DF17E9" w:rsidP="006E44BF">
            <w:pPr>
              <w:ind w:left="113" w:hanging="113"/>
              <w:rPr>
                <w:color w:val="000000"/>
              </w:rPr>
            </w:pPr>
            <w:r w:rsidRPr="00C12632">
              <w:rPr>
                <w:b/>
                <w:color w:val="000000"/>
              </w:rPr>
              <w:t>Total payments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r w:rsidRPr="00C12632">
              <w:rPr>
                <w:b/>
                <w:color w:val="000000"/>
              </w:rPr>
              <w:t>(52 149)</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(51 954)</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6" w:space="0" w:color="auto"/>
            </w:tcBorders>
          </w:tcPr>
          <w:p w:rsidR="00DF17E9" w:rsidRPr="00C12632" w:rsidRDefault="00DF17E9" w:rsidP="00044843">
            <w:r w:rsidRPr="00C12632">
              <w:rPr>
                <w:b/>
                <w:color w:val="000000"/>
              </w:rPr>
              <w:t>(51 069)</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1 080</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(2)</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885</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bottom w:val="single" w:sz="6" w:space="0" w:color="auto"/>
            </w:tcBorders>
          </w:tcPr>
          <w:p w:rsidR="00DF17E9" w:rsidRPr="00C12632" w:rsidRDefault="00DF17E9" w:rsidP="00044843">
            <w:r w:rsidRPr="00C12632">
              <w:rPr>
                <w:b/>
                <w:color w:val="000000"/>
              </w:rPr>
              <w:t>(2)</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tcBorders>
          </w:tcPr>
          <w:p w:rsidR="00DF17E9" w:rsidRPr="00C12632" w:rsidRDefault="00DF17E9" w:rsidP="006E44BF">
            <w:pPr>
              <w:ind w:left="113" w:hanging="113"/>
              <w:rPr>
                <w:color w:val="000000"/>
              </w:rPr>
            </w:pPr>
            <w:r w:rsidRPr="00C12632">
              <w:rPr>
                <w:b/>
                <w:color w:val="000000"/>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b/>
                <w:color w:val="000000"/>
              </w:rPr>
              <w:t>3 755</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4 773</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C12632" w:rsidRDefault="00DF17E9" w:rsidP="00044843">
            <w:pPr>
              <w:rPr>
                <w:color w:val="000000"/>
              </w:rPr>
            </w:pPr>
            <w:r w:rsidRPr="00C12632">
              <w:rPr>
                <w:b/>
                <w:color w:val="000000"/>
              </w:rPr>
              <w:t>5 359</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1 604</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r w:rsidRPr="00C12632">
              <w:rPr>
                <w:b/>
                <w:color w:val="000000"/>
              </w:rPr>
              <w:t>43</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586</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tcBorders>
          </w:tcPr>
          <w:p w:rsidR="00DF17E9" w:rsidRPr="00C12632" w:rsidRDefault="00DF17E9" w:rsidP="00044843">
            <w:r w:rsidRPr="00C12632">
              <w:rPr>
                <w:b/>
                <w:color w:val="000000"/>
              </w:rPr>
              <w:t>12</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b/>
                <w:color w:val="000000"/>
              </w:rPr>
              <w:t>Cash flows from investing activities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r w:rsidRPr="00C12632">
              <w:rPr>
                <w:b/>
                <w:color w:val="000000"/>
              </w:rPr>
              <w:t xml:space="preserve"> </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6E44BF">
            <w:pPr>
              <w:ind w:left="113" w:hanging="113"/>
              <w:rPr>
                <w:color w:val="000000"/>
              </w:rPr>
            </w:pPr>
            <w:r w:rsidRPr="00C12632">
              <w:rPr>
                <w:color w:val="000000"/>
              </w:rPr>
              <w:t xml:space="preserve">Purchase of non-financial assets </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r w:rsidRPr="00C12632">
              <w:rPr>
                <w:color w:val="000000"/>
              </w:rPr>
              <w:t>(4 552)</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(4 065)</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r w:rsidRPr="00C12632">
              <w:rPr>
                <w:color w:val="000000"/>
              </w:rPr>
              <w:t>(4 420)</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132</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(3)</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(354)</w:t>
            </w:r>
          </w:p>
        </w:tc>
        <w:tc>
          <w:tcPr>
            <w:cnfStyle w:val="000010000000" w:firstRow="0" w:lastRow="0" w:firstColumn="0" w:lastColumn="0" w:oddVBand="1" w:evenVBand="0" w:oddHBand="0" w:evenHBand="0" w:firstRowFirstColumn="0" w:firstRowLastColumn="0" w:lastRowFirstColumn="0" w:lastRowLastColumn="0"/>
            <w:tcW w:w="550" w:type="dxa"/>
            <w:tcBorders>
              <w:bottom w:val="nil"/>
            </w:tcBorders>
          </w:tcPr>
          <w:p w:rsidR="00DF17E9" w:rsidRPr="00C12632" w:rsidRDefault="00DF17E9" w:rsidP="00044843">
            <w:r w:rsidRPr="00C12632">
              <w:rPr>
                <w:color w:val="000000"/>
              </w:rPr>
              <w:t>9</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Sales of non-financial assets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322</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174</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190</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(132)</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(41)</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16</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r w:rsidRPr="00C12632">
              <w:rPr>
                <w:color w:val="000000"/>
              </w:rPr>
              <w:t>9</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nil"/>
            </w:tcBorders>
          </w:tcPr>
          <w:p w:rsidR="00DF17E9" w:rsidRPr="00C12632" w:rsidRDefault="00DF17E9" w:rsidP="006E44BF">
            <w:pPr>
              <w:ind w:left="113" w:hanging="113"/>
              <w:rPr>
                <w:color w:val="000000"/>
              </w:rPr>
            </w:pPr>
            <w:r w:rsidRPr="00C12632">
              <w:rPr>
                <w:color w:val="000000"/>
              </w:rPr>
              <w:t>Net cash flows from investments in non-financial assets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tcPr>
          <w:p w:rsidR="00DF17E9" w:rsidRPr="00C12632" w:rsidRDefault="00DF17E9" w:rsidP="00044843">
            <w:r w:rsidRPr="00C12632">
              <w:rPr>
                <w:color w:val="000000"/>
              </w:rPr>
              <w:t>(4 230)</w:t>
            </w:r>
          </w:p>
        </w:tc>
        <w:tc>
          <w:tcPr>
            <w:tcW w:w="851"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(3 891)</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nil"/>
            </w:tcBorders>
          </w:tcPr>
          <w:p w:rsidR="00DF17E9" w:rsidRPr="00C12632" w:rsidRDefault="00DF17E9" w:rsidP="00044843">
            <w:r w:rsidRPr="00C12632">
              <w:rPr>
                <w:color w:val="000000"/>
              </w:rPr>
              <w:t>(4 230)</w:t>
            </w:r>
          </w:p>
        </w:tc>
        <w:tc>
          <w:tcPr>
            <w:tcW w:w="851"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nil"/>
            </w:tcBorders>
          </w:tcPr>
          <w:p w:rsidR="00DF17E9" w:rsidRPr="00C12632" w:rsidRDefault="00DF17E9" w:rsidP="00044843">
            <w:r w:rsidRPr="00C12632">
              <w:rPr>
                <w:color w:val="000000"/>
              </w:rPr>
              <w:t>..</w:t>
            </w:r>
          </w:p>
        </w:tc>
        <w:tc>
          <w:tcPr>
            <w:tcW w:w="850"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(339)</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bottom w:val="nil"/>
            </w:tcBorders>
          </w:tcPr>
          <w:p w:rsidR="00DF17E9" w:rsidRPr="00C12632" w:rsidRDefault="00DF17E9" w:rsidP="00044843">
            <w:r w:rsidRPr="00C12632">
              <w:rPr>
                <w:color w:val="000000"/>
              </w:rPr>
              <w:t>9</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Net cash flows from investments in financial assets for policy purposes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6 511</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54</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93</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(6 418)</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(99)</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38</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r w:rsidRPr="00C12632">
              <w:rPr>
                <w:color w:val="000000"/>
              </w:rPr>
              <w:t>70</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nil"/>
            </w:tcBorders>
          </w:tcPr>
          <w:p w:rsidR="00DF17E9" w:rsidRPr="00C12632" w:rsidRDefault="00DF17E9" w:rsidP="006E44BF">
            <w:pPr>
              <w:ind w:left="113" w:hanging="113"/>
              <w:rPr>
                <w:b/>
                <w:color w:val="000000"/>
              </w:rPr>
            </w:pPr>
            <w:r w:rsidRPr="00C12632">
              <w:rPr>
                <w:b/>
                <w:color w:val="000000"/>
              </w:rPr>
              <w:t>Subtotal</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tcPr>
          <w:p w:rsidR="00DF17E9" w:rsidRPr="00C12632" w:rsidRDefault="00DF17E9" w:rsidP="00044843">
            <w:pPr>
              <w:rPr>
                <w:color w:val="000000"/>
              </w:rPr>
            </w:pPr>
            <w:r w:rsidRPr="00C12632">
              <w:rPr>
                <w:b/>
                <w:color w:val="000000"/>
              </w:rPr>
              <w:t>2 281</w:t>
            </w:r>
          </w:p>
        </w:tc>
        <w:tc>
          <w:tcPr>
            <w:tcW w:w="851"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(3 837)</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nil"/>
            </w:tcBorders>
          </w:tcPr>
          <w:p w:rsidR="00DF17E9" w:rsidRPr="00C12632" w:rsidRDefault="00DF17E9" w:rsidP="00044843">
            <w:r w:rsidRPr="00C12632">
              <w:rPr>
                <w:b/>
                <w:color w:val="000000"/>
              </w:rPr>
              <w:t>(4 137)</w:t>
            </w:r>
          </w:p>
        </w:tc>
        <w:tc>
          <w:tcPr>
            <w:tcW w:w="851"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(6 418)</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nil"/>
            </w:tcBorders>
          </w:tcPr>
          <w:p w:rsidR="00DF17E9" w:rsidRPr="00C12632" w:rsidRDefault="00DF17E9" w:rsidP="00044843">
            <w:r w:rsidRPr="00C12632">
              <w:rPr>
                <w:b/>
                <w:color w:val="000000"/>
              </w:rPr>
              <w:t>(281)</w:t>
            </w:r>
          </w:p>
        </w:tc>
        <w:tc>
          <w:tcPr>
            <w:tcW w:w="850"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(300)</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bottom w:val="nil"/>
            </w:tcBorders>
          </w:tcPr>
          <w:p w:rsidR="00DF17E9" w:rsidRPr="00C12632" w:rsidRDefault="00DF17E9" w:rsidP="00044843">
            <w:r w:rsidRPr="00C12632">
              <w:rPr>
                <w:b/>
                <w:color w:val="000000"/>
              </w:rPr>
              <w:t>8</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Net cash flows from investment in financial assets for liquidity management purposes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(83)</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(136)</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535</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618</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(748)</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671</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r w:rsidRPr="00C12632">
              <w:rPr>
                <w:color w:val="000000"/>
              </w:rPr>
              <w:t>(495)</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tcBorders>
          </w:tcPr>
          <w:p w:rsidR="00DF17E9" w:rsidRPr="00C12632" w:rsidRDefault="00DF17E9" w:rsidP="006E44BF">
            <w:pPr>
              <w:ind w:left="113" w:hanging="113"/>
              <w:rPr>
                <w:color w:val="000000"/>
              </w:rPr>
            </w:pPr>
            <w:r w:rsidRPr="00C12632">
              <w:rPr>
                <w:b/>
                <w:color w:val="000000"/>
              </w:rPr>
              <w:t>Net cash flows from investing activities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b/>
                <w:color w:val="000000"/>
              </w:rPr>
              <w:t>2 199</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(3 972)</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tcBorders>
          </w:tcPr>
          <w:p w:rsidR="00DF17E9" w:rsidRPr="00C12632" w:rsidRDefault="00DF17E9" w:rsidP="00044843">
            <w:r w:rsidRPr="00C12632">
              <w:rPr>
                <w:b/>
                <w:color w:val="000000"/>
              </w:rPr>
              <w:t>(3 602)</w:t>
            </w:r>
          </w:p>
        </w:tc>
        <w:tc>
          <w:tcPr>
            <w:tcW w:w="851"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(5 800)</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tcBorders>
          </w:tcPr>
          <w:p w:rsidR="00DF17E9" w:rsidRPr="00C12632" w:rsidRDefault="00DF17E9" w:rsidP="00044843">
            <w:r w:rsidRPr="00C12632">
              <w:rPr>
                <w:b/>
                <w:color w:val="000000"/>
              </w:rPr>
              <w:t>(264)</w:t>
            </w:r>
          </w:p>
        </w:tc>
        <w:tc>
          <w:tcPr>
            <w:tcW w:w="850"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371</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tcBorders>
          </w:tcPr>
          <w:p w:rsidR="00DF17E9" w:rsidRPr="00C12632" w:rsidRDefault="00DF17E9" w:rsidP="00044843">
            <w:r w:rsidRPr="00C12632">
              <w:rPr>
                <w:b/>
                <w:color w:val="000000"/>
              </w:rPr>
              <w:t>(9)</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Pr>
          <w:p w:rsidR="00DF17E9" w:rsidRPr="00C12632" w:rsidRDefault="00DF17E9" w:rsidP="006E44BF">
            <w:pPr>
              <w:ind w:left="113" w:hanging="113"/>
              <w:rPr>
                <w:color w:val="000000"/>
              </w:rPr>
            </w:pPr>
            <w:r w:rsidRPr="00C12632">
              <w:rPr>
                <w:b/>
                <w:color w:val="000000"/>
              </w:rPr>
              <w:t>Cash flows from financing activities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DF17E9" w:rsidRPr="00C12632" w:rsidRDefault="00DF17E9" w:rsidP="00044843">
            <w:pPr>
              <w:rPr>
                <w:color w:val="000000"/>
              </w:rPr>
            </w:pPr>
            <w:r w:rsidRPr="00C12632">
              <w:rPr>
                <w:b/>
                <w:color w:val="000000"/>
              </w:rPr>
              <w:t xml:space="preserve"> </w:t>
            </w:r>
          </w:p>
        </w:tc>
        <w:tc>
          <w:tcPr>
            <w:tcW w:w="85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567" w:type="dxa"/>
          </w:tcPr>
          <w:p w:rsidR="00DF17E9" w:rsidRPr="00C12632" w:rsidRDefault="00DF17E9" w:rsidP="00044843">
            <w:r w:rsidRPr="00C12632">
              <w:rPr>
                <w:b/>
                <w:color w:val="000000"/>
              </w:rPr>
              <w:t xml:space="preserve"> </w:t>
            </w:r>
          </w:p>
        </w:tc>
        <w:tc>
          <w:tcPr>
            <w:tcW w:w="850"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p>
        </w:tc>
        <w:tc>
          <w:tcPr>
            <w:cnfStyle w:val="000010000000" w:firstRow="0" w:lastRow="0" w:firstColumn="0" w:lastColumn="0" w:oddVBand="1" w:evenVBand="0" w:oddHBand="0" w:evenHBand="0" w:firstRowFirstColumn="0" w:firstRowLastColumn="0" w:lastRowFirstColumn="0" w:lastRowLastColumn="0"/>
            <w:tcW w:w="550" w:type="dxa"/>
          </w:tcPr>
          <w:p w:rsidR="00DF17E9" w:rsidRPr="00C12632" w:rsidRDefault="00DF17E9" w:rsidP="00044843">
            <w:pPr>
              <w:rPr>
                <w:b/>
                <w:color w:val="000000"/>
              </w:rPr>
            </w:pP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nil"/>
            </w:tcBorders>
          </w:tcPr>
          <w:p w:rsidR="00DF17E9" w:rsidRPr="00C12632" w:rsidRDefault="00DF17E9" w:rsidP="006E44BF">
            <w:pPr>
              <w:ind w:left="113" w:hanging="113"/>
              <w:rPr>
                <w:color w:val="000000"/>
              </w:rPr>
            </w:pPr>
            <w:r w:rsidRPr="00C12632">
              <w:rPr>
                <w:color w:val="000000"/>
              </w:rPr>
              <w:t>Net borrowings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r w:rsidRPr="00C12632">
              <w:rPr>
                <w:color w:val="000000"/>
              </w:rPr>
              <w:t>(5 756)</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(745)</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rsidR="00DF17E9" w:rsidRPr="00C12632" w:rsidRDefault="00DF17E9" w:rsidP="00044843">
            <w:r w:rsidRPr="00C12632">
              <w:rPr>
                <w:color w:val="000000"/>
              </w:rPr>
              <w:t>(1 332)</w:t>
            </w:r>
          </w:p>
        </w:tc>
        <w:tc>
          <w:tcPr>
            <w:tcW w:w="85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4 423</w:t>
            </w:r>
          </w:p>
        </w:tc>
        <w:tc>
          <w:tcPr>
            <w:cnfStyle w:val="000010000000" w:firstRow="0" w:lastRow="0" w:firstColumn="0" w:lastColumn="0" w:oddVBand="1" w:evenVBand="0" w:oddHBand="0" w:evenHBand="0" w:firstRowFirstColumn="0" w:firstRowLastColumn="0" w:lastRowFirstColumn="0" w:lastRowLastColumn="0"/>
            <w:tcW w:w="567" w:type="dxa"/>
            <w:tcBorders>
              <w:bottom w:val="nil"/>
            </w:tcBorders>
          </w:tcPr>
          <w:p w:rsidR="00DF17E9" w:rsidRPr="00C12632" w:rsidRDefault="00DF17E9" w:rsidP="00044843">
            <w:r w:rsidRPr="00C12632">
              <w:rPr>
                <w:color w:val="000000"/>
              </w:rPr>
              <w:t>(77)</w:t>
            </w:r>
          </w:p>
        </w:tc>
        <w:tc>
          <w:tcPr>
            <w:tcW w:w="850"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(588)</w:t>
            </w:r>
          </w:p>
        </w:tc>
        <w:tc>
          <w:tcPr>
            <w:cnfStyle w:val="000010000000" w:firstRow="0" w:lastRow="0" w:firstColumn="0" w:lastColumn="0" w:oddVBand="1" w:evenVBand="0" w:oddHBand="0" w:evenHBand="0" w:firstRowFirstColumn="0" w:firstRowLastColumn="0" w:lastRowFirstColumn="0" w:lastRowLastColumn="0"/>
            <w:tcW w:w="550" w:type="dxa"/>
            <w:tcBorders>
              <w:bottom w:val="nil"/>
            </w:tcBorders>
          </w:tcPr>
          <w:p w:rsidR="00DF17E9" w:rsidRPr="00C12632" w:rsidRDefault="00DF17E9" w:rsidP="00044843">
            <w:r w:rsidRPr="00C12632">
              <w:rPr>
                <w:color w:val="000000"/>
              </w:rPr>
              <w:t>79</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Deposits received (net)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r w:rsidRPr="00C12632">
              <w:rPr>
                <w:color w:val="000000"/>
              </w:rPr>
              <w:t>65</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65</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pPr>
              <w:rPr>
                <w:color w:val="000000"/>
              </w:rPr>
            </w:pPr>
            <w:r w:rsidRPr="00C12632">
              <w:rPr>
                <w:color w:val="000000"/>
              </w:rPr>
              <w:t>n.a.</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65</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pPr>
              <w:rPr>
                <w:color w:val="000000"/>
              </w:rPr>
            </w:pPr>
            <w:r w:rsidRPr="00C12632">
              <w:rPr>
                <w:color w:val="000000"/>
              </w:rPr>
              <w:t>n.a.</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6" w:space="0" w:color="auto"/>
            </w:tcBorders>
          </w:tcPr>
          <w:p w:rsidR="00DF17E9" w:rsidRPr="00C12632" w:rsidRDefault="00DF17E9" w:rsidP="006E44BF">
            <w:pPr>
              <w:ind w:left="113" w:hanging="113"/>
              <w:rPr>
                <w:color w:val="000000"/>
              </w:rPr>
            </w:pPr>
            <w:r w:rsidRPr="00C12632">
              <w:rPr>
                <w:b/>
                <w:color w:val="000000"/>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r w:rsidRPr="00C12632">
              <w:rPr>
                <w:b/>
                <w:color w:val="000000"/>
              </w:rPr>
              <w:t>(5 756)</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(745)</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6" w:space="0" w:color="auto"/>
            </w:tcBorders>
          </w:tcPr>
          <w:p w:rsidR="00DF17E9" w:rsidRPr="00C12632" w:rsidRDefault="00DF17E9" w:rsidP="00044843">
            <w:r w:rsidRPr="00C12632">
              <w:rPr>
                <w:b/>
                <w:color w:val="000000"/>
              </w:rPr>
              <w:t>(1 267)</w:t>
            </w:r>
          </w:p>
        </w:tc>
        <w:tc>
          <w:tcPr>
            <w:tcW w:w="851"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4 489</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6" w:space="0" w:color="auto"/>
            </w:tcBorders>
          </w:tcPr>
          <w:p w:rsidR="00DF17E9" w:rsidRPr="00C12632" w:rsidRDefault="00DF17E9" w:rsidP="00044843">
            <w:r w:rsidRPr="00C12632">
              <w:rPr>
                <w:b/>
                <w:color w:val="000000"/>
              </w:rPr>
              <w:t>(78)</w:t>
            </w:r>
          </w:p>
        </w:tc>
        <w:tc>
          <w:tcPr>
            <w:tcW w:w="850"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(522)</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bottom w:val="single" w:sz="6" w:space="0" w:color="auto"/>
            </w:tcBorders>
          </w:tcPr>
          <w:p w:rsidR="00DF17E9" w:rsidRPr="00C12632" w:rsidRDefault="00DF17E9" w:rsidP="00044843">
            <w:r w:rsidRPr="00C12632">
              <w:rPr>
                <w:b/>
                <w:color w:val="000000"/>
              </w:rPr>
              <w:t>70</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nil"/>
            </w:tcBorders>
          </w:tcPr>
          <w:p w:rsidR="00DF17E9" w:rsidRPr="00C12632" w:rsidRDefault="00DF17E9" w:rsidP="006E44BF">
            <w:pPr>
              <w:ind w:left="113" w:hanging="113"/>
              <w:rPr>
                <w:color w:val="000000"/>
              </w:rPr>
            </w:pPr>
            <w:r w:rsidRPr="00C12632">
              <w:rPr>
                <w:b/>
                <w:color w:val="000000"/>
              </w:rPr>
              <w:t>Net increase/(decrease) in cash and cash equivalents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tcPr>
          <w:p w:rsidR="00DF17E9" w:rsidRPr="00C12632" w:rsidRDefault="00DF17E9" w:rsidP="00044843">
            <w:r w:rsidRPr="00C12632">
              <w:rPr>
                <w:b/>
                <w:color w:val="000000"/>
              </w:rPr>
              <w:t>198</w:t>
            </w:r>
          </w:p>
        </w:tc>
        <w:tc>
          <w:tcPr>
            <w:tcW w:w="851"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56</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nil"/>
            </w:tcBorders>
          </w:tcPr>
          <w:p w:rsidR="00DF17E9" w:rsidRPr="00C12632" w:rsidRDefault="00DF17E9" w:rsidP="00044843">
            <w:r w:rsidRPr="00C12632">
              <w:rPr>
                <w:b/>
                <w:color w:val="000000"/>
              </w:rPr>
              <w:t>490</w:t>
            </w:r>
          </w:p>
        </w:tc>
        <w:tc>
          <w:tcPr>
            <w:tcW w:w="851"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293</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nil"/>
            </w:tcBorders>
          </w:tcPr>
          <w:p w:rsidR="00DF17E9" w:rsidRPr="00C12632" w:rsidRDefault="00DF17E9" w:rsidP="00044843">
            <w:r w:rsidRPr="00C12632">
              <w:rPr>
                <w:b/>
                <w:color w:val="000000"/>
              </w:rPr>
              <w:t>148</w:t>
            </w:r>
          </w:p>
        </w:tc>
        <w:tc>
          <w:tcPr>
            <w:tcW w:w="850"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434</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bottom w:val="nil"/>
            </w:tcBorders>
          </w:tcPr>
          <w:p w:rsidR="00DF17E9" w:rsidRPr="00C12632" w:rsidRDefault="00DF17E9" w:rsidP="00044843">
            <w:r w:rsidRPr="00C12632">
              <w:rPr>
                <w:b/>
                <w:color w:val="000000"/>
              </w:rPr>
              <w:t>775</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rsidR="00DF17E9" w:rsidRPr="00C12632" w:rsidRDefault="00DF17E9" w:rsidP="006E44BF">
            <w:pPr>
              <w:ind w:left="113" w:hanging="113"/>
              <w:rPr>
                <w:color w:val="000000"/>
              </w:rPr>
            </w:pPr>
            <w:r w:rsidRPr="00C12632">
              <w:rPr>
                <w:color w:val="000000"/>
              </w:rPr>
              <w:t>Cash and cash equivalents at beginning of reporting period</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4 913</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4 282</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6" w:space="0" w:color="auto"/>
            </w:tcBorders>
          </w:tcPr>
          <w:p w:rsidR="00DF17E9" w:rsidRPr="00C12632" w:rsidRDefault="00DF17E9" w:rsidP="00044843">
            <w:pPr>
              <w:rPr>
                <w:color w:val="000000"/>
              </w:rPr>
            </w:pPr>
            <w:r w:rsidRPr="00C12632">
              <w:rPr>
                <w:color w:val="000000"/>
              </w:rPr>
              <w:t>4 282</w:t>
            </w:r>
          </w:p>
        </w:tc>
        <w:tc>
          <w:tcPr>
            <w:tcW w:w="85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(631)</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6" w:space="0" w:color="auto"/>
            </w:tcBorders>
          </w:tcPr>
          <w:p w:rsidR="00DF17E9" w:rsidRPr="00C12632" w:rsidRDefault="00DF17E9" w:rsidP="00044843">
            <w:r w:rsidRPr="00C12632">
              <w:rPr>
                <w:color w:val="000000"/>
              </w:rPr>
              <w:t>(13)</w:t>
            </w:r>
          </w:p>
        </w:tc>
        <w:tc>
          <w:tcPr>
            <w:tcW w:w="850"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550" w:type="dxa"/>
            <w:tcBorders>
              <w:bottom w:val="single" w:sz="6" w:space="0" w:color="auto"/>
            </w:tcBorders>
          </w:tcPr>
          <w:p w:rsidR="00DF17E9" w:rsidRPr="00C12632" w:rsidRDefault="00DF17E9" w:rsidP="00044843">
            <w:pPr>
              <w:rPr>
                <w:color w:val="000000"/>
              </w:rPr>
            </w:pPr>
            <w:r w:rsidRPr="00C12632">
              <w:rPr>
                <w:color w:val="000000"/>
              </w:rPr>
              <w:t>..</w:t>
            </w:r>
          </w:p>
        </w:tc>
      </w:tr>
      <w:tr w:rsidR="00DF17E9" w:rsidRPr="00C12632" w:rsidTr="00044843">
        <w:trPr>
          <w:gridAfter w:val="1"/>
          <w:wAfter w:w="14" w:type="dxa"/>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12" w:space="0" w:color="auto"/>
            </w:tcBorders>
          </w:tcPr>
          <w:p w:rsidR="00DF17E9" w:rsidRPr="00C12632" w:rsidRDefault="00DF17E9" w:rsidP="006E44BF">
            <w:pPr>
              <w:ind w:left="113" w:hanging="113"/>
              <w:rPr>
                <w:color w:val="000000"/>
              </w:rPr>
            </w:pPr>
            <w:r w:rsidRPr="00C12632">
              <w:rPr>
                <w:b/>
                <w:color w:val="000000"/>
              </w:rPr>
              <w:t>Cash and cash equivalents at end of reporting period</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5 110</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4 338</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4 772</w:t>
            </w:r>
          </w:p>
        </w:tc>
        <w:tc>
          <w:tcPr>
            <w:tcW w:w="85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(338)</w:t>
            </w:r>
          </w:p>
        </w:tc>
        <w:tc>
          <w:tcPr>
            <w:cnfStyle w:val="000010000000" w:firstRow="0" w:lastRow="0" w:firstColumn="0" w:lastColumn="0" w:oddVBand="1" w:evenVBand="0" w:oddHBand="0" w:evenHBand="0" w:firstRowFirstColumn="0" w:firstRowLastColumn="0" w:lastRowFirstColumn="0" w:lastRowLastColumn="0"/>
            <w:tcW w:w="567" w:type="dxa"/>
            <w:tcBorders>
              <w:top w:val="single" w:sz="6" w:space="0" w:color="auto"/>
              <w:bottom w:val="single" w:sz="12" w:space="0" w:color="auto"/>
            </w:tcBorders>
          </w:tcPr>
          <w:p w:rsidR="00DF17E9" w:rsidRPr="00C12632" w:rsidRDefault="00DF17E9" w:rsidP="00044843">
            <w:r w:rsidRPr="00C12632">
              <w:rPr>
                <w:b/>
                <w:color w:val="000000"/>
              </w:rPr>
              <w:t>(7)</w:t>
            </w:r>
          </w:p>
        </w:tc>
        <w:tc>
          <w:tcPr>
            <w:tcW w:w="850"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434</w:t>
            </w:r>
          </w:p>
        </w:tc>
        <w:tc>
          <w:tcPr>
            <w:cnfStyle w:val="000010000000" w:firstRow="0" w:lastRow="0" w:firstColumn="0" w:lastColumn="0" w:oddVBand="1" w:evenVBand="0" w:oddHBand="0" w:evenHBand="0" w:firstRowFirstColumn="0" w:firstRowLastColumn="0" w:lastRowFirstColumn="0" w:lastRowLastColumn="0"/>
            <w:tcW w:w="550" w:type="dxa"/>
            <w:tcBorders>
              <w:top w:val="single" w:sz="6" w:space="0" w:color="auto"/>
              <w:bottom w:val="single" w:sz="12" w:space="0" w:color="auto"/>
            </w:tcBorders>
          </w:tcPr>
          <w:p w:rsidR="00DF17E9" w:rsidRPr="00C12632" w:rsidRDefault="00DF17E9" w:rsidP="00044843">
            <w:r w:rsidRPr="00C12632">
              <w:rPr>
                <w:b/>
                <w:color w:val="000000"/>
              </w:rPr>
              <w:t>10</w:t>
            </w:r>
          </w:p>
        </w:tc>
      </w:tr>
    </w:tbl>
    <w:p w:rsidR="00DF17E9" w:rsidRPr="009364D2" w:rsidRDefault="00DF17E9" w:rsidP="00044843"/>
    <w:p w:rsidR="00DF17E9" w:rsidRDefault="00DF17E9" w:rsidP="00044843">
      <w:pPr>
        <w:pStyle w:val="Heading3"/>
        <w:numPr>
          <w:ilvl w:val="0"/>
          <w:numId w:val="0"/>
        </w:numPr>
        <w:rPr>
          <w:rFonts w:eastAsiaTheme="minorHAnsi"/>
        </w:rPr>
        <w:sectPr w:rsidR="00DF17E9" w:rsidSect="00044843">
          <w:type w:val="continuous"/>
          <w:pgSz w:w="11906" w:h="16838" w:code="9"/>
          <w:pgMar w:top="1138" w:right="1138" w:bottom="1138" w:left="1138" w:header="619" w:footer="562" w:gutter="0"/>
          <w:cols w:space="708"/>
          <w:docGrid w:linePitch="360"/>
        </w:sectPr>
      </w:pPr>
    </w:p>
    <w:p w:rsidR="00DF17E9" w:rsidRPr="00943C5F" w:rsidRDefault="00DF17E9" w:rsidP="00044843">
      <w:pPr>
        <w:spacing w:before="120"/>
        <w:rPr>
          <w:rFonts w:asciiTheme="majorHAnsi" w:hAnsiTheme="majorHAnsi"/>
          <w:b/>
          <w:spacing w:val="-2"/>
        </w:rPr>
      </w:pPr>
      <w:r w:rsidRPr="00943C5F">
        <w:rPr>
          <w:rFonts w:asciiTheme="majorHAnsi" w:hAnsiTheme="majorHAnsi"/>
          <w:b/>
          <w:spacing w:val="-2"/>
        </w:rPr>
        <w:lastRenderedPageBreak/>
        <w:t>Net cash flows from operating activities</w:t>
      </w:r>
    </w:p>
    <w:p w:rsidR="00DF17E9" w:rsidRDefault="00DF17E9" w:rsidP="00044843">
      <w:r>
        <w:t xml:space="preserve">The major variations between the actual outcomes and the original published budget for net cash flows from operations are largely consistent with the drivers of the movements in the operating statement. A reconciliation of the net result to net cash flows from operating activities is provided at </w:t>
      </w:r>
      <w:r w:rsidRPr="00380FE8">
        <w:t>Note 5.3.</w:t>
      </w:r>
    </w:p>
    <w:p w:rsidR="00DF17E9" w:rsidRDefault="002F70BC" w:rsidP="00044843">
      <w:r>
        <w:br w:type="column"/>
      </w:r>
      <w:r w:rsidR="00DF17E9">
        <w:lastRenderedPageBreak/>
        <w:t xml:space="preserve">In summary, cash flows from operating activities were $1.6 billion (43 per cent) higher than original published budget. This can largely be explained by the variances contributing to the higher net result from transactions of $1.4 billion relative to published budget. </w:t>
      </w:r>
    </w:p>
    <w:p w:rsidR="00DF17E9" w:rsidRPr="00943C5F" w:rsidRDefault="00DF17E9" w:rsidP="00044843">
      <w:r>
        <w:br w:type="page"/>
      </w:r>
    </w:p>
    <w:p w:rsidR="00DF17E9" w:rsidRPr="00943C5F" w:rsidRDefault="00DF17E9" w:rsidP="00044843">
      <w:pPr>
        <w:spacing w:before="120"/>
        <w:rPr>
          <w:rFonts w:asciiTheme="majorHAnsi" w:hAnsiTheme="majorHAnsi"/>
          <w:b/>
          <w:spacing w:val="-2"/>
        </w:rPr>
      </w:pPr>
      <w:r w:rsidRPr="00943C5F">
        <w:rPr>
          <w:rFonts w:asciiTheme="majorHAnsi" w:hAnsiTheme="majorHAnsi"/>
          <w:b/>
          <w:spacing w:val="-2"/>
        </w:rPr>
        <w:lastRenderedPageBreak/>
        <w:t>Net cash flows from investing activities</w:t>
      </w:r>
    </w:p>
    <w:p w:rsidR="00DF17E9" w:rsidRDefault="00DF17E9" w:rsidP="00044843">
      <w:pPr>
        <w:spacing w:before="120"/>
      </w:pPr>
      <w:r>
        <w:t>Tot</w:t>
      </w:r>
      <w:r w:rsidRPr="00765201">
        <w:t>al</w:t>
      </w:r>
      <w:r>
        <w:t xml:space="preserve"> net investment activities in fixed assets and investments in other sectors was $6.4 billion lower than the original budget. This decrease is primarily due to the </w:t>
      </w:r>
      <w:r w:rsidRPr="006A0059">
        <w:t>revised</w:t>
      </w:r>
      <w:r>
        <w:t xml:space="preserve"> timing from </w:t>
      </w:r>
      <w:r w:rsidRPr="006A0059">
        <w:t>entering into a medium-term lease over the operations of the Port</w:t>
      </w:r>
      <w:r w:rsidR="004350F7">
        <w:t> </w:t>
      </w:r>
      <w:r>
        <w:t>of Melbourne from 2015-16 to 2016-17.</w:t>
      </w:r>
    </w:p>
    <w:p w:rsidR="00DF17E9" w:rsidRPr="00943C5F" w:rsidRDefault="00DF17E9" w:rsidP="00044843">
      <w:pPr>
        <w:spacing w:before="120"/>
        <w:rPr>
          <w:rFonts w:asciiTheme="majorHAnsi" w:hAnsiTheme="majorHAnsi"/>
          <w:b/>
          <w:spacing w:val="-2"/>
        </w:rPr>
      </w:pPr>
      <w:r>
        <w:rPr>
          <w:rFonts w:asciiTheme="majorHAnsi" w:hAnsiTheme="majorHAnsi"/>
          <w:b/>
          <w:spacing w:val="-2"/>
        </w:rPr>
        <w:t>Net cash flows from financing</w:t>
      </w:r>
      <w:r w:rsidRPr="00943C5F">
        <w:rPr>
          <w:rFonts w:asciiTheme="majorHAnsi" w:hAnsiTheme="majorHAnsi"/>
          <w:b/>
          <w:spacing w:val="-2"/>
        </w:rPr>
        <w:t xml:space="preserve"> activities</w:t>
      </w:r>
    </w:p>
    <w:p w:rsidR="00DF17E9" w:rsidRDefault="00DF17E9" w:rsidP="00044843">
      <w:pPr>
        <w:spacing w:before="120"/>
      </w:pPr>
      <w:r>
        <w:t>Tot</w:t>
      </w:r>
      <w:r w:rsidRPr="00765201">
        <w:t>al</w:t>
      </w:r>
      <w:r>
        <w:t xml:space="preserve"> net cash outflows from financing activities were $4.5 billion lower than the original budget. This is primarily due to lower than originally budgeted debt retirement associated with the </w:t>
      </w:r>
      <w:r w:rsidRPr="006A0059">
        <w:t>revised</w:t>
      </w:r>
      <w:r>
        <w:t xml:space="preserve"> timing from </w:t>
      </w:r>
      <w:r w:rsidRPr="006A0059">
        <w:t>entering into a medium-term lease over the operations of the Port</w:t>
      </w:r>
      <w:r>
        <w:t xml:space="preserve"> of Melbourne from 2015-16 to 2016-17.</w:t>
      </w:r>
    </w:p>
    <w:p w:rsidR="00DF17E9" w:rsidRPr="003611BB" w:rsidRDefault="002F70BC" w:rsidP="00044843">
      <w:pPr>
        <w:spacing w:before="120"/>
      </w:pPr>
      <w:r>
        <w:rPr>
          <w:rFonts w:asciiTheme="majorHAnsi" w:hAnsiTheme="majorHAnsi"/>
          <w:b/>
          <w:spacing w:val="-2"/>
        </w:rPr>
        <w:br w:type="column"/>
      </w:r>
      <w:r w:rsidR="00DF17E9">
        <w:rPr>
          <w:rFonts w:asciiTheme="majorHAnsi" w:hAnsiTheme="majorHAnsi"/>
          <w:b/>
          <w:spacing w:val="-2"/>
        </w:rPr>
        <w:lastRenderedPageBreak/>
        <w:t>Consolidated statement of changes in equity</w:t>
      </w:r>
    </w:p>
    <w:p w:rsidR="00DF17E9" w:rsidRDefault="00DF17E9" w:rsidP="00044843">
      <w:r>
        <w:t xml:space="preserve">The major variations between actual outcomes and the original published budget for the statement of changes in equity are largely addressed in the explanations provided previously. </w:t>
      </w:r>
      <w:r w:rsidRPr="00380FE8">
        <w:t xml:space="preserve">The increase in </w:t>
      </w:r>
      <w:r>
        <w:t xml:space="preserve">other sectors revaluation was due to higher than originally budgeted investments in the PNFC sector. This was primarily a </w:t>
      </w:r>
      <w:r w:rsidRPr="006A0059">
        <w:t>result of the revised</w:t>
      </w:r>
      <w:r>
        <w:t xml:space="preserve"> timing from </w:t>
      </w:r>
      <w:r w:rsidRPr="006A0059">
        <w:t>entering into a medium-term lease over the operations of the Port</w:t>
      </w:r>
      <w:r>
        <w:t xml:space="preserve"> of Melbourne from 2015</w:t>
      </w:r>
      <w:r w:rsidR="002F70BC">
        <w:noBreakHyphen/>
      </w:r>
      <w:r>
        <w:t>16 to 2016-17.</w:t>
      </w:r>
    </w:p>
    <w:p w:rsidR="00DF17E9" w:rsidRDefault="00DF17E9" w:rsidP="00044843">
      <w:r w:rsidRPr="00347A56">
        <w:t xml:space="preserve">Also </w:t>
      </w:r>
      <w:r>
        <w:t>contributing to higher than expected investments in the PNFC sector include:</w:t>
      </w:r>
    </w:p>
    <w:p w:rsidR="00DF17E9" w:rsidRDefault="00DF17E9" w:rsidP="004350F7">
      <w:pPr>
        <w:pStyle w:val="ListBullet"/>
      </w:pPr>
      <w:r>
        <w:t>the revaluation of Port of Melbourne Corporation’s non-financial assets to reflect the expected lease transaction price;</w:t>
      </w:r>
    </w:p>
    <w:p w:rsidR="00DF17E9" w:rsidRDefault="00DF17E9" w:rsidP="004350F7">
      <w:pPr>
        <w:pStyle w:val="ListBullet"/>
      </w:pPr>
      <w:r>
        <w:t>the revaluation of the Di</w:t>
      </w:r>
      <w:r w:rsidR="00F90DAE">
        <w:t xml:space="preserve">rector of Housing and </w:t>
      </w:r>
      <w:r w:rsidR="005B64A3">
        <w:t xml:space="preserve">the </w:t>
      </w:r>
      <w:r>
        <w:t>Water</w:t>
      </w:r>
      <w:r w:rsidR="00F90DAE">
        <w:t xml:space="preserve"> Corporations</w:t>
      </w:r>
      <w:r>
        <w:t xml:space="preserve"> non-financial assets, in line with the relevant financial reporting requirements; and</w:t>
      </w:r>
    </w:p>
    <w:p w:rsidR="00DF17E9" w:rsidRDefault="00DF17E9" w:rsidP="004350F7">
      <w:pPr>
        <w:pStyle w:val="ListBullet"/>
      </w:pPr>
      <w:r>
        <w:t>an increase in rail infrastructure investment, mainly the Level Crossing Removal Program.</w:t>
      </w:r>
    </w:p>
    <w:p w:rsidR="00DF17E9" w:rsidRDefault="00DF17E9" w:rsidP="00044843">
      <w:pPr>
        <w:spacing w:before="120"/>
      </w:pPr>
    </w:p>
    <w:p w:rsidR="00DF17E9" w:rsidRDefault="00DF17E9" w:rsidP="003E7A07">
      <w:pPr>
        <w:sectPr w:rsidR="00DF17E9" w:rsidSect="00044843">
          <w:type w:val="continuous"/>
          <w:pgSz w:w="11906" w:h="16838" w:code="9"/>
          <w:pgMar w:top="1138" w:right="1138" w:bottom="1138" w:left="1138" w:header="619" w:footer="562" w:gutter="0"/>
          <w:cols w:num="2" w:space="708"/>
          <w:docGrid w:linePitch="360"/>
        </w:sectPr>
      </w:pPr>
    </w:p>
    <w:p w:rsidR="00DF17E9" w:rsidRPr="00EA564E" w:rsidRDefault="00DF17E9" w:rsidP="00044843">
      <w:pPr>
        <w:pStyle w:val="Subheading"/>
        <w:spacing w:before="120" w:after="120"/>
      </w:pPr>
      <w:r w:rsidRPr="00714171">
        <w:lastRenderedPageBreak/>
        <w:t>Consolidated statement of changes in equity</w:t>
      </w:r>
      <w:r>
        <w:tab/>
      </w:r>
      <w:r>
        <w:tab/>
      </w:r>
      <w:r w:rsidRPr="007F520E">
        <w:rPr>
          <w:rStyle w:val="TableUnitsChar"/>
        </w:rPr>
        <w:t>($ million)</w:t>
      </w:r>
    </w:p>
    <w:tbl>
      <w:tblPr>
        <w:tblStyle w:val="TableDTFGeneral"/>
        <w:tblW w:w="14743" w:type="dxa"/>
        <w:tblLayout w:type="fixed"/>
        <w:tblLook w:val="02A0" w:firstRow="1" w:lastRow="0" w:firstColumn="1" w:lastColumn="0" w:noHBand="1" w:noVBand="0"/>
      </w:tblPr>
      <w:tblGrid>
        <w:gridCol w:w="5558"/>
        <w:gridCol w:w="1412"/>
        <w:gridCol w:w="1564"/>
        <w:gridCol w:w="1843"/>
        <w:gridCol w:w="1843"/>
        <w:gridCol w:w="1417"/>
        <w:gridCol w:w="1106"/>
      </w:tblGrid>
      <w:tr w:rsidR="00DF17E9" w:rsidRPr="00EA564E" w:rsidTr="006E4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8" w:type="dxa"/>
            <w:vAlign w:val="top"/>
          </w:tcPr>
          <w:p w:rsidR="00DF17E9" w:rsidRPr="00EA564E" w:rsidRDefault="006E44BF" w:rsidP="006E44BF">
            <w:pPr>
              <w:spacing w:before="0" w:after="0"/>
              <w:ind w:left="0" w:firstLine="0"/>
              <w:rPr>
                <w:color w:val="FFFFFF"/>
              </w:rPr>
            </w:pPr>
            <w:r>
              <w:rPr>
                <w:color w:val="FFFFFF"/>
              </w:rPr>
              <w:t>G</w:t>
            </w:r>
            <w:r w:rsidR="00DF17E9" w:rsidRPr="00EA564E">
              <w:rPr>
                <w:color w:val="FFFFFF"/>
              </w:rPr>
              <w:t>eneral government sector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before="0" w:after="0"/>
              <w:rPr>
                <w:color w:val="FFFFFF"/>
              </w:rPr>
            </w:pPr>
            <w:r w:rsidRPr="00EA564E">
              <w:rPr>
                <w:color w:val="FFFFFF"/>
              </w:rPr>
              <w:t>Accumulated surplus/(deficit)</w:t>
            </w:r>
          </w:p>
        </w:tc>
        <w:tc>
          <w:tcPr>
            <w:tcW w:w="1564" w:type="dxa"/>
          </w:tcPr>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r w:rsidRPr="00EA564E">
              <w:rPr>
                <w:color w:val="FFFFFF"/>
              </w:rPr>
              <w:t>Non-controlling interest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before="0" w:after="0"/>
              <w:rPr>
                <w:color w:val="FFFFFF"/>
              </w:rPr>
            </w:pPr>
            <w:r w:rsidRPr="00EA564E">
              <w:rPr>
                <w:color w:val="FFFFFF"/>
              </w:rPr>
              <w:t xml:space="preserve">Non-financial assets revaluation surplus </w:t>
            </w:r>
            <w:r w:rsidRPr="00EA564E">
              <w:rPr>
                <w:color w:val="FFFFFF"/>
                <w:vertAlign w:val="superscript"/>
              </w:rPr>
              <w:t>(a)</w:t>
            </w:r>
          </w:p>
        </w:tc>
        <w:tc>
          <w:tcPr>
            <w:tcW w:w="1843" w:type="dxa"/>
          </w:tcPr>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r w:rsidRPr="00EA564E">
              <w:rPr>
                <w:color w:val="FFFFFF"/>
              </w:rPr>
              <w:t xml:space="preserve">Investment in other </w:t>
            </w:r>
          </w:p>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r w:rsidRPr="00EA564E">
              <w:rPr>
                <w:color w:val="FFFFFF"/>
              </w:rPr>
              <w:t xml:space="preserve">sector entities </w:t>
            </w:r>
          </w:p>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r w:rsidRPr="00EA564E">
              <w:rPr>
                <w:color w:val="FFFFFF"/>
              </w:rPr>
              <w:t>revaluation surplus</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before="0" w:after="0"/>
              <w:rPr>
                <w:color w:val="FFFFFF"/>
              </w:rPr>
            </w:pPr>
          </w:p>
          <w:p w:rsidR="00DF17E9" w:rsidRPr="00EA564E" w:rsidRDefault="00DF17E9" w:rsidP="006E44BF">
            <w:pPr>
              <w:spacing w:before="0" w:after="0"/>
              <w:rPr>
                <w:color w:val="FFFFFF"/>
              </w:rPr>
            </w:pPr>
            <w:r w:rsidRPr="00EA564E">
              <w:rPr>
                <w:color w:val="FFFFFF"/>
              </w:rPr>
              <w:t>Other reserves</w:t>
            </w:r>
          </w:p>
        </w:tc>
        <w:tc>
          <w:tcPr>
            <w:tcW w:w="1106" w:type="dxa"/>
          </w:tcPr>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p>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p>
          <w:p w:rsidR="00DF17E9" w:rsidRPr="00EA564E" w:rsidRDefault="00DF17E9" w:rsidP="006E44BF">
            <w:pPr>
              <w:spacing w:before="0" w:after="0"/>
              <w:cnfStyle w:val="100000000000" w:firstRow="1" w:lastRow="0" w:firstColumn="0" w:lastColumn="0" w:oddVBand="0" w:evenVBand="0" w:oddHBand="0" w:evenHBand="0" w:firstRowFirstColumn="0" w:firstRowLastColumn="0" w:lastRowFirstColumn="0" w:lastRowLastColumn="0"/>
              <w:rPr>
                <w:color w:val="FFFFFF"/>
              </w:rPr>
            </w:pPr>
            <w:r w:rsidRPr="00EA564E">
              <w:rPr>
                <w:color w:val="FFFFFF"/>
              </w:rPr>
              <w:t>Total</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b/>
                <w:color w:val="000000"/>
              </w:rPr>
              <w:t>2015-16 published budget</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 xml:space="preserve"> </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 xml:space="preserve"> </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rPr>
                <w:color w:val="000000"/>
              </w:rPr>
            </w:pPr>
            <w:r w:rsidRPr="00EA564E">
              <w:rPr>
                <w:color w:val="000000"/>
              </w:rPr>
              <w:t xml:space="preserve"> </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 xml:space="preserve">Balance at 1 July 2015 </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39 829</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46 843</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44 625</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641</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131 989</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6 366</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rPr>
                <w:color w:val="000000"/>
              </w:rPr>
            </w:pPr>
            <w:r w:rsidRPr="00EA564E">
              <w:rPr>
                <w:color w:val="000000"/>
              </w:rPr>
              <w:t>..</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6 366</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nil"/>
            </w:tcBorders>
          </w:tcPr>
          <w:p w:rsidR="00DF17E9" w:rsidRPr="00EA564E" w:rsidRDefault="00DF17E9" w:rsidP="006E44BF">
            <w:pPr>
              <w:spacing w:after="0"/>
              <w:ind w:left="113" w:hanging="113"/>
              <w:rPr>
                <w:color w:val="000000"/>
              </w:rPr>
            </w:pPr>
            <w:r w:rsidRPr="00EA564E">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412" w:type="dxa"/>
            <w:tcBorders>
              <w:bottom w:val="nil"/>
            </w:tcBorders>
          </w:tcPr>
          <w:p w:rsidR="00DF17E9" w:rsidRPr="00EA564E" w:rsidRDefault="00DF17E9" w:rsidP="006E44BF">
            <w:pPr>
              <w:spacing w:after="0"/>
            </w:pPr>
            <w:r>
              <w:rPr>
                <w:color w:val="000000"/>
              </w:rPr>
              <w:t>957</w:t>
            </w:r>
          </w:p>
        </w:tc>
        <w:tc>
          <w:tcPr>
            <w:tcW w:w="1564"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EA564E" w:rsidRDefault="00DF17E9" w:rsidP="006E44BF">
            <w:pPr>
              <w:spacing w:after="0"/>
            </w:pPr>
            <w:r>
              <w:rPr>
                <w:color w:val="000000"/>
              </w:rPr>
              <w:t>756</w:t>
            </w:r>
          </w:p>
        </w:tc>
        <w:tc>
          <w:tcPr>
            <w:tcW w:w="1843"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1</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EA564E" w:rsidRDefault="00DF17E9" w:rsidP="006E44BF">
            <w:pPr>
              <w:spacing w:after="0"/>
            </w:pPr>
            <w:r>
              <w:rPr>
                <w:color w:val="000000"/>
              </w:rPr>
              <w:t>12</w:t>
            </w:r>
          </w:p>
        </w:tc>
        <w:tc>
          <w:tcPr>
            <w:tcW w:w="1106"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1 727</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rsidR="00DF17E9" w:rsidRPr="00EA564E" w:rsidRDefault="00DF17E9" w:rsidP="006E44BF">
            <w:pPr>
              <w:spacing w:after="0"/>
              <w:ind w:left="113" w:hanging="113"/>
            </w:pPr>
            <w:r w:rsidRPr="00EA564E">
              <w:rPr>
                <w:color w:val="000000"/>
              </w:rPr>
              <w:t xml:space="preserve">Transfer to/(from) </w:t>
            </w:r>
            <w:r w:rsidRPr="00EA564E">
              <w:t xml:space="preserve">accumulated surplus </w:t>
            </w:r>
          </w:p>
        </w:tc>
        <w:tc>
          <w:tcPr>
            <w:cnfStyle w:val="000010000000" w:firstRow="0" w:lastRow="0" w:firstColumn="0" w:lastColumn="0" w:oddVBand="1" w:evenVBand="0" w:oddHBand="0" w:evenHBand="0" w:firstRowFirstColumn="0" w:firstRowLastColumn="0" w:lastRowFirstColumn="0" w:lastRowLastColumn="0"/>
            <w:tcW w:w="1412"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564"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843"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106"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12" w:space="0" w:color="auto"/>
            </w:tcBorders>
          </w:tcPr>
          <w:p w:rsidR="00DF17E9" w:rsidRPr="00EA564E" w:rsidRDefault="00DF17E9" w:rsidP="006E44BF">
            <w:pPr>
              <w:spacing w:after="0"/>
              <w:ind w:left="113" w:hanging="113"/>
              <w:rPr>
                <w:color w:val="000000"/>
              </w:rPr>
            </w:pPr>
            <w:r w:rsidRPr="00EA564E">
              <w:rPr>
                <w:b/>
                <w:color w:val="000000"/>
              </w:rPr>
              <w:t>Total equity at end of period</w:t>
            </w:r>
          </w:p>
        </w:tc>
        <w:tc>
          <w:tcPr>
            <w:cnfStyle w:val="000010000000" w:firstRow="0" w:lastRow="0" w:firstColumn="0" w:lastColumn="0" w:oddVBand="1" w:evenVBand="0" w:oddHBand="0" w:evenHBand="0" w:firstRowFirstColumn="0" w:firstRowLastColumn="0" w:lastRowFirstColumn="0" w:lastRowLastColumn="0"/>
            <w:tcW w:w="1412"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47 152</w:t>
            </w:r>
          </w:p>
        </w:tc>
        <w:tc>
          <w:tcPr>
            <w:tcW w:w="1564"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b/>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47 599</w:t>
            </w:r>
          </w:p>
        </w:tc>
        <w:tc>
          <w:tcPr>
            <w:tcW w:w="1843"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44 627</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EA564E" w:rsidRDefault="00DF17E9" w:rsidP="006E44BF">
            <w:pPr>
              <w:spacing w:after="0"/>
            </w:pPr>
            <w:r>
              <w:rPr>
                <w:b/>
                <w:color w:val="000000"/>
              </w:rPr>
              <w:t>653</w:t>
            </w:r>
          </w:p>
        </w:tc>
        <w:tc>
          <w:tcPr>
            <w:tcW w:w="1106"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140 082</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12" w:space="0" w:color="auto"/>
            </w:tcBorders>
          </w:tcPr>
          <w:p w:rsidR="00DF17E9" w:rsidRPr="00EA564E" w:rsidRDefault="00DF17E9" w:rsidP="006E44BF">
            <w:pPr>
              <w:spacing w:after="0"/>
              <w:ind w:left="113" w:hanging="113"/>
              <w:rPr>
                <w:color w:val="000000"/>
              </w:rPr>
            </w:pPr>
            <w:r w:rsidRPr="00EA564E">
              <w:rPr>
                <w:b/>
                <w:color w:val="000000"/>
              </w:rPr>
              <w:t>2015-16 revised budget</w:t>
            </w:r>
          </w:p>
        </w:tc>
        <w:tc>
          <w:tcPr>
            <w:cnfStyle w:val="000010000000" w:firstRow="0" w:lastRow="0" w:firstColumn="0" w:lastColumn="0" w:oddVBand="1" w:evenVBand="0" w:oddHBand="0" w:evenHBand="0" w:firstRowFirstColumn="0" w:firstRowLastColumn="0" w:lastRowFirstColumn="0" w:lastRowLastColumn="0"/>
            <w:tcW w:w="1412" w:type="dxa"/>
            <w:tcBorders>
              <w:top w:val="single" w:sz="12" w:space="0" w:color="auto"/>
            </w:tcBorders>
          </w:tcPr>
          <w:p w:rsidR="00DF17E9" w:rsidRPr="00EA564E" w:rsidRDefault="00DF17E9" w:rsidP="006E44BF">
            <w:pPr>
              <w:spacing w:after="0"/>
              <w:rPr>
                <w:color w:val="000000"/>
              </w:rPr>
            </w:pPr>
            <w:r w:rsidRPr="00EA564E">
              <w:rPr>
                <w:color w:val="000000"/>
              </w:rPr>
              <w:t xml:space="preserve"> </w:t>
            </w:r>
          </w:p>
        </w:tc>
        <w:tc>
          <w:tcPr>
            <w:tcW w:w="1564"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tcBorders>
          </w:tcPr>
          <w:p w:rsidR="00DF17E9" w:rsidRPr="00EA564E" w:rsidRDefault="00DF17E9" w:rsidP="006E44BF">
            <w:pPr>
              <w:spacing w:after="0"/>
              <w:rPr>
                <w:color w:val="000000"/>
              </w:rPr>
            </w:pPr>
            <w:r w:rsidRPr="00EA564E">
              <w:rPr>
                <w:color w:val="000000"/>
              </w:rPr>
              <w:t xml:space="preserve"> </w:t>
            </w:r>
          </w:p>
        </w:tc>
        <w:tc>
          <w:tcPr>
            <w:tcW w:w="1843"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17" w:type="dxa"/>
            <w:tcBorders>
              <w:top w:val="single" w:sz="12" w:space="0" w:color="auto"/>
            </w:tcBorders>
          </w:tcPr>
          <w:p w:rsidR="00DF17E9" w:rsidRPr="00EA564E" w:rsidRDefault="00DF17E9" w:rsidP="006E44BF">
            <w:pPr>
              <w:spacing w:after="0"/>
              <w:rPr>
                <w:color w:val="000000"/>
              </w:rPr>
            </w:pPr>
            <w:r w:rsidRPr="00EA564E">
              <w:rPr>
                <w:color w:val="000000"/>
              </w:rPr>
              <w:t xml:space="preserve"> </w:t>
            </w:r>
          </w:p>
        </w:tc>
        <w:tc>
          <w:tcPr>
            <w:tcW w:w="1106"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Balance at 1 July 2015</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45 764</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43 355</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46 413</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728</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136 310</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1 638</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rPr>
                <w:color w:val="000000"/>
              </w:rPr>
            </w:pPr>
            <w:r w:rsidRPr="00EA564E">
              <w:rPr>
                <w:color w:val="000000"/>
              </w:rPr>
              <w:t>..</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1 638</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(1 719)</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pPr>
            <w:r>
              <w:rPr>
                <w:color w:val="000000"/>
              </w:rPr>
              <w:t>471</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1 471</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(36)</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187</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nil"/>
            </w:tcBorders>
          </w:tcPr>
          <w:p w:rsidR="00DF17E9" w:rsidRPr="00EA564E" w:rsidRDefault="00DF17E9" w:rsidP="006E44BF">
            <w:pPr>
              <w:spacing w:after="0"/>
              <w:ind w:left="113" w:hanging="113"/>
            </w:pPr>
            <w:r w:rsidRPr="00EA564E">
              <w:rPr>
                <w:color w:val="000000"/>
              </w:rPr>
              <w:t xml:space="preserve">Transfer to/(from) </w:t>
            </w:r>
            <w:r w:rsidRPr="00EA564E">
              <w:t xml:space="preserve">accumulated surplus </w:t>
            </w:r>
          </w:p>
        </w:tc>
        <w:tc>
          <w:tcPr>
            <w:cnfStyle w:val="000010000000" w:firstRow="0" w:lastRow="0" w:firstColumn="0" w:lastColumn="0" w:oddVBand="1" w:evenVBand="0" w:oddHBand="0" w:evenHBand="0" w:firstRowFirstColumn="0" w:firstRowLastColumn="0" w:lastRowFirstColumn="0" w:lastRowLastColumn="0"/>
            <w:tcW w:w="1412" w:type="dxa"/>
            <w:tcBorders>
              <w:bottom w:val="nil"/>
            </w:tcBorders>
          </w:tcPr>
          <w:p w:rsidR="00DF17E9" w:rsidRPr="00EA564E" w:rsidRDefault="00DF17E9" w:rsidP="006E44BF">
            <w:pPr>
              <w:spacing w:after="0"/>
            </w:pPr>
            <w:r>
              <w:rPr>
                <w:color w:val="000000"/>
              </w:rPr>
              <w:t>(1)</w:t>
            </w:r>
          </w:p>
        </w:tc>
        <w:tc>
          <w:tcPr>
            <w:tcW w:w="1564"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EA564E" w:rsidRDefault="00DF17E9" w:rsidP="006E44BF">
            <w:pPr>
              <w:spacing w:after="0"/>
            </w:pPr>
            <w:r>
              <w:rPr>
                <w:color w:val="000000"/>
              </w:rPr>
              <w:t>1</w:t>
            </w:r>
          </w:p>
        </w:tc>
        <w:tc>
          <w:tcPr>
            <w:tcW w:w="1843"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EA564E" w:rsidRDefault="00DF17E9" w:rsidP="006E44BF">
            <w:pPr>
              <w:spacing w:after="0"/>
              <w:rPr>
                <w:color w:val="000000"/>
              </w:rPr>
            </w:pPr>
            <w:r w:rsidRPr="00EA564E">
              <w:rPr>
                <w:color w:val="000000"/>
              </w:rPr>
              <w:t>..</w:t>
            </w:r>
          </w:p>
        </w:tc>
        <w:tc>
          <w:tcPr>
            <w:tcW w:w="1106"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rsidR="00DF17E9" w:rsidRPr="00EA564E" w:rsidRDefault="00DF17E9" w:rsidP="006E44BF">
            <w:pPr>
              <w:spacing w:after="0"/>
              <w:ind w:left="113" w:hanging="113"/>
              <w:rPr>
                <w:color w:val="000000"/>
              </w:rPr>
            </w:pPr>
            <w:r w:rsidRPr="00EA564E">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412"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564"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843"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106"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12" w:space="0" w:color="auto"/>
            </w:tcBorders>
          </w:tcPr>
          <w:p w:rsidR="00DF17E9" w:rsidRPr="00EA564E" w:rsidRDefault="00DF17E9" w:rsidP="006E44BF">
            <w:pPr>
              <w:spacing w:after="0"/>
              <w:ind w:left="113" w:hanging="113"/>
              <w:rPr>
                <w:color w:val="000000"/>
              </w:rPr>
            </w:pPr>
            <w:r w:rsidRPr="00EA564E">
              <w:rPr>
                <w:b/>
                <w:color w:val="000000"/>
              </w:rPr>
              <w:t>Total equity at end of period</w:t>
            </w:r>
          </w:p>
        </w:tc>
        <w:tc>
          <w:tcPr>
            <w:cnfStyle w:val="000010000000" w:firstRow="0" w:lastRow="0" w:firstColumn="0" w:lastColumn="0" w:oddVBand="1" w:evenVBand="0" w:oddHBand="0" w:evenHBand="0" w:firstRowFirstColumn="0" w:firstRowLastColumn="0" w:lastRowFirstColumn="0" w:lastRowLastColumn="0"/>
            <w:tcW w:w="1412"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45 682</w:t>
            </w:r>
          </w:p>
        </w:tc>
        <w:tc>
          <w:tcPr>
            <w:tcW w:w="1564"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43 826</w:t>
            </w:r>
          </w:p>
        </w:tc>
        <w:tc>
          <w:tcPr>
            <w:tcW w:w="1843"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47 884</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EA564E" w:rsidRDefault="00DF17E9" w:rsidP="006E44BF">
            <w:pPr>
              <w:spacing w:after="0"/>
            </w:pPr>
            <w:r>
              <w:rPr>
                <w:b/>
                <w:color w:val="000000"/>
              </w:rPr>
              <w:t>692</w:t>
            </w:r>
          </w:p>
        </w:tc>
        <w:tc>
          <w:tcPr>
            <w:tcW w:w="1106"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138 084</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12" w:space="0" w:color="auto"/>
            </w:tcBorders>
          </w:tcPr>
          <w:p w:rsidR="00DF17E9" w:rsidRPr="00EA564E" w:rsidRDefault="00DF17E9" w:rsidP="006E44BF">
            <w:pPr>
              <w:spacing w:after="0"/>
              <w:ind w:left="113" w:hanging="113"/>
              <w:rPr>
                <w:color w:val="000000"/>
              </w:rPr>
            </w:pPr>
            <w:r w:rsidRPr="00EA564E">
              <w:rPr>
                <w:b/>
                <w:color w:val="000000"/>
              </w:rPr>
              <w:t>2015-16 actual</w:t>
            </w:r>
          </w:p>
        </w:tc>
        <w:tc>
          <w:tcPr>
            <w:cnfStyle w:val="000010000000" w:firstRow="0" w:lastRow="0" w:firstColumn="0" w:lastColumn="0" w:oddVBand="1" w:evenVBand="0" w:oddHBand="0" w:evenHBand="0" w:firstRowFirstColumn="0" w:firstRowLastColumn="0" w:lastRowFirstColumn="0" w:lastRowLastColumn="0"/>
            <w:tcW w:w="1412" w:type="dxa"/>
            <w:tcBorders>
              <w:top w:val="single" w:sz="12" w:space="0" w:color="auto"/>
            </w:tcBorders>
          </w:tcPr>
          <w:p w:rsidR="00DF17E9" w:rsidRPr="00EA564E" w:rsidRDefault="00DF17E9" w:rsidP="006E44BF">
            <w:pPr>
              <w:spacing w:after="0"/>
              <w:rPr>
                <w:color w:val="000000"/>
              </w:rPr>
            </w:pPr>
            <w:r w:rsidRPr="00EA564E">
              <w:rPr>
                <w:color w:val="000000"/>
              </w:rPr>
              <w:t xml:space="preserve"> </w:t>
            </w:r>
          </w:p>
        </w:tc>
        <w:tc>
          <w:tcPr>
            <w:tcW w:w="1564"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tcBorders>
          </w:tcPr>
          <w:p w:rsidR="00DF17E9" w:rsidRPr="00EA564E" w:rsidRDefault="00DF17E9" w:rsidP="006E44BF">
            <w:pPr>
              <w:spacing w:after="0"/>
              <w:rPr>
                <w:color w:val="000000"/>
              </w:rPr>
            </w:pPr>
            <w:r w:rsidRPr="00EA564E">
              <w:rPr>
                <w:color w:val="000000"/>
              </w:rPr>
              <w:t xml:space="preserve"> </w:t>
            </w:r>
          </w:p>
        </w:tc>
        <w:tc>
          <w:tcPr>
            <w:tcW w:w="1843"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17" w:type="dxa"/>
            <w:tcBorders>
              <w:top w:val="single" w:sz="12" w:space="0" w:color="auto"/>
            </w:tcBorders>
          </w:tcPr>
          <w:p w:rsidR="00DF17E9" w:rsidRPr="00EA564E" w:rsidRDefault="00DF17E9" w:rsidP="006E44BF">
            <w:pPr>
              <w:spacing w:after="0"/>
              <w:rPr>
                <w:color w:val="000000"/>
              </w:rPr>
            </w:pPr>
            <w:r w:rsidRPr="00EA564E">
              <w:rPr>
                <w:color w:val="000000"/>
              </w:rPr>
              <w:t xml:space="preserve"> </w:t>
            </w:r>
          </w:p>
        </w:tc>
        <w:tc>
          <w:tcPr>
            <w:tcW w:w="1106"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 xml:space="preserve"> </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 xml:space="preserve">Balance at 1 July 2015 </w:t>
            </w:r>
            <w:r w:rsidRPr="00EA564E">
              <w:rPr>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pPr>
            <w:r w:rsidRPr="00EA564E">
              <w:rPr>
                <w:color w:val="000000"/>
              </w:rPr>
              <w:t xml:space="preserve">45 </w:t>
            </w:r>
            <w:r w:rsidRPr="00EA564E">
              <w:t>764</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pPr>
            <w:r w:rsidRPr="00EA564E">
              <w:rPr>
                <w:color w:val="000000"/>
              </w:rPr>
              <w:t>43 355</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46 494</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728</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 xml:space="preserve">136 </w:t>
            </w:r>
            <w:r w:rsidRPr="00EA564E">
              <w:t>391</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1 817</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Pr>
                <w:color w:val="000000"/>
              </w:rPr>
              <w:t>..</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rPr>
                <w:color w:val="000000"/>
              </w:rPr>
            </w:pPr>
            <w:r>
              <w:rPr>
                <w:color w:val="000000"/>
              </w:rPr>
              <w:t>..</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1 817</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pPr>
            <w:r w:rsidRPr="00EA564E">
              <w:rPr>
                <w:color w:val="000000"/>
              </w:rPr>
              <w:t>(3 106</w:t>
            </w:r>
            <w:r w:rsidRPr="00EA564E">
              <w:t>)</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pPr>
            <w:r w:rsidRPr="00EA564E">
              <w:rPr>
                <w:color w:val="000000"/>
              </w:rPr>
              <w:t>6 236</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10 533</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(177)</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13 486</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nil"/>
            </w:tcBorders>
          </w:tcPr>
          <w:p w:rsidR="00DF17E9" w:rsidRPr="00EA564E" w:rsidRDefault="00DF17E9" w:rsidP="006E44BF">
            <w:pPr>
              <w:spacing w:after="0"/>
              <w:ind w:left="113" w:hanging="113"/>
              <w:rPr>
                <w:color w:val="000000"/>
              </w:rPr>
            </w:pPr>
            <w:r w:rsidRPr="00EA564E">
              <w:rPr>
                <w:color w:val="000000"/>
              </w:rPr>
              <w:t xml:space="preserve">Transfer to/(from) accumulated surplus </w:t>
            </w:r>
          </w:p>
        </w:tc>
        <w:tc>
          <w:tcPr>
            <w:cnfStyle w:val="000010000000" w:firstRow="0" w:lastRow="0" w:firstColumn="0" w:lastColumn="0" w:oddVBand="1" w:evenVBand="0" w:oddHBand="0" w:evenHBand="0" w:firstRowFirstColumn="0" w:firstRowLastColumn="0" w:lastRowFirstColumn="0" w:lastRowLastColumn="0"/>
            <w:tcW w:w="1412" w:type="dxa"/>
            <w:tcBorders>
              <w:bottom w:val="nil"/>
            </w:tcBorders>
          </w:tcPr>
          <w:p w:rsidR="00DF17E9" w:rsidRPr="00EA564E" w:rsidRDefault="00DF17E9" w:rsidP="006E44BF">
            <w:pPr>
              <w:spacing w:after="0"/>
            </w:pPr>
            <w:r>
              <w:rPr>
                <w:color w:val="000000"/>
              </w:rPr>
              <w:t>(22)</w:t>
            </w:r>
          </w:p>
        </w:tc>
        <w:tc>
          <w:tcPr>
            <w:tcW w:w="1564"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EA564E" w:rsidRDefault="00DF17E9" w:rsidP="006E44BF">
            <w:pPr>
              <w:spacing w:after="0"/>
            </w:pPr>
            <w:r>
              <w:rPr>
                <w:color w:val="000000"/>
              </w:rPr>
              <w:t>22</w:t>
            </w:r>
          </w:p>
        </w:tc>
        <w:tc>
          <w:tcPr>
            <w:tcW w:w="1843"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EA564E" w:rsidRDefault="00DF17E9" w:rsidP="006E44BF">
            <w:pPr>
              <w:spacing w:after="0"/>
              <w:rPr>
                <w:color w:val="000000"/>
              </w:rPr>
            </w:pPr>
            <w:r>
              <w:rPr>
                <w:color w:val="000000"/>
              </w:rPr>
              <w:t>..</w:t>
            </w:r>
          </w:p>
        </w:tc>
        <w:tc>
          <w:tcPr>
            <w:tcW w:w="1106"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rsidR="00DF17E9" w:rsidRPr="00EA564E" w:rsidRDefault="00DF17E9" w:rsidP="006E44BF">
            <w:pPr>
              <w:spacing w:after="0"/>
              <w:ind w:left="113" w:hanging="113"/>
              <w:rPr>
                <w:color w:val="000000"/>
              </w:rPr>
            </w:pPr>
            <w:r w:rsidRPr="00EA564E">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412"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564"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843"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106"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12" w:space="0" w:color="auto"/>
            </w:tcBorders>
          </w:tcPr>
          <w:p w:rsidR="00DF17E9" w:rsidRPr="00EA564E" w:rsidRDefault="00DF17E9" w:rsidP="006E44BF">
            <w:pPr>
              <w:spacing w:after="0"/>
              <w:ind w:left="113" w:hanging="113"/>
              <w:rPr>
                <w:color w:val="000000"/>
              </w:rPr>
            </w:pPr>
            <w:r w:rsidRPr="00EA564E">
              <w:rPr>
                <w:b/>
                <w:color w:val="000000"/>
              </w:rPr>
              <w:t>Total equity as at 30 June 2016</w:t>
            </w:r>
          </w:p>
        </w:tc>
        <w:tc>
          <w:tcPr>
            <w:cnfStyle w:val="000010000000" w:firstRow="0" w:lastRow="0" w:firstColumn="0" w:lastColumn="0" w:oddVBand="1" w:evenVBand="0" w:oddHBand="0" w:evenHBand="0" w:firstRowFirstColumn="0" w:firstRowLastColumn="0" w:lastRowFirstColumn="0" w:lastRowLastColumn="0"/>
            <w:tcW w:w="1412" w:type="dxa"/>
            <w:tcBorders>
              <w:top w:val="single" w:sz="6" w:space="0" w:color="auto"/>
              <w:bottom w:val="single" w:sz="12" w:space="0" w:color="auto"/>
            </w:tcBorders>
          </w:tcPr>
          <w:p w:rsidR="00DF17E9" w:rsidRPr="00EA564E" w:rsidRDefault="00DF17E9" w:rsidP="006E44BF">
            <w:pPr>
              <w:spacing w:after="0"/>
            </w:pPr>
            <w:r w:rsidRPr="00EA564E">
              <w:rPr>
                <w:b/>
                <w:color w:val="000000"/>
              </w:rPr>
              <w:t>44 454</w:t>
            </w:r>
          </w:p>
        </w:tc>
        <w:tc>
          <w:tcPr>
            <w:tcW w:w="1564"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b/>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EA564E" w:rsidRDefault="00DF17E9" w:rsidP="006E44BF">
            <w:pPr>
              <w:spacing w:after="0"/>
            </w:pPr>
            <w:r w:rsidRPr="00EA564E">
              <w:rPr>
                <w:b/>
                <w:color w:val="000000"/>
              </w:rPr>
              <w:t>49 613</w:t>
            </w:r>
          </w:p>
        </w:tc>
        <w:tc>
          <w:tcPr>
            <w:tcW w:w="1843"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b/>
                <w:color w:val="000000"/>
              </w:rPr>
              <w:t>57 027</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EA564E" w:rsidRDefault="00DF17E9" w:rsidP="006E44BF">
            <w:pPr>
              <w:spacing w:after="0"/>
            </w:pPr>
            <w:r>
              <w:rPr>
                <w:b/>
                <w:color w:val="000000"/>
              </w:rPr>
              <w:t>551</w:t>
            </w:r>
          </w:p>
        </w:tc>
        <w:tc>
          <w:tcPr>
            <w:tcW w:w="1106"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b/>
                <w:color w:val="000000"/>
              </w:rPr>
              <w:t>151 695</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12" w:space="0" w:color="auto"/>
            </w:tcBorders>
          </w:tcPr>
          <w:p w:rsidR="00DF17E9" w:rsidRPr="00EA564E" w:rsidRDefault="00DF17E9" w:rsidP="006E44BF">
            <w:pPr>
              <w:spacing w:after="0"/>
              <w:ind w:left="113" w:hanging="113"/>
              <w:rPr>
                <w:color w:val="000000"/>
              </w:rPr>
            </w:pPr>
            <w:r w:rsidRPr="00EA564E">
              <w:rPr>
                <w:b/>
                <w:color w:val="000000"/>
              </w:rPr>
              <w:t>Variance to published budget</w:t>
            </w:r>
          </w:p>
        </w:tc>
        <w:tc>
          <w:tcPr>
            <w:cnfStyle w:val="000010000000" w:firstRow="0" w:lastRow="0" w:firstColumn="0" w:lastColumn="0" w:oddVBand="1" w:evenVBand="0" w:oddHBand="0" w:evenHBand="0" w:firstRowFirstColumn="0" w:firstRowLastColumn="0" w:lastRowFirstColumn="0" w:lastRowLastColumn="0"/>
            <w:tcW w:w="1412" w:type="dxa"/>
            <w:tcBorders>
              <w:top w:val="single" w:sz="12" w:space="0" w:color="auto"/>
            </w:tcBorders>
          </w:tcPr>
          <w:p w:rsidR="00DF17E9" w:rsidRPr="00EA564E" w:rsidRDefault="00DF17E9" w:rsidP="006E44BF">
            <w:pPr>
              <w:spacing w:after="0"/>
              <w:rPr>
                <w:color w:val="000000"/>
              </w:rPr>
            </w:pPr>
            <w:r w:rsidRPr="00EA564E">
              <w:rPr>
                <w:b/>
                <w:color w:val="000000"/>
              </w:rPr>
              <w:t xml:space="preserve"> </w:t>
            </w:r>
          </w:p>
        </w:tc>
        <w:tc>
          <w:tcPr>
            <w:tcW w:w="1564"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tcBorders>
          </w:tcPr>
          <w:p w:rsidR="00DF17E9" w:rsidRPr="00EA564E" w:rsidRDefault="00DF17E9" w:rsidP="006E44BF">
            <w:pPr>
              <w:spacing w:after="0"/>
              <w:rPr>
                <w:color w:val="000000"/>
              </w:rPr>
            </w:pPr>
            <w:r w:rsidRPr="00EA564E">
              <w:rPr>
                <w:b/>
                <w:color w:val="000000"/>
              </w:rPr>
              <w:t xml:space="preserve"> </w:t>
            </w:r>
          </w:p>
        </w:tc>
        <w:tc>
          <w:tcPr>
            <w:tcW w:w="1843"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17" w:type="dxa"/>
            <w:tcBorders>
              <w:top w:val="single" w:sz="12" w:space="0" w:color="auto"/>
            </w:tcBorders>
          </w:tcPr>
          <w:p w:rsidR="00DF17E9" w:rsidRPr="00EA564E" w:rsidRDefault="00DF17E9" w:rsidP="006E44BF">
            <w:pPr>
              <w:spacing w:after="0"/>
              <w:rPr>
                <w:color w:val="000000"/>
              </w:rPr>
            </w:pPr>
            <w:r w:rsidRPr="00EA564E">
              <w:rPr>
                <w:b/>
                <w:color w:val="000000"/>
              </w:rPr>
              <w:t xml:space="preserve"> </w:t>
            </w:r>
          </w:p>
        </w:tc>
        <w:tc>
          <w:tcPr>
            <w:tcW w:w="1106"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 xml:space="preserve"> </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Balance at 1 July 2015</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5 935</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pPr>
            <w:r w:rsidRPr="00EA564E">
              <w:rPr>
                <w:color w:val="000000"/>
              </w:rPr>
              <w:t xml:space="preserve">(3 </w:t>
            </w:r>
            <w:r w:rsidRPr="00EA564E">
              <w:t>489)</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 xml:space="preserve">1 </w:t>
            </w:r>
            <w:r w:rsidRPr="00EA564E">
              <w:t>869</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87</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 xml:space="preserve">4 </w:t>
            </w:r>
            <w:r w:rsidRPr="00EA564E">
              <w:t>402</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pPr>
            <w:r w:rsidRPr="00EA564E">
              <w:rPr>
                <w:color w:val="000000"/>
              </w:rPr>
              <w:t>(4 549</w:t>
            </w:r>
            <w:r w:rsidRPr="00EA564E">
              <w:t>)</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sidRPr="00EA564E">
              <w:rPr>
                <w:color w:val="000000"/>
              </w:rPr>
              <w:t>..</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(4 549</w:t>
            </w:r>
            <w:r w:rsidRPr="00EA564E">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nil"/>
            </w:tcBorders>
          </w:tcPr>
          <w:p w:rsidR="00DF17E9" w:rsidRPr="00EA564E" w:rsidRDefault="00DF17E9" w:rsidP="006E44BF">
            <w:pPr>
              <w:spacing w:after="0"/>
              <w:ind w:left="113" w:hanging="113"/>
              <w:rPr>
                <w:color w:val="000000"/>
              </w:rPr>
            </w:pPr>
            <w:r w:rsidRPr="00EA564E">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412" w:type="dxa"/>
            <w:tcBorders>
              <w:bottom w:val="nil"/>
            </w:tcBorders>
          </w:tcPr>
          <w:p w:rsidR="00DF17E9" w:rsidRPr="00EA564E" w:rsidRDefault="00DF17E9" w:rsidP="006E44BF">
            <w:pPr>
              <w:spacing w:after="0"/>
            </w:pPr>
            <w:r w:rsidRPr="00EA564E">
              <w:rPr>
                <w:color w:val="000000"/>
              </w:rPr>
              <w:t>(4</w:t>
            </w:r>
            <w:r w:rsidRPr="00EA564E">
              <w:t xml:space="preserve"> 063)</w:t>
            </w:r>
          </w:p>
        </w:tc>
        <w:tc>
          <w:tcPr>
            <w:tcW w:w="1564"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EA564E" w:rsidRDefault="00DF17E9" w:rsidP="006E44BF">
            <w:pPr>
              <w:spacing w:after="0"/>
            </w:pPr>
            <w:r w:rsidRPr="00EA564E">
              <w:rPr>
                <w:color w:val="000000"/>
              </w:rPr>
              <w:t>5 480</w:t>
            </w:r>
          </w:p>
        </w:tc>
        <w:tc>
          <w:tcPr>
            <w:tcW w:w="1843"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10 531</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EA564E" w:rsidRDefault="00DF17E9" w:rsidP="006E44BF">
            <w:pPr>
              <w:spacing w:after="0"/>
            </w:pPr>
            <w:r>
              <w:rPr>
                <w:color w:val="000000"/>
              </w:rPr>
              <w:t>(189)</w:t>
            </w:r>
          </w:p>
        </w:tc>
        <w:tc>
          <w:tcPr>
            <w:tcW w:w="1106"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 xml:space="preserve">11 </w:t>
            </w:r>
            <w:r w:rsidRPr="00EA564E">
              <w:t>760</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rsidR="00DF17E9" w:rsidRPr="00EA564E" w:rsidRDefault="00DF17E9" w:rsidP="006E44BF">
            <w:pPr>
              <w:spacing w:after="0"/>
              <w:ind w:left="113" w:hanging="113"/>
            </w:pPr>
            <w:r w:rsidRPr="00EA564E">
              <w:rPr>
                <w:color w:val="000000"/>
              </w:rPr>
              <w:t xml:space="preserve">Transfer to/(from) </w:t>
            </w:r>
            <w:r w:rsidRPr="00EA564E">
              <w:t xml:space="preserve">accumulated surplus </w:t>
            </w:r>
          </w:p>
        </w:tc>
        <w:tc>
          <w:tcPr>
            <w:cnfStyle w:val="000010000000" w:firstRow="0" w:lastRow="0" w:firstColumn="0" w:lastColumn="0" w:oddVBand="1" w:evenVBand="0" w:oddHBand="0" w:evenHBand="0" w:firstRowFirstColumn="0" w:firstRowLastColumn="0" w:lastRowFirstColumn="0" w:lastRowLastColumn="0"/>
            <w:tcW w:w="1412" w:type="dxa"/>
            <w:tcBorders>
              <w:bottom w:val="single" w:sz="6" w:space="0" w:color="auto"/>
            </w:tcBorders>
          </w:tcPr>
          <w:p w:rsidR="00DF17E9" w:rsidRPr="00EA564E" w:rsidRDefault="00DF17E9" w:rsidP="006E44BF">
            <w:pPr>
              <w:spacing w:after="0"/>
            </w:pPr>
            <w:r>
              <w:rPr>
                <w:color w:val="000000"/>
              </w:rPr>
              <w:t>(22)</w:t>
            </w:r>
          </w:p>
        </w:tc>
        <w:tc>
          <w:tcPr>
            <w:tcW w:w="1564"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EA564E" w:rsidRDefault="00DF17E9" w:rsidP="006E44BF">
            <w:pPr>
              <w:spacing w:after="0"/>
            </w:pPr>
            <w:r>
              <w:rPr>
                <w:color w:val="000000"/>
              </w:rPr>
              <w:t>22</w:t>
            </w:r>
          </w:p>
        </w:tc>
        <w:tc>
          <w:tcPr>
            <w:tcW w:w="1843"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106"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12" w:space="0" w:color="auto"/>
            </w:tcBorders>
          </w:tcPr>
          <w:p w:rsidR="00DF17E9" w:rsidRPr="00EA564E" w:rsidRDefault="00DF17E9" w:rsidP="006E44BF">
            <w:pPr>
              <w:spacing w:after="0"/>
              <w:ind w:left="113" w:hanging="113"/>
              <w:rPr>
                <w:color w:val="000000"/>
              </w:rPr>
            </w:pPr>
            <w:r w:rsidRPr="00EA564E">
              <w:rPr>
                <w:b/>
                <w:color w:val="000000"/>
              </w:rPr>
              <w:t>Total equity at end of the year</w:t>
            </w:r>
          </w:p>
        </w:tc>
        <w:tc>
          <w:tcPr>
            <w:cnfStyle w:val="000010000000" w:firstRow="0" w:lastRow="0" w:firstColumn="0" w:lastColumn="0" w:oddVBand="1" w:evenVBand="0" w:oddHBand="0" w:evenHBand="0" w:firstRowFirstColumn="0" w:firstRowLastColumn="0" w:lastRowFirstColumn="0" w:lastRowLastColumn="0"/>
            <w:tcW w:w="1412"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(2 698)</w:t>
            </w:r>
          </w:p>
        </w:tc>
        <w:tc>
          <w:tcPr>
            <w:tcW w:w="1564"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b/>
                <w:color w:val="000000"/>
              </w:rPr>
            </w:pPr>
            <w:r w:rsidRPr="00EA564E">
              <w:rPr>
                <w:b/>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2 014</w:t>
            </w:r>
          </w:p>
        </w:tc>
        <w:tc>
          <w:tcPr>
            <w:tcW w:w="1843"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12 400</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EA564E" w:rsidRDefault="00DF17E9" w:rsidP="006E44BF">
            <w:pPr>
              <w:spacing w:after="0"/>
            </w:pPr>
            <w:r>
              <w:rPr>
                <w:b/>
                <w:color w:val="000000"/>
              </w:rPr>
              <w:t>(102)</w:t>
            </w:r>
          </w:p>
        </w:tc>
        <w:tc>
          <w:tcPr>
            <w:tcW w:w="1106"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11 613</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12" w:space="0" w:color="auto"/>
            </w:tcBorders>
          </w:tcPr>
          <w:p w:rsidR="00DF17E9" w:rsidRPr="00EA564E" w:rsidRDefault="00DF17E9" w:rsidP="006E44BF">
            <w:pPr>
              <w:spacing w:after="0"/>
              <w:ind w:left="113" w:hanging="113"/>
              <w:rPr>
                <w:color w:val="000000"/>
              </w:rPr>
            </w:pPr>
            <w:r w:rsidRPr="00EA564E">
              <w:rPr>
                <w:b/>
                <w:color w:val="000000"/>
              </w:rPr>
              <w:t>Variance to revised budget</w:t>
            </w:r>
          </w:p>
        </w:tc>
        <w:tc>
          <w:tcPr>
            <w:cnfStyle w:val="000010000000" w:firstRow="0" w:lastRow="0" w:firstColumn="0" w:lastColumn="0" w:oddVBand="1" w:evenVBand="0" w:oddHBand="0" w:evenHBand="0" w:firstRowFirstColumn="0" w:firstRowLastColumn="0" w:lastRowFirstColumn="0" w:lastRowLastColumn="0"/>
            <w:tcW w:w="1412" w:type="dxa"/>
            <w:tcBorders>
              <w:top w:val="single" w:sz="12" w:space="0" w:color="auto"/>
            </w:tcBorders>
          </w:tcPr>
          <w:p w:rsidR="00DF17E9" w:rsidRPr="00EA564E" w:rsidRDefault="00DF17E9" w:rsidP="006E44BF">
            <w:pPr>
              <w:spacing w:after="0"/>
              <w:rPr>
                <w:color w:val="000000"/>
              </w:rPr>
            </w:pPr>
            <w:r w:rsidRPr="00EA564E">
              <w:rPr>
                <w:b/>
                <w:color w:val="000000"/>
              </w:rPr>
              <w:t xml:space="preserve"> </w:t>
            </w:r>
          </w:p>
        </w:tc>
        <w:tc>
          <w:tcPr>
            <w:tcW w:w="1564"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tcBorders>
          </w:tcPr>
          <w:p w:rsidR="00DF17E9" w:rsidRPr="00EA564E" w:rsidRDefault="00DF17E9" w:rsidP="006E44BF">
            <w:pPr>
              <w:spacing w:after="0"/>
              <w:rPr>
                <w:color w:val="000000"/>
              </w:rPr>
            </w:pPr>
            <w:r w:rsidRPr="00EA564E">
              <w:rPr>
                <w:b/>
                <w:color w:val="000000"/>
              </w:rPr>
              <w:t xml:space="preserve"> </w:t>
            </w:r>
          </w:p>
        </w:tc>
        <w:tc>
          <w:tcPr>
            <w:tcW w:w="1843"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17" w:type="dxa"/>
            <w:tcBorders>
              <w:top w:val="single" w:sz="12" w:space="0" w:color="auto"/>
            </w:tcBorders>
          </w:tcPr>
          <w:p w:rsidR="00DF17E9" w:rsidRPr="00EA564E" w:rsidRDefault="00DF17E9" w:rsidP="006E44BF">
            <w:pPr>
              <w:spacing w:after="0"/>
              <w:rPr>
                <w:color w:val="000000"/>
              </w:rPr>
            </w:pPr>
            <w:r w:rsidRPr="00EA564E">
              <w:rPr>
                <w:b/>
                <w:color w:val="000000"/>
              </w:rPr>
              <w:t xml:space="preserve"> </w:t>
            </w:r>
          </w:p>
        </w:tc>
        <w:tc>
          <w:tcPr>
            <w:tcW w:w="1106" w:type="dxa"/>
            <w:tcBorders>
              <w:top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 xml:space="preserve"> </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Balance at 1 July 2015</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rPr>
                <w:color w:val="000000"/>
              </w:rPr>
            </w:pPr>
            <w:r w:rsidRPr="00EA564E">
              <w:rPr>
                <w:color w:val="000000"/>
              </w:rPr>
              <w:t>..</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81</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rPr>
                <w:color w:val="000000"/>
              </w:rPr>
            </w:pPr>
            <w:r w:rsidRPr="00EA564E">
              <w:rPr>
                <w:color w:val="000000"/>
              </w:rPr>
              <w:t>..</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81</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pPr>
            <w:r>
              <w:rPr>
                <w:color w:val="000000"/>
              </w:rPr>
              <w:t>180</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rPr>
                <w:color w:val="000000"/>
              </w:rPr>
            </w:pPr>
            <w:r w:rsidRPr="00EA564E">
              <w:rPr>
                <w:color w:val="000000"/>
              </w:rPr>
              <w:t>..</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sidRPr="00EA564E">
              <w:rPr>
                <w:color w:val="000000"/>
              </w:rPr>
              <w:t>..</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180</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Pr>
          <w:p w:rsidR="00DF17E9" w:rsidRPr="00EA564E" w:rsidRDefault="00DF17E9" w:rsidP="006E44BF">
            <w:pPr>
              <w:spacing w:after="0"/>
              <w:ind w:left="113" w:hanging="113"/>
              <w:rPr>
                <w:color w:val="000000"/>
              </w:rPr>
            </w:pPr>
            <w:r w:rsidRPr="00EA564E">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412" w:type="dxa"/>
          </w:tcPr>
          <w:p w:rsidR="00DF17E9" w:rsidRPr="00EA564E" w:rsidRDefault="00DF17E9" w:rsidP="006E44BF">
            <w:pPr>
              <w:spacing w:after="0"/>
            </w:pPr>
            <w:r w:rsidRPr="00EA564E">
              <w:rPr>
                <w:color w:val="000000"/>
              </w:rPr>
              <w:t>(1 387</w:t>
            </w:r>
            <w:r w:rsidRPr="00EA564E">
              <w:t>)</w:t>
            </w:r>
          </w:p>
        </w:tc>
        <w:tc>
          <w:tcPr>
            <w:tcW w:w="1564"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EA564E" w:rsidRDefault="00DF17E9" w:rsidP="006E44BF">
            <w:pPr>
              <w:spacing w:after="0"/>
            </w:pPr>
            <w:r w:rsidRPr="00EA564E">
              <w:rPr>
                <w:color w:val="000000"/>
              </w:rPr>
              <w:t>5 765</w:t>
            </w:r>
          </w:p>
        </w:tc>
        <w:tc>
          <w:tcPr>
            <w:tcW w:w="1843"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9 062</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EA564E" w:rsidRDefault="00DF17E9" w:rsidP="006E44BF">
            <w:pPr>
              <w:spacing w:after="0"/>
            </w:pPr>
            <w:r>
              <w:rPr>
                <w:color w:val="000000"/>
              </w:rPr>
              <w:t>(140)</w:t>
            </w:r>
          </w:p>
        </w:tc>
        <w:tc>
          <w:tcPr>
            <w:tcW w:w="1106" w:type="dxa"/>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13 300</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nil"/>
            </w:tcBorders>
          </w:tcPr>
          <w:p w:rsidR="00DF17E9" w:rsidRPr="00EA564E" w:rsidRDefault="00DF17E9" w:rsidP="006E44BF">
            <w:pPr>
              <w:spacing w:after="0"/>
              <w:ind w:left="113" w:hanging="113"/>
            </w:pPr>
            <w:r w:rsidRPr="00EA564E">
              <w:rPr>
                <w:color w:val="000000"/>
              </w:rPr>
              <w:t xml:space="preserve">Transfer to/(from) </w:t>
            </w:r>
            <w:r w:rsidRPr="00EA564E">
              <w:t xml:space="preserve">accumulated surplus </w:t>
            </w:r>
          </w:p>
        </w:tc>
        <w:tc>
          <w:tcPr>
            <w:cnfStyle w:val="000010000000" w:firstRow="0" w:lastRow="0" w:firstColumn="0" w:lastColumn="0" w:oddVBand="1" w:evenVBand="0" w:oddHBand="0" w:evenHBand="0" w:firstRowFirstColumn="0" w:firstRowLastColumn="0" w:lastRowFirstColumn="0" w:lastRowLastColumn="0"/>
            <w:tcW w:w="1412" w:type="dxa"/>
            <w:tcBorders>
              <w:bottom w:val="nil"/>
            </w:tcBorders>
          </w:tcPr>
          <w:p w:rsidR="00DF17E9" w:rsidRPr="00EA564E" w:rsidRDefault="00DF17E9" w:rsidP="006E44BF">
            <w:pPr>
              <w:spacing w:after="0"/>
            </w:pPr>
            <w:r>
              <w:rPr>
                <w:color w:val="000000"/>
              </w:rPr>
              <w:t>(21)</w:t>
            </w:r>
          </w:p>
        </w:tc>
        <w:tc>
          <w:tcPr>
            <w:tcW w:w="1564"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EA564E" w:rsidRDefault="00DF17E9" w:rsidP="006E44BF">
            <w:pPr>
              <w:spacing w:after="0"/>
            </w:pPr>
            <w:r>
              <w:rPr>
                <w:color w:val="000000"/>
              </w:rPr>
              <w:t>22</w:t>
            </w:r>
          </w:p>
        </w:tc>
        <w:tc>
          <w:tcPr>
            <w:tcW w:w="1843"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EA564E" w:rsidRDefault="00DF17E9" w:rsidP="006E44BF">
            <w:pPr>
              <w:spacing w:after="0"/>
              <w:rPr>
                <w:color w:val="000000"/>
              </w:rPr>
            </w:pPr>
            <w:r w:rsidRPr="00EA564E">
              <w:rPr>
                <w:color w:val="000000"/>
              </w:rPr>
              <w:t>..</w:t>
            </w:r>
          </w:p>
        </w:tc>
        <w:tc>
          <w:tcPr>
            <w:tcW w:w="1106" w:type="dxa"/>
            <w:tcBorders>
              <w:bottom w:val="nil"/>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rsidR="00DF17E9" w:rsidRPr="00EA564E" w:rsidRDefault="00DF17E9" w:rsidP="006E44BF">
            <w:pPr>
              <w:spacing w:after="0"/>
              <w:ind w:left="113" w:hanging="113"/>
              <w:rPr>
                <w:color w:val="000000"/>
              </w:rPr>
            </w:pPr>
            <w:r w:rsidRPr="00EA564E">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412"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564"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843"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EA564E" w:rsidRDefault="00DF17E9" w:rsidP="006E44BF">
            <w:pPr>
              <w:spacing w:after="0"/>
              <w:rPr>
                <w:color w:val="000000"/>
              </w:rPr>
            </w:pPr>
            <w:r w:rsidRPr="00EA564E">
              <w:rPr>
                <w:color w:val="000000"/>
              </w:rPr>
              <w:t>..</w:t>
            </w:r>
          </w:p>
        </w:tc>
        <w:tc>
          <w:tcPr>
            <w:tcW w:w="1106" w:type="dxa"/>
            <w:tcBorders>
              <w:bottom w:val="single" w:sz="6"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color w:val="000000"/>
              </w:rPr>
              <w:t>50</w:t>
            </w:r>
          </w:p>
        </w:tc>
      </w:tr>
      <w:tr w:rsidR="00DF17E9" w:rsidRPr="00EA564E" w:rsidTr="006E44B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12" w:space="0" w:color="auto"/>
            </w:tcBorders>
          </w:tcPr>
          <w:p w:rsidR="00DF17E9" w:rsidRPr="00EA564E" w:rsidRDefault="00DF17E9" w:rsidP="006E44BF">
            <w:pPr>
              <w:spacing w:after="0"/>
              <w:ind w:left="113" w:hanging="113"/>
              <w:rPr>
                <w:color w:val="000000"/>
              </w:rPr>
            </w:pPr>
            <w:r w:rsidRPr="00EA564E">
              <w:rPr>
                <w:b/>
                <w:color w:val="000000"/>
              </w:rPr>
              <w:t>Total equity at end of the year</w:t>
            </w:r>
          </w:p>
        </w:tc>
        <w:tc>
          <w:tcPr>
            <w:cnfStyle w:val="000010000000" w:firstRow="0" w:lastRow="0" w:firstColumn="0" w:lastColumn="0" w:oddVBand="1" w:evenVBand="0" w:oddHBand="0" w:evenHBand="0" w:firstRowFirstColumn="0" w:firstRowLastColumn="0" w:lastRowFirstColumn="0" w:lastRowLastColumn="0"/>
            <w:tcW w:w="1412"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(1 229)</w:t>
            </w:r>
          </w:p>
        </w:tc>
        <w:tc>
          <w:tcPr>
            <w:tcW w:w="1564"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pPr>
            <w:r>
              <w:rPr>
                <w:b/>
                <w:color w:val="000000"/>
              </w:rPr>
              <w:t>50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EA564E" w:rsidRDefault="00DF17E9" w:rsidP="006E44BF">
            <w:pPr>
              <w:spacing w:after="0"/>
              <w:rPr>
                <w:color w:val="000000"/>
              </w:rPr>
            </w:pPr>
            <w:r w:rsidRPr="00EA564E">
              <w:rPr>
                <w:b/>
                <w:color w:val="000000"/>
              </w:rPr>
              <w:t>5 787</w:t>
            </w:r>
          </w:p>
        </w:tc>
        <w:tc>
          <w:tcPr>
            <w:tcW w:w="1843"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9 143</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EA564E" w:rsidRDefault="00DF17E9" w:rsidP="006E44BF">
            <w:pPr>
              <w:spacing w:after="0"/>
            </w:pPr>
            <w:r>
              <w:rPr>
                <w:b/>
                <w:color w:val="000000"/>
              </w:rPr>
              <w:t>(140)</w:t>
            </w:r>
          </w:p>
        </w:tc>
        <w:tc>
          <w:tcPr>
            <w:tcW w:w="1106" w:type="dxa"/>
            <w:tcBorders>
              <w:top w:val="single" w:sz="6" w:space="0" w:color="auto"/>
              <w:bottom w:val="single" w:sz="12" w:space="0" w:color="auto"/>
            </w:tcBorders>
          </w:tcPr>
          <w:p w:rsidR="00DF17E9" w:rsidRPr="00EA564E" w:rsidRDefault="00DF17E9" w:rsidP="006E44BF">
            <w:pPr>
              <w:spacing w:after="0"/>
              <w:cnfStyle w:val="000000000000" w:firstRow="0" w:lastRow="0" w:firstColumn="0" w:lastColumn="0" w:oddVBand="0" w:evenVBand="0" w:oddHBand="0" w:evenHBand="0" w:firstRowFirstColumn="0" w:firstRowLastColumn="0" w:lastRowFirstColumn="0" w:lastRowLastColumn="0"/>
              <w:rPr>
                <w:color w:val="000000"/>
              </w:rPr>
            </w:pPr>
            <w:r w:rsidRPr="00EA564E">
              <w:rPr>
                <w:b/>
                <w:color w:val="000000"/>
              </w:rPr>
              <w:t>13 610</w:t>
            </w:r>
          </w:p>
        </w:tc>
      </w:tr>
    </w:tbl>
    <w:p w:rsidR="00DF17E9" w:rsidRDefault="00DF17E9" w:rsidP="00044843">
      <w:pPr>
        <w:pStyle w:val="Note"/>
      </w:pPr>
      <w:r>
        <w:t>Notes:</w:t>
      </w:r>
    </w:p>
    <w:p w:rsidR="00DF17E9" w:rsidRDefault="00DF17E9" w:rsidP="00044843">
      <w:pPr>
        <w:pStyle w:val="Note"/>
      </w:pPr>
      <w:r>
        <w:t>(a)</w:t>
      </w:r>
      <w:r>
        <w:tab/>
        <w:t>Non-financial assets revaluation surplus relates to revaluation of land, buildings, infrastructure, plant and equipment.</w:t>
      </w:r>
    </w:p>
    <w:p w:rsidR="00DF17E9" w:rsidRPr="008418E9" w:rsidRDefault="00DF17E9" w:rsidP="00044843">
      <w:pPr>
        <w:pStyle w:val="Note"/>
      </w:pPr>
      <w:r w:rsidRPr="008418E9">
        <w:t>(</w:t>
      </w:r>
      <w:r>
        <w:t>b)</w:t>
      </w:r>
      <w:r>
        <w:tab/>
      </w:r>
      <w:r w:rsidRPr="008418E9">
        <w:t>1 July 2015 opening balances have been restated to reflect an adjustment to Coliban Water’s deferred tax liability balances in the PNFC sector attributable to a change in valuation policy in 2015-16.</w:t>
      </w:r>
    </w:p>
    <w:p w:rsidR="00DF17E9" w:rsidRDefault="00DF17E9" w:rsidP="00044843">
      <w:pPr>
        <w:pStyle w:val="Note"/>
        <w:sectPr w:rsidR="00DF17E9" w:rsidSect="007F520E">
          <w:headerReference w:type="even" r:id="rId245"/>
          <w:footerReference w:type="even" r:id="rId246"/>
          <w:pgSz w:w="16838" w:h="11906" w:orient="landscape" w:code="9"/>
          <w:pgMar w:top="1151" w:right="1151" w:bottom="1151" w:left="1151" w:header="720" w:footer="720" w:gutter="0"/>
          <w:cols w:space="708"/>
          <w:docGrid w:linePitch="360"/>
        </w:sectPr>
      </w:pPr>
      <w:r w:rsidRPr="008418E9">
        <w:t>(</w:t>
      </w:r>
      <w:r>
        <w:t>c</w:t>
      </w:r>
      <w:r w:rsidRPr="008418E9">
        <w:t>)</w:t>
      </w:r>
      <w:r>
        <w:tab/>
      </w:r>
      <w:r w:rsidRPr="008418E9">
        <w:t>1 July 2015 opening balances have been restated to finalise the allocation of equity balances between contributed capital and accumulated funds related to prior year machinery of government changes.</w:t>
      </w:r>
    </w:p>
    <w:p w:rsidR="00DF17E9" w:rsidRDefault="00DF17E9" w:rsidP="00044843">
      <w:pPr>
        <w:pStyle w:val="Heading2"/>
      </w:pPr>
      <w:bookmarkStart w:id="72" w:name="_Toc459976828"/>
      <w:r w:rsidRPr="00684466">
        <w:lastRenderedPageBreak/>
        <w:t>Public Account</w:t>
      </w:r>
      <w:r>
        <w:t xml:space="preserve"> disclosures</w:t>
      </w:r>
      <w:bookmarkEnd w:id="72"/>
    </w:p>
    <w:p w:rsidR="00DF17E9" w:rsidRPr="00843E5B" w:rsidRDefault="00DF17E9" w:rsidP="00D5644D">
      <w:pPr>
        <w:rPr>
          <w:rFonts w:eastAsiaTheme="minorEastAsia"/>
          <w:lang w:eastAsia="en-AU"/>
        </w:rPr>
      </w:pPr>
      <w:r w:rsidRPr="00843E5B">
        <w:t xml:space="preserve">The </w:t>
      </w:r>
      <w:r w:rsidRPr="00843E5B">
        <w:rPr>
          <w:rFonts w:eastAsiaTheme="minorEastAsia"/>
          <w:i/>
          <w:lang w:eastAsia="en-AU"/>
        </w:rPr>
        <w:t>Financial Management Act, No. 18 of 1994</w:t>
      </w:r>
      <w:r w:rsidRPr="00843E5B">
        <w:rPr>
          <w:rFonts w:eastAsiaTheme="minorEastAsia"/>
          <w:lang w:eastAsia="en-AU"/>
        </w:rPr>
        <w:t xml:space="preserve"> (FMA) requires </w:t>
      </w:r>
      <w:r>
        <w:rPr>
          <w:rFonts w:eastAsiaTheme="minorEastAsia"/>
          <w:lang w:eastAsia="en-AU"/>
        </w:rPr>
        <w:t xml:space="preserve">certain </w:t>
      </w:r>
      <w:r w:rsidRPr="00843E5B">
        <w:rPr>
          <w:rFonts w:eastAsiaTheme="minorEastAsia"/>
          <w:lang w:eastAsia="en-AU"/>
        </w:rPr>
        <w:t>disclosure</w:t>
      </w:r>
      <w:r>
        <w:rPr>
          <w:rFonts w:eastAsiaTheme="minorEastAsia"/>
          <w:lang w:eastAsia="en-AU"/>
        </w:rPr>
        <w:t>s</w:t>
      </w:r>
      <w:r w:rsidRPr="00843E5B">
        <w:rPr>
          <w:rFonts w:eastAsiaTheme="minorEastAsia"/>
          <w:lang w:eastAsia="en-AU"/>
        </w:rPr>
        <w:t xml:space="preserve"> of information in respect of the </w:t>
      </w:r>
      <w:r>
        <w:rPr>
          <w:rFonts w:eastAsiaTheme="minorEastAsia"/>
          <w:lang w:eastAsia="en-AU"/>
        </w:rPr>
        <w:t>transactions and balances of the Public A</w:t>
      </w:r>
      <w:r w:rsidRPr="00843E5B">
        <w:rPr>
          <w:rFonts w:eastAsiaTheme="minorEastAsia"/>
          <w:lang w:eastAsia="en-AU"/>
        </w:rPr>
        <w:t>ccount.</w:t>
      </w:r>
    </w:p>
    <w:p w:rsidR="00DF17E9" w:rsidRPr="00DF33EE" w:rsidRDefault="00DF17E9" w:rsidP="00D5644D">
      <w:r w:rsidRPr="00DF33EE">
        <w:t>The Public Account is the Government</w:t>
      </w:r>
      <w:r>
        <w:t>’</w:t>
      </w:r>
      <w:r w:rsidRPr="00DF33EE">
        <w:t xml:space="preserve">s official bank account. The Public Account holds the cash balances of the Consolidated Fund and the Trust Fund. </w:t>
      </w:r>
    </w:p>
    <w:p w:rsidR="00DF17E9" w:rsidRPr="00DF33EE" w:rsidRDefault="00DF17E9" w:rsidP="00D5644D">
      <w:r w:rsidRPr="00DF33EE">
        <w:t xml:space="preserve">The </w:t>
      </w:r>
      <w:r w:rsidRPr="00DF33EE">
        <w:rPr>
          <w:i/>
        </w:rPr>
        <w:t>Financial Management Act 1994</w:t>
      </w:r>
      <w:r w:rsidRPr="00DF33EE">
        <w:t xml:space="preserve"> (FMA)</w:t>
      </w:r>
      <w:r>
        <w:t>, among other things,</w:t>
      </w:r>
      <w:r w:rsidRPr="00DF33EE">
        <w:t xml:space="preserve"> </w:t>
      </w:r>
      <w:r>
        <w:t xml:space="preserve">also </w:t>
      </w:r>
      <w:r w:rsidRPr="00DF33EE">
        <w:t>provides for:</w:t>
      </w:r>
    </w:p>
    <w:p w:rsidR="00DF17E9" w:rsidRPr="00DF33EE" w:rsidRDefault="00DF17E9" w:rsidP="00044843">
      <w:pPr>
        <w:pStyle w:val="ListBullet"/>
        <w:numPr>
          <w:ilvl w:val="0"/>
          <w:numId w:val="20"/>
        </w:numPr>
        <w:ind w:left="397" w:hanging="397"/>
      </w:pPr>
      <w:r w:rsidRPr="00DF33EE">
        <w:t>temporary advances from the Public Account for a number of purposes related to the needs of the Government;</w:t>
      </w:r>
    </w:p>
    <w:p w:rsidR="00DF17E9" w:rsidRPr="00DF33EE" w:rsidRDefault="00DF17E9" w:rsidP="00044843">
      <w:pPr>
        <w:pStyle w:val="ListBullet"/>
      </w:pPr>
      <w:r w:rsidRPr="00DF33EE">
        <w:t>investment of the Public Account in trustee securities; and</w:t>
      </w:r>
    </w:p>
    <w:p w:rsidR="00DF17E9" w:rsidRDefault="00DF17E9" w:rsidP="00044843">
      <w:pPr>
        <w:pStyle w:val="ListBullet"/>
        <w:numPr>
          <w:ilvl w:val="0"/>
          <w:numId w:val="20"/>
        </w:numPr>
        <w:ind w:left="397" w:hanging="397"/>
      </w:pPr>
      <w:r w:rsidRPr="00DF33EE">
        <w:t>temporary borrowings, should the balance in the Consolidated Fund be insufficient to meet commitments during a financial year.</w:t>
      </w:r>
    </w:p>
    <w:p w:rsidR="00DF17E9" w:rsidRDefault="00DF17E9" w:rsidP="00044843">
      <w:pPr>
        <w:pStyle w:val="Subheading"/>
      </w:pPr>
      <w:r w:rsidRPr="00D5644D">
        <w:t>Consolidated Fund</w:t>
      </w:r>
    </w:p>
    <w:p w:rsidR="00DF17E9" w:rsidRDefault="00DF17E9" w:rsidP="00044843">
      <w:r w:rsidRPr="00DF33EE">
        <w:t>The Consolidated Fund established by the FMA is the Government</w:t>
      </w:r>
      <w:r>
        <w:t>’</w:t>
      </w:r>
      <w:r w:rsidRPr="00DF33EE">
        <w:t xml:space="preserve">s primary financial account and receives all consolidated revenue under the </w:t>
      </w:r>
      <w:r w:rsidRPr="00DF33EE">
        <w:rPr>
          <w:i/>
        </w:rPr>
        <w:t xml:space="preserve">Constitution Act 1975 </w:t>
      </w:r>
      <w:r w:rsidRPr="00DF33EE">
        <w:t>from which payments, appropriated by Parliament, are made.</w:t>
      </w:r>
    </w:p>
    <w:p w:rsidR="00DF17E9" w:rsidRPr="00D5644D" w:rsidRDefault="00DF17E9" w:rsidP="00044843">
      <w:pPr>
        <w:pStyle w:val="Subheading"/>
      </w:pPr>
      <w:r w:rsidRPr="00DF33EE">
        <w:t>Trust Fund</w:t>
      </w:r>
    </w:p>
    <w:p w:rsidR="00DF17E9" w:rsidRDefault="00DF17E9" w:rsidP="00044843">
      <w:r w:rsidRPr="00DF33EE">
        <w:t>Within the Public Account, the Trust Fund embraces a range of specific purpose accounts established for funds that are not subject to parliamentary appropriation. Examples include accounts to record specific purpose payments from the Commonwealth for on</w:t>
      </w:r>
      <w:r>
        <w:noBreakHyphen/>
      </w:r>
      <w:r w:rsidRPr="00DF33EE">
        <w:t xml:space="preserve">passing by the State to third parties, suspense account balances for accounting purposes, working accounts for commercial and departmental service units, and accounts facilitating the receipt and disbursement of </w:t>
      </w:r>
      <w:r>
        <w:t>other</w:t>
      </w:r>
      <w:r w:rsidRPr="00DF33EE">
        <w:t xml:space="preserve"> funds held by the State in trust. Additional accounts may also be established within the Trust Fund </w:t>
      </w:r>
      <w:r>
        <w:t xml:space="preserve">by legislation </w:t>
      </w:r>
      <w:r w:rsidRPr="00DF33EE">
        <w:t>to receive State revenues hypothecated to particular purposes (e.g. lotteries revenue for hospitals and charities).</w:t>
      </w:r>
    </w:p>
    <w:bookmarkEnd w:id="67"/>
    <w:p w:rsidR="00DF17E9" w:rsidRDefault="00DF17E9" w:rsidP="00044843">
      <w:pPr>
        <w:pStyle w:val="Subheadingunderline"/>
      </w:pPr>
      <w:r>
        <w:br w:type="column"/>
      </w:r>
      <w:r>
        <w:lastRenderedPageBreak/>
        <w:t>Structure of Public Account disclosure</w:t>
      </w:r>
    </w:p>
    <w:p w:rsidR="00DF17E9" w:rsidRDefault="00DF17E9">
      <w:pPr>
        <w:pStyle w:val="TOC9"/>
        <w:rPr>
          <w:rFonts w:eastAsiaTheme="minorEastAsia"/>
          <w:noProof/>
          <w:sz w:val="22"/>
          <w:lang w:eastAsia="en-AU"/>
        </w:rPr>
      </w:pPr>
      <w:r>
        <w:fldChar w:fldCharType="begin"/>
      </w:r>
      <w:r>
        <w:instrText xml:space="preserve"> TOC \h \z \t "Heading 3,9" \b Section_08_Public_Account </w:instrText>
      </w:r>
      <w:r>
        <w:fldChar w:fldCharType="separate"/>
      </w:r>
      <w:hyperlink w:anchor="_Toc462418828" w:history="1">
        <w:r w:rsidRPr="001B3EC1">
          <w:rPr>
            <w:rStyle w:val="Hyperlink"/>
            <w:noProof/>
            <w:lang w:val="en-US" w:eastAsia="en-AU"/>
            <w14:scene3d>
              <w14:camera w14:prst="orthographicFront"/>
              <w14:lightRig w14:rig="threePt" w14:dir="t">
                <w14:rot w14:lat="0" w14:lon="0" w14:rev="0"/>
              </w14:lightRig>
            </w14:scene3d>
          </w:rPr>
          <w:t>8.2.1</w:t>
        </w:r>
        <w:r>
          <w:rPr>
            <w:rFonts w:eastAsiaTheme="minorEastAsia"/>
            <w:noProof/>
            <w:sz w:val="22"/>
            <w:lang w:eastAsia="en-AU"/>
          </w:rPr>
          <w:tab/>
        </w:r>
        <w:r w:rsidRPr="00BE069A">
          <w:rPr>
            <w:rStyle w:val="Hyperlink"/>
            <w:noProof/>
            <w:spacing w:val="-3"/>
          </w:rPr>
          <w:t>Summarised consolidated fund receipts and payments for the financial year ended 30 June</w:t>
        </w:r>
        <w:r>
          <w:rPr>
            <w:noProof/>
            <w:webHidden/>
          </w:rPr>
          <w:tab/>
        </w:r>
        <w:r>
          <w:rPr>
            <w:noProof/>
            <w:webHidden/>
          </w:rPr>
          <w:fldChar w:fldCharType="begin"/>
        </w:r>
        <w:r>
          <w:rPr>
            <w:noProof/>
            <w:webHidden/>
          </w:rPr>
          <w:instrText xml:space="preserve"> PAGEREF _Toc462418828 \h </w:instrText>
        </w:r>
        <w:r>
          <w:rPr>
            <w:noProof/>
            <w:webHidden/>
          </w:rPr>
        </w:r>
        <w:r>
          <w:rPr>
            <w:noProof/>
            <w:webHidden/>
          </w:rPr>
          <w:fldChar w:fldCharType="separate"/>
        </w:r>
        <w:r w:rsidR="00E3704D">
          <w:rPr>
            <w:noProof/>
            <w:webHidden/>
          </w:rPr>
          <w:t>122</w:t>
        </w:r>
        <w:r>
          <w:rPr>
            <w:noProof/>
            <w:webHidden/>
          </w:rPr>
          <w:fldChar w:fldCharType="end"/>
        </w:r>
      </w:hyperlink>
    </w:p>
    <w:p w:rsidR="00DF17E9" w:rsidRDefault="003A3C3D">
      <w:pPr>
        <w:pStyle w:val="TOC9"/>
        <w:rPr>
          <w:rFonts w:eastAsiaTheme="minorEastAsia"/>
          <w:noProof/>
          <w:sz w:val="22"/>
          <w:lang w:eastAsia="en-AU"/>
        </w:rPr>
      </w:pPr>
      <w:hyperlink w:anchor="_Toc462418829" w:history="1">
        <w:r w:rsidR="00DF17E9" w:rsidRPr="001B3EC1">
          <w:rPr>
            <w:rStyle w:val="Hyperlink"/>
            <w:noProof/>
            <w:lang w:val="en-US"/>
            <w14:scene3d>
              <w14:camera w14:prst="orthographicFront"/>
              <w14:lightRig w14:rig="threePt" w14:dir="t">
                <w14:rot w14:lat="0" w14:lon="0" w14:rev="0"/>
              </w14:lightRig>
            </w14:scene3d>
          </w:rPr>
          <w:t>8.2.2</w:t>
        </w:r>
        <w:r w:rsidR="00DF17E9">
          <w:rPr>
            <w:rFonts w:eastAsiaTheme="minorEastAsia"/>
            <w:noProof/>
            <w:sz w:val="22"/>
            <w:lang w:eastAsia="en-AU"/>
          </w:rPr>
          <w:tab/>
        </w:r>
        <w:r w:rsidR="00DF17E9" w:rsidRPr="001B3EC1">
          <w:rPr>
            <w:rStyle w:val="Hyperlink"/>
            <w:noProof/>
          </w:rPr>
          <w:t>Consolidated fund receipts for the financial year ended 30 June</w:t>
        </w:r>
        <w:r w:rsidR="00DF17E9">
          <w:rPr>
            <w:noProof/>
            <w:webHidden/>
          </w:rPr>
          <w:tab/>
        </w:r>
        <w:r w:rsidR="00DF17E9">
          <w:rPr>
            <w:noProof/>
            <w:webHidden/>
          </w:rPr>
          <w:fldChar w:fldCharType="begin"/>
        </w:r>
        <w:r w:rsidR="00DF17E9">
          <w:rPr>
            <w:noProof/>
            <w:webHidden/>
          </w:rPr>
          <w:instrText xml:space="preserve"> PAGEREF _Toc462418829 \h </w:instrText>
        </w:r>
        <w:r w:rsidR="00DF17E9">
          <w:rPr>
            <w:noProof/>
            <w:webHidden/>
          </w:rPr>
        </w:r>
        <w:r w:rsidR="00DF17E9">
          <w:rPr>
            <w:noProof/>
            <w:webHidden/>
          </w:rPr>
          <w:fldChar w:fldCharType="separate"/>
        </w:r>
        <w:r w:rsidR="00E3704D">
          <w:rPr>
            <w:noProof/>
            <w:webHidden/>
          </w:rPr>
          <w:t>124</w:t>
        </w:r>
        <w:r w:rsidR="00DF17E9">
          <w:rPr>
            <w:noProof/>
            <w:webHidden/>
          </w:rPr>
          <w:fldChar w:fldCharType="end"/>
        </w:r>
      </w:hyperlink>
    </w:p>
    <w:p w:rsidR="00DF17E9" w:rsidRDefault="003A3C3D">
      <w:pPr>
        <w:pStyle w:val="TOC9"/>
        <w:rPr>
          <w:rFonts w:eastAsiaTheme="minorEastAsia"/>
          <w:noProof/>
          <w:sz w:val="22"/>
          <w:lang w:eastAsia="en-AU"/>
        </w:rPr>
      </w:pPr>
      <w:hyperlink w:anchor="_Toc462418830" w:history="1">
        <w:r w:rsidR="00DF17E9" w:rsidRPr="001B3EC1">
          <w:rPr>
            <w:rStyle w:val="Hyperlink"/>
            <w:noProof/>
            <w:lang w:val="en-US"/>
            <w14:scene3d>
              <w14:camera w14:prst="orthographicFront"/>
              <w14:lightRig w14:rig="threePt" w14:dir="t">
                <w14:rot w14:lat="0" w14:lon="0" w14:rev="0"/>
              </w14:lightRig>
            </w14:scene3d>
          </w:rPr>
          <w:t>8.2.3</w:t>
        </w:r>
        <w:r w:rsidR="00DF17E9">
          <w:rPr>
            <w:rFonts w:eastAsiaTheme="minorEastAsia"/>
            <w:noProof/>
            <w:sz w:val="22"/>
            <w:lang w:eastAsia="en-AU"/>
          </w:rPr>
          <w:tab/>
        </w:r>
        <w:r w:rsidR="00DF17E9" w:rsidRPr="001B3EC1">
          <w:rPr>
            <w:rStyle w:val="Hyperlink"/>
            <w:noProof/>
          </w:rPr>
          <w:t>Trust fund cash flow statement for the financial year ended 30 June</w:t>
        </w:r>
        <w:r w:rsidR="00DF17E9">
          <w:rPr>
            <w:noProof/>
            <w:webHidden/>
          </w:rPr>
          <w:tab/>
        </w:r>
        <w:r w:rsidR="00DF17E9">
          <w:rPr>
            <w:noProof/>
            <w:webHidden/>
          </w:rPr>
          <w:fldChar w:fldCharType="begin"/>
        </w:r>
        <w:r w:rsidR="00DF17E9">
          <w:rPr>
            <w:noProof/>
            <w:webHidden/>
          </w:rPr>
          <w:instrText xml:space="preserve"> PAGEREF _Toc462418830 \h </w:instrText>
        </w:r>
        <w:r w:rsidR="00DF17E9">
          <w:rPr>
            <w:noProof/>
            <w:webHidden/>
          </w:rPr>
        </w:r>
        <w:r w:rsidR="00DF17E9">
          <w:rPr>
            <w:noProof/>
            <w:webHidden/>
          </w:rPr>
          <w:fldChar w:fldCharType="separate"/>
        </w:r>
        <w:r w:rsidR="00E3704D">
          <w:rPr>
            <w:noProof/>
            <w:webHidden/>
          </w:rPr>
          <w:t>125</w:t>
        </w:r>
        <w:r w:rsidR="00DF17E9">
          <w:rPr>
            <w:noProof/>
            <w:webHidden/>
          </w:rPr>
          <w:fldChar w:fldCharType="end"/>
        </w:r>
      </w:hyperlink>
    </w:p>
    <w:p w:rsidR="00DF17E9" w:rsidRDefault="003A3C3D">
      <w:pPr>
        <w:pStyle w:val="TOC9"/>
        <w:rPr>
          <w:rFonts w:eastAsiaTheme="minorEastAsia"/>
          <w:noProof/>
          <w:sz w:val="22"/>
          <w:lang w:eastAsia="en-AU"/>
        </w:rPr>
      </w:pPr>
      <w:hyperlink w:anchor="_Toc462418831" w:history="1">
        <w:r w:rsidR="00DF17E9" w:rsidRPr="001B3EC1">
          <w:rPr>
            <w:rStyle w:val="Hyperlink"/>
            <w:noProof/>
            <w:lang w:val="en-US"/>
            <w14:scene3d>
              <w14:camera w14:prst="orthographicFront"/>
              <w14:lightRig w14:rig="threePt" w14:dir="t">
                <w14:rot w14:lat="0" w14:lon="0" w14:rev="0"/>
              </w14:lightRig>
            </w14:scene3d>
          </w:rPr>
          <w:t>8.2.4</w:t>
        </w:r>
        <w:r w:rsidR="00DF17E9">
          <w:rPr>
            <w:rFonts w:eastAsiaTheme="minorEastAsia"/>
            <w:noProof/>
            <w:sz w:val="22"/>
            <w:lang w:eastAsia="en-AU"/>
          </w:rPr>
          <w:tab/>
        </w:r>
        <w:r w:rsidR="00DF17E9" w:rsidRPr="001B3EC1">
          <w:rPr>
            <w:rStyle w:val="Hyperlink"/>
            <w:noProof/>
          </w:rPr>
          <w:t>Trust fund summary for the financial year ended 30 June</w:t>
        </w:r>
        <w:r w:rsidR="00DF17E9">
          <w:rPr>
            <w:noProof/>
            <w:webHidden/>
          </w:rPr>
          <w:tab/>
        </w:r>
        <w:r w:rsidR="00DF17E9">
          <w:rPr>
            <w:noProof/>
            <w:webHidden/>
          </w:rPr>
          <w:fldChar w:fldCharType="begin"/>
        </w:r>
        <w:r w:rsidR="00DF17E9">
          <w:rPr>
            <w:noProof/>
            <w:webHidden/>
          </w:rPr>
          <w:instrText xml:space="preserve"> PAGEREF _Toc462418831 \h </w:instrText>
        </w:r>
        <w:r w:rsidR="00DF17E9">
          <w:rPr>
            <w:noProof/>
            <w:webHidden/>
          </w:rPr>
        </w:r>
        <w:r w:rsidR="00DF17E9">
          <w:rPr>
            <w:noProof/>
            <w:webHidden/>
          </w:rPr>
          <w:fldChar w:fldCharType="separate"/>
        </w:r>
        <w:r w:rsidR="00E3704D">
          <w:rPr>
            <w:noProof/>
            <w:webHidden/>
          </w:rPr>
          <w:t>126</w:t>
        </w:r>
        <w:r w:rsidR="00DF17E9">
          <w:rPr>
            <w:noProof/>
            <w:webHidden/>
          </w:rPr>
          <w:fldChar w:fldCharType="end"/>
        </w:r>
      </w:hyperlink>
    </w:p>
    <w:p w:rsidR="00DF17E9" w:rsidRDefault="003A3C3D">
      <w:pPr>
        <w:pStyle w:val="TOC9"/>
        <w:rPr>
          <w:rFonts w:eastAsiaTheme="minorEastAsia"/>
          <w:noProof/>
          <w:sz w:val="22"/>
          <w:lang w:eastAsia="en-AU"/>
        </w:rPr>
      </w:pPr>
      <w:hyperlink w:anchor="_Toc462418832" w:history="1">
        <w:r w:rsidR="00DF17E9" w:rsidRPr="001B3EC1">
          <w:rPr>
            <w:rStyle w:val="Hyperlink"/>
            <w:noProof/>
            <w:lang w:val="en-US"/>
            <w14:scene3d>
              <w14:camera w14:prst="orthographicFront"/>
              <w14:lightRig w14:rig="threePt" w14:dir="t">
                <w14:rot w14:lat="0" w14:lon="0" w14:rev="0"/>
              </w14:lightRig>
            </w14:scene3d>
          </w:rPr>
          <w:t>8.2.5</w:t>
        </w:r>
        <w:r w:rsidR="00DF17E9">
          <w:rPr>
            <w:rFonts w:eastAsiaTheme="minorEastAsia"/>
            <w:noProof/>
            <w:sz w:val="22"/>
            <w:lang w:eastAsia="en-AU"/>
          </w:rPr>
          <w:tab/>
        </w:r>
        <w:r w:rsidR="00DF17E9" w:rsidRPr="001B3EC1">
          <w:rPr>
            <w:rStyle w:val="Hyperlink"/>
            <w:noProof/>
          </w:rPr>
          <w:t>Reconciliation of cash flows to balances held</w:t>
        </w:r>
        <w:r w:rsidR="00DF17E9">
          <w:rPr>
            <w:noProof/>
            <w:webHidden/>
          </w:rPr>
          <w:tab/>
        </w:r>
        <w:r w:rsidR="00DF17E9">
          <w:rPr>
            <w:noProof/>
            <w:webHidden/>
          </w:rPr>
          <w:fldChar w:fldCharType="begin"/>
        </w:r>
        <w:r w:rsidR="00DF17E9">
          <w:rPr>
            <w:noProof/>
            <w:webHidden/>
          </w:rPr>
          <w:instrText xml:space="preserve"> PAGEREF _Toc462418832 \h </w:instrText>
        </w:r>
        <w:r w:rsidR="00DF17E9">
          <w:rPr>
            <w:noProof/>
            <w:webHidden/>
          </w:rPr>
        </w:r>
        <w:r w:rsidR="00DF17E9">
          <w:rPr>
            <w:noProof/>
            <w:webHidden/>
          </w:rPr>
          <w:fldChar w:fldCharType="separate"/>
        </w:r>
        <w:r w:rsidR="00E3704D">
          <w:rPr>
            <w:noProof/>
            <w:webHidden/>
          </w:rPr>
          <w:t>126</w:t>
        </w:r>
        <w:r w:rsidR="00DF17E9">
          <w:rPr>
            <w:noProof/>
            <w:webHidden/>
          </w:rPr>
          <w:fldChar w:fldCharType="end"/>
        </w:r>
      </w:hyperlink>
    </w:p>
    <w:p w:rsidR="00DF17E9" w:rsidRDefault="003A3C3D">
      <w:pPr>
        <w:pStyle w:val="TOC9"/>
        <w:rPr>
          <w:rFonts w:eastAsiaTheme="minorEastAsia"/>
          <w:noProof/>
          <w:sz w:val="22"/>
          <w:lang w:eastAsia="en-AU"/>
        </w:rPr>
      </w:pPr>
      <w:hyperlink w:anchor="_Toc462418833" w:history="1">
        <w:r w:rsidR="00DF17E9" w:rsidRPr="001B3EC1">
          <w:rPr>
            <w:rStyle w:val="Hyperlink"/>
            <w:noProof/>
            <w:lang w:val="en-US"/>
            <w14:scene3d>
              <w14:camera w14:prst="orthographicFront"/>
              <w14:lightRig w14:rig="threePt" w14:dir="t">
                <w14:rot w14:lat="0" w14:lon="0" w14:rev="0"/>
              </w14:lightRig>
            </w14:scene3d>
          </w:rPr>
          <w:t>8.2.6</w:t>
        </w:r>
        <w:r w:rsidR="00DF17E9">
          <w:rPr>
            <w:rFonts w:eastAsiaTheme="minorEastAsia"/>
            <w:noProof/>
            <w:sz w:val="22"/>
            <w:lang w:eastAsia="en-AU"/>
          </w:rPr>
          <w:tab/>
        </w:r>
        <w:r w:rsidR="00DF17E9" w:rsidRPr="001B3EC1">
          <w:rPr>
            <w:rStyle w:val="Hyperlink"/>
            <w:noProof/>
          </w:rPr>
          <w:t>Details of securities held and included in the balances at 30 June</w:t>
        </w:r>
        <w:r w:rsidR="00DF17E9">
          <w:rPr>
            <w:noProof/>
            <w:webHidden/>
          </w:rPr>
          <w:tab/>
        </w:r>
        <w:r w:rsidR="00DF17E9">
          <w:rPr>
            <w:noProof/>
            <w:webHidden/>
          </w:rPr>
          <w:fldChar w:fldCharType="begin"/>
        </w:r>
        <w:r w:rsidR="00DF17E9">
          <w:rPr>
            <w:noProof/>
            <w:webHidden/>
          </w:rPr>
          <w:instrText xml:space="preserve"> PAGEREF _Toc462418833 \h </w:instrText>
        </w:r>
        <w:r w:rsidR="00DF17E9">
          <w:rPr>
            <w:noProof/>
            <w:webHidden/>
          </w:rPr>
        </w:r>
        <w:r w:rsidR="00DF17E9">
          <w:rPr>
            <w:noProof/>
            <w:webHidden/>
          </w:rPr>
          <w:fldChar w:fldCharType="separate"/>
        </w:r>
        <w:r w:rsidR="00E3704D">
          <w:rPr>
            <w:noProof/>
            <w:webHidden/>
          </w:rPr>
          <w:t>127</w:t>
        </w:r>
        <w:r w:rsidR="00DF17E9">
          <w:rPr>
            <w:noProof/>
            <w:webHidden/>
          </w:rPr>
          <w:fldChar w:fldCharType="end"/>
        </w:r>
      </w:hyperlink>
    </w:p>
    <w:p w:rsidR="00DF17E9" w:rsidRDefault="003A3C3D">
      <w:pPr>
        <w:pStyle w:val="TOC9"/>
        <w:rPr>
          <w:rFonts w:eastAsiaTheme="minorEastAsia"/>
          <w:noProof/>
          <w:sz w:val="22"/>
          <w:lang w:eastAsia="en-AU"/>
        </w:rPr>
      </w:pPr>
      <w:hyperlink w:anchor="_Toc462418834" w:history="1">
        <w:r w:rsidR="00DF17E9" w:rsidRPr="001B3EC1">
          <w:rPr>
            <w:rStyle w:val="Hyperlink"/>
            <w:noProof/>
            <w14:scene3d>
              <w14:camera w14:prst="orthographicFront"/>
              <w14:lightRig w14:rig="threePt" w14:dir="t">
                <w14:rot w14:lat="0" w14:lon="0" w14:rev="0"/>
              </w14:lightRig>
            </w14:scene3d>
          </w:rPr>
          <w:t>8.2.7</w:t>
        </w:r>
        <w:r w:rsidR="00DF17E9">
          <w:rPr>
            <w:rFonts w:eastAsiaTheme="minorEastAsia"/>
            <w:noProof/>
            <w:sz w:val="22"/>
            <w:lang w:eastAsia="en-AU"/>
          </w:rPr>
          <w:tab/>
        </w:r>
        <w:r w:rsidR="00DF17E9" w:rsidRPr="001B3EC1">
          <w:rPr>
            <w:rStyle w:val="Hyperlink"/>
            <w:noProof/>
          </w:rPr>
          <w:t>Consolidated Fund payments: special appropriations</w:t>
        </w:r>
        <w:r w:rsidR="00DF17E9">
          <w:rPr>
            <w:noProof/>
            <w:webHidden/>
          </w:rPr>
          <w:tab/>
        </w:r>
        <w:r w:rsidR="00DF17E9">
          <w:rPr>
            <w:noProof/>
            <w:webHidden/>
          </w:rPr>
          <w:fldChar w:fldCharType="begin"/>
        </w:r>
        <w:r w:rsidR="00DF17E9">
          <w:rPr>
            <w:noProof/>
            <w:webHidden/>
          </w:rPr>
          <w:instrText xml:space="preserve"> PAGEREF _Toc462418834 \h </w:instrText>
        </w:r>
        <w:r w:rsidR="00DF17E9">
          <w:rPr>
            <w:noProof/>
            <w:webHidden/>
          </w:rPr>
        </w:r>
        <w:r w:rsidR="00DF17E9">
          <w:rPr>
            <w:noProof/>
            <w:webHidden/>
          </w:rPr>
          <w:fldChar w:fldCharType="separate"/>
        </w:r>
        <w:r w:rsidR="00E3704D">
          <w:rPr>
            <w:noProof/>
            <w:webHidden/>
          </w:rPr>
          <w:t>128</w:t>
        </w:r>
        <w:r w:rsidR="00DF17E9">
          <w:rPr>
            <w:noProof/>
            <w:webHidden/>
          </w:rPr>
          <w:fldChar w:fldCharType="end"/>
        </w:r>
      </w:hyperlink>
    </w:p>
    <w:p w:rsidR="00DF17E9" w:rsidRDefault="003A3C3D">
      <w:pPr>
        <w:pStyle w:val="TOC9"/>
        <w:rPr>
          <w:rFonts w:eastAsiaTheme="minorEastAsia"/>
          <w:noProof/>
          <w:sz w:val="22"/>
          <w:lang w:eastAsia="en-AU"/>
        </w:rPr>
      </w:pPr>
      <w:hyperlink w:anchor="_Toc462418835" w:history="1">
        <w:r w:rsidR="00DF17E9" w:rsidRPr="001B3EC1">
          <w:rPr>
            <w:rStyle w:val="Hyperlink"/>
            <w:noProof/>
            <w:lang w:val="en-US"/>
            <w14:scene3d>
              <w14:camera w14:prst="orthographicFront"/>
              <w14:lightRig w14:rig="threePt" w14:dir="t">
                <w14:rot w14:lat="0" w14:lon="0" w14:rev="0"/>
              </w14:lightRig>
            </w14:scene3d>
          </w:rPr>
          <w:t>8.2.8</w:t>
        </w:r>
        <w:r w:rsidR="00DF17E9">
          <w:rPr>
            <w:rFonts w:eastAsiaTheme="minorEastAsia"/>
            <w:noProof/>
            <w:sz w:val="22"/>
            <w:lang w:eastAsia="en-AU"/>
          </w:rPr>
          <w:tab/>
        </w:r>
        <w:r w:rsidR="00DF17E9" w:rsidRPr="001B3EC1">
          <w:rPr>
            <w:rStyle w:val="Hyperlink"/>
            <w:noProof/>
          </w:rPr>
          <w:t>Consolidated Fund payments: annual appropriations</w:t>
        </w:r>
        <w:r w:rsidR="00DF17E9">
          <w:rPr>
            <w:noProof/>
            <w:webHidden/>
          </w:rPr>
          <w:tab/>
        </w:r>
        <w:r w:rsidR="00DF17E9">
          <w:rPr>
            <w:noProof/>
            <w:webHidden/>
          </w:rPr>
          <w:fldChar w:fldCharType="begin"/>
        </w:r>
        <w:r w:rsidR="00DF17E9">
          <w:rPr>
            <w:noProof/>
            <w:webHidden/>
          </w:rPr>
          <w:instrText xml:space="preserve"> PAGEREF _Toc462418835 \h </w:instrText>
        </w:r>
        <w:r w:rsidR="00DF17E9">
          <w:rPr>
            <w:noProof/>
            <w:webHidden/>
          </w:rPr>
        </w:r>
        <w:r w:rsidR="00DF17E9">
          <w:rPr>
            <w:noProof/>
            <w:webHidden/>
          </w:rPr>
          <w:fldChar w:fldCharType="separate"/>
        </w:r>
        <w:r w:rsidR="00E3704D">
          <w:rPr>
            <w:noProof/>
            <w:webHidden/>
          </w:rPr>
          <w:t>129</w:t>
        </w:r>
        <w:r w:rsidR="00DF17E9">
          <w:rPr>
            <w:noProof/>
            <w:webHidden/>
          </w:rPr>
          <w:fldChar w:fldCharType="end"/>
        </w:r>
      </w:hyperlink>
    </w:p>
    <w:p w:rsidR="00DF17E9" w:rsidRDefault="003A3C3D">
      <w:pPr>
        <w:pStyle w:val="TOC9"/>
        <w:rPr>
          <w:rFonts w:eastAsiaTheme="minorEastAsia"/>
          <w:noProof/>
          <w:sz w:val="22"/>
          <w:lang w:eastAsia="en-AU"/>
        </w:rPr>
      </w:pPr>
      <w:hyperlink w:anchor="_Toc462418836" w:history="1">
        <w:r w:rsidR="00DF17E9" w:rsidRPr="001B3EC1">
          <w:rPr>
            <w:rStyle w:val="Hyperlink"/>
            <w:noProof/>
            <w:lang w:val="en-US"/>
            <w14:scene3d>
              <w14:camera w14:prst="orthographicFront"/>
              <w14:lightRig w14:rig="threePt" w14:dir="t">
                <w14:rot w14:lat="0" w14:lon="0" w14:rev="0"/>
              </w14:lightRig>
            </w14:scene3d>
          </w:rPr>
          <w:t>8.2.9</w:t>
        </w:r>
        <w:r w:rsidR="00DF17E9">
          <w:rPr>
            <w:rFonts w:eastAsiaTheme="minorEastAsia"/>
            <w:noProof/>
            <w:sz w:val="22"/>
            <w:lang w:eastAsia="en-AU"/>
          </w:rPr>
          <w:tab/>
        </w:r>
        <w:r w:rsidR="00DF17E9" w:rsidRPr="001B3EC1">
          <w:rPr>
            <w:rStyle w:val="Hyperlink"/>
            <w:noProof/>
          </w:rPr>
          <w:t xml:space="preserve">Amounts paid into working accounts pursuant to Section 23 of the </w:t>
        </w:r>
        <w:r w:rsidR="00DF17E9" w:rsidRPr="001B3EC1">
          <w:rPr>
            <w:rStyle w:val="Hyperlink"/>
            <w:i/>
            <w:noProof/>
          </w:rPr>
          <w:t>Financial Management Act 1994</w:t>
        </w:r>
        <w:r w:rsidR="00DF17E9" w:rsidRPr="001B3EC1">
          <w:rPr>
            <w:rStyle w:val="Hyperlink"/>
            <w:noProof/>
          </w:rPr>
          <w:t xml:space="preserve"> for the year ended 30 June</w:t>
        </w:r>
        <w:r w:rsidR="00DF17E9">
          <w:rPr>
            <w:noProof/>
            <w:webHidden/>
          </w:rPr>
          <w:tab/>
        </w:r>
        <w:r w:rsidR="00DF17E9">
          <w:rPr>
            <w:noProof/>
            <w:webHidden/>
          </w:rPr>
          <w:fldChar w:fldCharType="begin"/>
        </w:r>
        <w:r w:rsidR="00DF17E9">
          <w:rPr>
            <w:noProof/>
            <w:webHidden/>
          </w:rPr>
          <w:instrText xml:space="preserve"> PAGEREF _Toc462418836 \h </w:instrText>
        </w:r>
        <w:r w:rsidR="00DF17E9">
          <w:rPr>
            <w:noProof/>
            <w:webHidden/>
          </w:rPr>
        </w:r>
        <w:r w:rsidR="00DF17E9">
          <w:rPr>
            <w:noProof/>
            <w:webHidden/>
          </w:rPr>
          <w:fldChar w:fldCharType="separate"/>
        </w:r>
        <w:r w:rsidR="00E3704D">
          <w:rPr>
            <w:noProof/>
            <w:webHidden/>
          </w:rPr>
          <w:t>129</w:t>
        </w:r>
        <w:r w:rsidR="00DF17E9">
          <w:rPr>
            <w:noProof/>
            <w:webHidden/>
          </w:rPr>
          <w:fldChar w:fldCharType="end"/>
        </w:r>
      </w:hyperlink>
    </w:p>
    <w:p w:rsidR="00DF17E9" w:rsidRDefault="003A3C3D">
      <w:pPr>
        <w:pStyle w:val="TOC9"/>
        <w:rPr>
          <w:rFonts w:eastAsiaTheme="minorEastAsia"/>
          <w:noProof/>
          <w:sz w:val="22"/>
          <w:lang w:eastAsia="en-AU"/>
        </w:rPr>
      </w:pPr>
      <w:hyperlink w:anchor="_Toc462418837" w:history="1">
        <w:r w:rsidR="00DF17E9" w:rsidRPr="001B3EC1">
          <w:rPr>
            <w:rStyle w:val="Hyperlink"/>
            <w:noProof/>
            <w14:scene3d>
              <w14:camera w14:prst="orthographicFront"/>
              <w14:lightRig w14:rig="threePt" w14:dir="t">
                <w14:rot w14:lat="0" w14:lon="0" w14:rev="0"/>
              </w14:lightRig>
            </w14:scene3d>
          </w:rPr>
          <w:t>8.2.10</w:t>
        </w:r>
        <w:r w:rsidR="00DF17E9">
          <w:rPr>
            <w:rFonts w:eastAsiaTheme="minorEastAsia"/>
            <w:noProof/>
            <w:sz w:val="22"/>
            <w:lang w:eastAsia="en-AU"/>
          </w:rPr>
          <w:tab/>
        </w:r>
        <w:r w:rsidR="00DF17E9" w:rsidRPr="001B3EC1">
          <w:rPr>
            <w:rStyle w:val="Hyperlink"/>
            <w:noProof/>
          </w:rPr>
          <w:t xml:space="preserve">Allocations pursuant to Section 28 of the </w:t>
        </w:r>
        <w:r w:rsidR="00DF17E9" w:rsidRPr="001B3EC1">
          <w:rPr>
            <w:rStyle w:val="Hyperlink"/>
            <w:i/>
            <w:noProof/>
          </w:rPr>
          <w:t>Financial Management Act 1994</w:t>
        </w:r>
        <w:r w:rsidR="00DF17E9" w:rsidRPr="001B3EC1">
          <w:rPr>
            <w:rStyle w:val="Hyperlink"/>
            <w:noProof/>
          </w:rPr>
          <w:t xml:space="preserve"> for the financial year ended 30 June</w:t>
        </w:r>
        <w:r w:rsidR="00DF17E9">
          <w:rPr>
            <w:noProof/>
            <w:webHidden/>
          </w:rPr>
          <w:tab/>
        </w:r>
        <w:r w:rsidR="00DF17E9">
          <w:rPr>
            <w:noProof/>
            <w:webHidden/>
          </w:rPr>
          <w:fldChar w:fldCharType="begin"/>
        </w:r>
        <w:r w:rsidR="00DF17E9">
          <w:rPr>
            <w:noProof/>
            <w:webHidden/>
          </w:rPr>
          <w:instrText xml:space="preserve"> PAGEREF _Toc462418837 \h </w:instrText>
        </w:r>
        <w:r w:rsidR="00DF17E9">
          <w:rPr>
            <w:noProof/>
            <w:webHidden/>
          </w:rPr>
        </w:r>
        <w:r w:rsidR="00DF17E9">
          <w:rPr>
            <w:noProof/>
            <w:webHidden/>
          </w:rPr>
          <w:fldChar w:fldCharType="separate"/>
        </w:r>
        <w:r w:rsidR="00E3704D">
          <w:rPr>
            <w:noProof/>
            <w:webHidden/>
          </w:rPr>
          <w:t>130</w:t>
        </w:r>
        <w:r w:rsidR="00DF17E9">
          <w:rPr>
            <w:noProof/>
            <w:webHidden/>
          </w:rPr>
          <w:fldChar w:fldCharType="end"/>
        </w:r>
      </w:hyperlink>
    </w:p>
    <w:p w:rsidR="00DF17E9" w:rsidRDefault="003A3C3D">
      <w:pPr>
        <w:pStyle w:val="TOC9"/>
        <w:rPr>
          <w:rFonts w:eastAsiaTheme="minorEastAsia"/>
          <w:noProof/>
          <w:sz w:val="22"/>
          <w:lang w:eastAsia="en-AU"/>
        </w:rPr>
      </w:pPr>
      <w:hyperlink w:anchor="_Toc462418838" w:history="1">
        <w:r w:rsidR="00DF17E9" w:rsidRPr="001B3EC1">
          <w:rPr>
            <w:rStyle w:val="Hyperlink"/>
            <w:noProof/>
            <w:lang w:val="en-US"/>
            <w14:scene3d>
              <w14:camera w14:prst="orthographicFront"/>
              <w14:lightRig w14:rig="threePt" w14:dir="t">
                <w14:rot w14:lat="0" w14:lon="0" w14:rev="0"/>
              </w14:lightRig>
            </w14:scene3d>
          </w:rPr>
          <w:t>8.2.11</w:t>
        </w:r>
        <w:r w:rsidR="00DF17E9">
          <w:rPr>
            <w:rFonts w:eastAsiaTheme="minorEastAsia"/>
            <w:noProof/>
            <w:sz w:val="22"/>
            <w:lang w:eastAsia="en-AU"/>
          </w:rPr>
          <w:tab/>
        </w:r>
        <w:r w:rsidR="00DF17E9" w:rsidRPr="001B3EC1">
          <w:rPr>
            <w:rStyle w:val="Hyperlink"/>
            <w:noProof/>
          </w:rPr>
          <w:t xml:space="preserve">Transfers pursuant to Sections 30 and 31 of the </w:t>
        </w:r>
        <w:r w:rsidR="00DF17E9" w:rsidRPr="001B3EC1">
          <w:rPr>
            <w:rStyle w:val="Hyperlink"/>
            <w:i/>
            <w:noProof/>
          </w:rPr>
          <w:t>Financial Management Act 1994</w:t>
        </w:r>
        <w:r w:rsidR="00DF17E9" w:rsidRPr="001B3EC1">
          <w:rPr>
            <w:rStyle w:val="Hyperlink"/>
            <w:noProof/>
          </w:rPr>
          <w:t xml:space="preserve"> for the financial year ended 30 June 2016</w:t>
        </w:r>
        <w:r w:rsidR="00DF17E9">
          <w:rPr>
            <w:noProof/>
            <w:webHidden/>
          </w:rPr>
          <w:tab/>
        </w:r>
        <w:r w:rsidR="00DF17E9">
          <w:rPr>
            <w:noProof/>
            <w:webHidden/>
          </w:rPr>
          <w:fldChar w:fldCharType="begin"/>
        </w:r>
        <w:r w:rsidR="00DF17E9">
          <w:rPr>
            <w:noProof/>
            <w:webHidden/>
          </w:rPr>
          <w:instrText xml:space="preserve"> PAGEREF _Toc462418838 \h </w:instrText>
        </w:r>
        <w:r w:rsidR="00DF17E9">
          <w:rPr>
            <w:noProof/>
            <w:webHidden/>
          </w:rPr>
        </w:r>
        <w:r w:rsidR="00DF17E9">
          <w:rPr>
            <w:noProof/>
            <w:webHidden/>
          </w:rPr>
          <w:fldChar w:fldCharType="separate"/>
        </w:r>
        <w:r w:rsidR="00E3704D">
          <w:rPr>
            <w:noProof/>
            <w:webHidden/>
          </w:rPr>
          <w:t>130</w:t>
        </w:r>
        <w:r w:rsidR="00DF17E9">
          <w:rPr>
            <w:noProof/>
            <w:webHidden/>
          </w:rPr>
          <w:fldChar w:fldCharType="end"/>
        </w:r>
      </w:hyperlink>
    </w:p>
    <w:p w:rsidR="00DF17E9" w:rsidRDefault="003A3C3D">
      <w:pPr>
        <w:pStyle w:val="TOC9"/>
        <w:rPr>
          <w:rFonts w:eastAsiaTheme="minorEastAsia"/>
          <w:noProof/>
          <w:sz w:val="22"/>
          <w:lang w:eastAsia="en-AU"/>
        </w:rPr>
      </w:pPr>
      <w:hyperlink w:anchor="_Toc462418839" w:history="1">
        <w:r w:rsidR="00DF17E9" w:rsidRPr="001B3EC1">
          <w:rPr>
            <w:rStyle w:val="Hyperlink"/>
            <w:noProof/>
            <w:lang w:val="en-US"/>
            <w14:scene3d>
              <w14:camera w14:prst="orthographicFront"/>
              <w14:lightRig w14:rig="threePt" w14:dir="t">
                <w14:rot w14:lat="0" w14:lon="0" w14:rev="0"/>
              </w14:lightRig>
            </w14:scene3d>
          </w:rPr>
          <w:t>8.2.12</w:t>
        </w:r>
        <w:r w:rsidR="00DF17E9">
          <w:rPr>
            <w:rFonts w:eastAsiaTheme="minorEastAsia"/>
            <w:noProof/>
            <w:sz w:val="22"/>
            <w:lang w:eastAsia="en-AU"/>
          </w:rPr>
          <w:tab/>
        </w:r>
        <w:r w:rsidR="00DF17E9" w:rsidRPr="001B3EC1">
          <w:rPr>
            <w:rStyle w:val="Hyperlink"/>
            <w:noProof/>
          </w:rPr>
          <w:t xml:space="preserve">Appropriation of revenue and asset sale proceeds pursuant to Section 29 of the </w:t>
        </w:r>
        <w:r w:rsidR="00DF17E9" w:rsidRPr="001B3EC1">
          <w:rPr>
            <w:rStyle w:val="Hyperlink"/>
            <w:i/>
            <w:noProof/>
          </w:rPr>
          <w:t>Financial Management Act 1994</w:t>
        </w:r>
        <w:r w:rsidR="00DF17E9" w:rsidRPr="001B3EC1">
          <w:rPr>
            <w:rStyle w:val="Hyperlink"/>
            <w:noProof/>
          </w:rPr>
          <w:t xml:space="preserve"> for the financial year ended 30 June 2016</w:t>
        </w:r>
        <w:r w:rsidR="00DF17E9">
          <w:rPr>
            <w:noProof/>
            <w:webHidden/>
          </w:rPr>
          <w:tab/>
        </w:r>
        <w:r w:rsidR="00DF17E9">
          <w:rPr>
            <w:noProof/>
            <w:webHidden/>
          </w:rPr>
          <w:fldChar w:fldCharType="begin"/>
        </w:r>
        <w:r w:rsidR="00DF17E9">
          <w:rPr>
            <w:noProof/>
            <w:webHidden/>
          </w:rPr>
          <w:instrText xml:space="preserve"> PAGEREF _Toc462418839 \h </w:instrText>
        </w:r>
        <w:r w:rsidR="00DF17E9">
          <w:rPr>
            <w:noProof/>
            <w:webHidden/>
          </w:rPr>
        </w:r>
        <w:r w:rsidR="00DF17E9">
          <w:rPr>
            <w:noProof/>
            <w:webHidden/>
          </w:rPr>
          <w:fldChar w:fldCharType="separate"/>
        </w:r>
        <w:r w:rsidR="00E3704D">
          <w:rPr>
            <w:noProof/>
            <w:webHidden/>
          </w:rPr>
          <w:t>130</w:t>
        </w:r>
        <w:r w:rsidR="00DF17E9">
          <w:rPr>
            <w:noProof/>
            <w:webHidden/>
          </w:rPr>
          <w:fldChar w:fldCharType="end"/>
        </w:r>
      </w:hyperlink>
    </w:p>
    <w:p w:rsidR="00DF17E9" w:rsidRDefault="003A3C3D">
      <w:pPr>
        <w:pStyle w:val="TOC9"/>
        <w:rPr>
          <w:rFonts w:eastAsiaTheme="minorEastAsia"/>
          <w:noProof/>
          <w:sz w:val="22"/>
          <w:lang w:eastAsia="en-AU"/>
        </w:rPr>
      </w:pPr>
      <w:hyperlink w:anchor="_Toc462418840" w:history="1">
        <w:r w:rsidR="00DF17E9" w:rsidRPr="001B3EC1">
          <w:rPr>
            <w:rStyle w:val="Hyperlink"/>
            <w:noProof/>
            <w:lang w:val="en-US"/>
            <w14:scene3d>
              <w14:camera w14:prst="orthographicFront"/>
              <w14:lightRig w14:rig="threePt" w14:dir="t">
                <w14:rot w14:lat="0" w14:lon="0" w14:rev="0"/>
              </w14:lightRig>
            </w14:scene3d>
          </w:rPr>
          <w:t>8.2.13</w:t>
        </w:r>
        <w:r w:rsidR="00DF17E9">
          <w:rPr>
            <w:rFonts w:eastAsiaTheme="minorEastAsia"/>
            <w:noProof/>
            <w:sz w:val="22"/>
            <w:lang w:eastAsia="en-AU"/>
          </w:rPr>
          <w:tab/>
        </w:r>
        <w:r w:rsidR="00DF17E9" w:rsidRPr="00BE069A">
          <w:rPr>
            <w:rStyle w:val="Hyperlink"/>
            <w:noProof/>
            <w:spacing w:val="-3"/>
          </w:rPr>
          <w:t xml:space="preserve">Section 32 carryovers – </w:t>
        </w:r>
        <w:r w:rsidR="00DF17E9" w:rsidRPr="00BE069A">
          <w:rPr>
            <w:rStyle w:val="Hyperlink"/>
            <w:i/>
            <w:noProof/>
            <w:spacing w:val="-3"/>
          </w:rPr>
          <w:t>Financial Management Act 1994</w:t>
        </w:r>
        <w:r w:rsidR="00DF17E9" w:rsidRPr="00BE069A">
          <w:rPr>
            <w:rStyle w:val="Hyperlink"/>
            <w:noProof/>
            <w:spacing w:val="-3"/>
          </w:rPr>
          <w:t xml:space="preserve"> for the financial year ended 30 June</w:t>
        </w:r>
        <w:r w:rsidR="00DF17E9">
          <w:rPr>
            <w:noProof/>
            <w:webHidden/>
          </w:rPr>
          <w:tab/>
        </w:r>
        <w:r w:rsidR="00DF17E9">
          <w:rPr>
            <w:noProof/>
            <w:webHidden/>
          </w:rPr>
          <w:fldChar w:fldCharType="begin"/>
        </w:r>
        <w:r w:rsidR="00DF17E9">
          <w:rPr>
            <w:noProof/>
            <w:webHidden/>
          </w:rPr>
          <w:instrText xml:space="preserve"> PAGEREF _Toc462418840 \h </w:instrText>
        </w:r>
        <w:r w:rsidR="00DF17E9">
          <w:rPr>
            <w:noProof/>
            <w:webHidden/>
          </w:rPr>
        </w:r>
        <w:r w:rsidR="00DF17E9">
          <w:rPr>
            <w:noProof/>
            <w:webHidden/>
          </w:rPr>
          <w:fldChar w:fldCharType="separate"/>
        </w:r>
        <w:r w:rsidR="00E3704D">
          <w:rPr>
            <w:noProof/>
            <w:webHidden/>
          </w:rPr>
          <w:t>131</w:t>
        </w:r>
        <w:r w:rsidR="00DF17E9">
          <w:rPr>
            <w:noProof/>
            <w:webHidden/>
          </w:rPr>
          <w:fldChar w:fldCharType="end"/>
        </w:r>
      </w:hyperlink>
    </w:p>
    <w:p w:rsidR="00DF17E9" w:rsidRDefault="003A3C3D">
      <w:pPr>
        <w:pStyle w:val="TOC9"/>
        <w:rPr>
          <w:rFonts w:eastAsiaTheme="minorEastAsia"/>
          <w:noProof/>
          <w:sz w:val="22"/>
          <w:lang w:eastAsia="en-AU"/>
        </w:rPr>
      </w:pPr>
      <w:hyperlink w:anchor="_Toc462418841" w:history="1">
        <w:r w:rsidR="00DF17E9" w:rsidRPr="001B3EC1">
          <w:rPr>
            <w:rStyle w:val="Hyperlink"/>
            <w:noProof/>
            <w:lang w:val="en-US" w:eastAsia="en-AU"/>
            <w14:scene3d>
              <w14:camera w14:prst="orthographicFront"/>
              <w14:lightRig w14:rig="threePt" w14:dir="t">
                <w14:rot w14:lat="0" w14:lon="0" w14:rev="0"/>
              </w14:lightRig>
            </w14:scene3d>
          </w:rPr>
          <w:t>8.2.14</w:t>
        </w:r>
        <w:r w:rsidR="00DF17E9">
          <w:rPr>
            <w:rFonts w:eastAsiaTheme="minorEastAsia"/>
            <w:noProof/>
            <w:sz w:val="22"/>
            <w:lang w:eastAsia="en-AU"/>
          </w:rPr>
          <w:tab/>
        </w:r>
        <w:r w:rsidR="00DF17E9" w:rsidRPr="001B3EC1">
          <w:rPr>
            <w:rStyle w:val="Hyperlink"/>
            <w:noProof/>
          </w:rPr>
          <w:t>Payments from advance to the Treasurer for the financial year ended 30 June</w:t>
        </w:r>
        <w:r w:rsidR="00DF17E9">
          <w:rPr>
            <w:noProof/>
            <w:webHidden/>
          </w:rPr>
          <w:tab/>
        </w:r>
        <w:r w:rsidR="00DF17E9">
          <w:rPr>
            <w:noProof/>
            <w:webHidden/>
          </w:rPr>
          <w:fldChar w:fldCharType="begin"/>
        </w:r>
        <w:r w:rsidR="00DF17E9">
          <w:rPr>
            <w:noProof/>
            <w:webHidden/>
          </w:rPr>
          <w:instrText xml:space="preserve"> PAGEREF _Toc462418841 \h </w:instrText>
        </w:r>
        <w:r w:rsidR="00DF17E9">
          <w:rPr>
            <w:noProof/>
            <w:webHidden/>
          </w:rPr>
        </w:r>
        <w:r w:rsidR="00DF17E9">
          <w:rPr>
            <w:noProof/>
            <w:webHidden/>
          </w:rPr>
          <w:fldChar w:fldCharType="separate"/>
        </w:r>
        <w:r w:rsidR="00E3704D">
          <w:rPr>
            <w:noProof/>
            <w:webHidden/>
          </w:rPr>
          <w:t>132</w:t>
        </w:r>
        <w:r w:rsidR="00DF17E9">
          <w:rPr>
            <w:noProof/>
            <w:webHidden/>
          </w:rPr>
          <w:fldChar w:fldCharType="end"/>
        </w:r>
      </w:hyperlink>
    </w:p>
    <w:p w:rsidR="00DF17E9" w:rsidRDefault="003A3C3D">
      <w:pPr>
        <w:pStyle w:val="TOC9"/>
        <w:rPr>
          <w:rFonts w:eastAsiaTheme="minorEastAsia"/>
          <w:noProof/>
          <w:sz w:val="22"/>
          <w:lang w:eastAsia="en-AU"/>
        </w:rPr>
      </w:pPr>
      <w:hyperlink w:anchor="_Toc462418842" w:history="1">
        <w:r w:rsidR="00DF17E9" w:rsidRPr="001B3EC1">
          <w:rPr>
            <w:rStyle w:val="Hyperlink"/>
            <w:noProof/>
            <w:lang w:val="en-US"/>
            <w14:scene3d>
              <w14:camera w14:prst="orthographicFront"/>
              <w14:lightRig w14:rig="threePt" w14:dir="t">
                <w14:rot w14:lat="0" w14:lon="0" w14:rev="0"/>
              </w14:lightRig>
            </w14:scene3d>
          </w:rPr>
          <w:t>8.2.15</w:t>
        </w:r>
        <w:r w:rsidR="00DF17E9">
          <w:rPr>
            <w:rFonts w:eastAsiaTheme="minorEastAsia"/>
            <w:noProof/>
            <w:sz w:val="22"/>
            <w:lang w:eastAsia="en-AU"/>
          </w:rPr>
          <w:tab/>
        </w:r>
        <w:r w:rsidR="00DF17E9" w:rsidRPr="001B3EC1">
          <w:rPr>
            <w:rStyle w:val="Hyperlink"/>
            <w:noProof/>
          </w:rPr>
          <w:t>Payments from advances pursuant to Section 35 of the</w:t>
        </w:r>
        <w:r w:rsidR="00DF17E9" w:rsidRPr="001B3EC1">
          <w:rPr>
            <w:rStyle w:val="Hyperlink"/>
            <w:i/>
            <w:noProof/>
          </w:rPr>
          <w:t xml:space="preserve"> Financial Management Act 1994</w:t>
        </w:r>
        <w:r w:rsidR="00DF17E9" w:rsidRPr="001B3EC1">
          <w:rPr>
            <w:rStyle w:val="Hyperlink"/>
            <w:noProof/>
          </w:rPr>
          <w:t xml:space="preserve"> for the financial year ended 30 June</w:t>
        </w:r>
        <w:r w:rsidR="00DF17E9">
          <w:rPr>
            <w:noProof/>
            <w:webHidden/>
          </w:rPr>
          <w:tab/>
        </w:r>
        <w:r w:rsidR="00DF17E9">
          <w:rPr>
            <w:noProof/>
            <w:webHidden/>
          </w:rPr>
          <w:fldChar w:fldCharType="begin"/>
        </w:r>
        <w:r w:rsidR="00DF17E9">
          <w:rPr>
            <w:noProof/>
            <w:webHidden/>
          </w:rPr>
          <w:instrText xml:space="preserve"> PAGEREF _Toc462418842 \h </w:instrText>
        </w:r>
        <w:r w:rsidR="00DF17E9">
          <w:rPr>
            <w:noProof/>
            <w:webHidden/>
          </w:rPr>
        </w:r>
        <w:r w:rsidR="00DF17E9">
          <w:rPr>
            <w:noProof/>
            <w:webHidden/>
          </w:rPr>
          <w:fldChar w:fldCharType="separate"/>
        </w:r>
        <w:r w:rsidR="00E3704D">
          <w:rPr>
            <w:noProof/>
            <w:webHidden/>
          </w:rPr>
          <w:t>134</w:t>
        </w:r>
        <w:r w:rsidR="00DF17E9">
          <w:rPr>
            <w:noProof/>
            <w:webHidden/>
          </w:rPr>
          <w:fldChar w:fldCharType="end"/>
        </w:r>
      </w:hyperlink>
    </w:p>
    <w:p w:rsidR="00DF17E9" w:rsidRDefault="003A3C3D">
      <w:pPr>
        <w:pStyle w:val="TOC9"/>
        <w:rPr>
          <w:rFonts w:eastAsiaTheme="minorEastAsia"/>
          <w:noProof/>
          <w:sz w:val="22"/>
          <w:lang w:eastAsia="en-AU"/>
        </w:rPr>
      </w:pPr>
      <w:hyperlink w:anchor="_Toc462418843" w:history="1">
        <w:r w:rsidR="00DF17E9" w:rsidRPr="001B3EC1">
          <w:rPr>
            <w:rStyle w:val="Hyperlink"/>
            <w:noProof/>
            <w:lang w:val="en-US"/>
            <w14:scene3d>
              <w14:camera w14:prst="orthographicFront"/>
              <w14:lightRig w14:rig="threePt" w14:dir="t">
                <w14:rot w14:lat="0" w14:lon="0" w14:rev="0"/>
              </w14:lightRig>
            </w14:scene3d>
          </w:rPr>
          <w:t>8.2.16</w:t>
        </w:r>
        <w:r w:rsidR="00DF17E9">
          <w:rPr>
            <w:rFonts w:eastAsiaTheme="minorEastAsia"/>
            <w:noProof/>
            <w:sz w:val="22"/>
            <w:lang w:eastAsia="en-AU"/>
          </w:rPr>
          <w:tab/>
        </w:r>
        <w:r w:rsidR="00DF17E9" w:rsidRPr="001B3EC1">
          <w:rPr>
            <w:rStyle w:val="Hyperlink"/>
            <w:noProof/>
            <w:lang w:val="en-US"/>
          </w:rPr>
          <w:t>Unused advances carried forward to 2015-16 pursuant to Section 35(4) of the</w:t>
        </w:r>
        <w:r w:rsidR="00DF17E9" w:rsidRPr="001B3EC1">
          <w:rPr>
            <w:rStyle w:val="Hyperlink"/>
            <w:i/>
            <w:noProof/>
            <w:lang w:val="en-US"/>
          </w:rPr>
          <w:t xml:space="preserve"> Financial Management Act 1994</w:t>
        </w:r>
        <w:r w:rsidR="00DF17E9">
          <w:rPr>
            <w:noProof/>
            <w:webHidden/>
          </w:rPr>
          <w:tab/>
        </w:r>
        <w:r w:rsidR="00DF17E9">
          <w:rPr>
            <w:noProof/>
            <w:webHidden/>
          </w:rPr>
          <w:fldChar w:fldCharType="begin"/>
        </w:r>
        <w:r w:rsidR="00DF17E9">
          <w:rPr>
            <w:noProof/>
            <w:webHidden/>
          </w:rPr>
          <w:instrText xml:space="preserve"> PAGEREF _Toc462418843 \h </w:instrText>
        </w:r>
        <w:r w:rsidR="00DF17E9">
          <w:rPr>
            <w:noProof/>
            <w:webHidden/>
          </w:rPr>
        </w:r>
        <w:r w:rsidR="00DF17E9">
          <w:rPr>
            <w:noProof/>
            <w:webHidden/>
          </w:rPr>
          <w:fldChar w:fldCharType="separate"/>
        </w:r>
        <w:r w:rsidR="00E3704D">
          <w:rPr>
            <w:noProof/>
            <w:webHidden/>
          </w:rPr>
          <w:t>134</w:t>
        </w:r>
        <w:r w:rsidR="00DF17E9">
          <w:rPr>
            <w:noProof/>
            <w:webHidden/>
          </w:rPr>
          <w:fldChar w:fldCharType="end"/>
        </w:r>
      </w:hyperlink>
    </w:p>
    <w:p w:rsidR="00DF17E9" w:rsidRDefault="003A3C3D">
      <w:pPr>
        <w:pStyle w:val="TOC9"/>
        <w:rPr>
          <w:rFonts w:eastAsiaTheme="minorEastAsia"/>
          <w:noProof/>
          <w:sz w:val="22"/>
          <w:lang w:eastAsia="en-AU"/>
        </w:rPr>
      </w:pPr>
      <w:hyperlink w:anchor="_Toc462418844" w:history="1">
        <w:r w:rsidR="00DF17E9" w:rsidRPr="001B3EC1">
          <w:rPr>
            <w:rStyle w:val="Hyperlink"/>
            <w:noProof/>
            <w14:scene3d>
              <w14:camera w14:prst="orthographicFront"/>
              <w14:lightRig w14:rig="threePt" w14:dir="t">
                <w14:rot w14:lat="0" w14:lon="0" w14:rev="0"/>
              </w14:lightRig>
            </w14:scene3d>
          </w:rPr>
          <w:t>8.2.17</w:t>
        </w:r>
        <w:r w:rsidR="00DF17E9">
          <w:rPr>
            <w:rFonts w:eastAsiaTheme="minorEastAsia"/>
            <w:noProof/>
            <w:sz w:val="22"/>
            <w:lang w:eastAsia="en-AU"/>
          </w:rPr>
          <w:tab/>
        </w:r>
        <w:r w:rsidR="00DF17E9" w:rsidRPr="001B3EC1">
          <w:rPr>
            <w:rStyle w:val="Hyperlink"/>
            <w:noProof/>
          </w:rPr>
          <w:t>Government guarantees</w:t>
        </w:r>
        <w:r w:rsidR="00DF17E9">
          <w:rPr>
            <w:noProof/>
            <w:webHidden/>
          </w:rPr>
          <w:tab/>
        </w:r>
        <w:r w:rsidR="00DF17E9">
          <w:rPr>
            <w:noProof/>
            <w:webHidden/>
          </w:rPr>
          <w:fldChar w:fldCharType="begin"/>
        </w:r>
        <w:r w:rsidR="00DF17E9">
          <w:rPr>
            <w:noProof/>
            <w:webHidden/>
          </w:rPr>
          <w:instrText xml:space="preserve"> PAGEREF _Toc462418844 \h </w:instrText>
        </w:r>
        <w:r w:rsidR="00DF17E9">
          <w:rPr>
            <w:noProof/>
            <w:webHidden/>
          </w:rPr>
        </w:r>
        <w:r w:rsidR="00DF17E9">
          <w:rPr>
            <w:noProof/>
            <w:webHidden/>
          </w:rPr>
          <w:fldChar w:fldCharType="separate"/>
        </w:r>
        <w:r w:rsidR="00E3704D">
          <w:rPr>
            <w:noProof/>
            <w:webHidden/>
          </w:rPr>
          <w:t>134</w:t>
        </w:r>
        <w:r w:rsidR="00DF17E9">
          <w:rPr>
            <w:noProof/>
            <w:webHidden/>
          </w:rPr>
          <w:fldChar w:fldCharType="end"/>
        </w:r>
      </w:hyperlink>
    </w:p>
    <w:p w:rsidR="00DF17E9" w:rsidRDefault="00DF17E9" w:rsidP="00044843">
      <w:pPr>
        <w:pStyle w:val="TOC9"/>
      </w:pPr>
      <w:r>
        <w:fldChar w:fldCharType="end"/>
      </w:r>
    </w:p>
    <w:p w:rsidR="00DF17E9" w:rsidRDefault="00DF17E9" w:rsidP="007C5D19">
      <w:pPr>
        <w:sectPr w:rsidR="00DF17E9" w:rsidSect="007C5D19">
          <w:headerReference w:type="even" r:id="rId247"/>
          <w:headerReference w:type="default" r:id="rId248"/>
          <w:footerReference w:type="even" r:id="rId249"/>
          <w:footerReference w:type="default" r:id="rId250"/>
          <w:type w:val="continuous"/>
          <w:pgSz w:w="11906" w:h="16838" w:code="9"/>
          <w:pgMar w:top="1134" w:right="1134" w:bottom="1134" w:left="1134" w:header="624" w:footer="567" w:gutter="0"/>
          <w:cols w:num="2" w:space="708"/>
          <w:docGrid w:linePitch="360"/>
        </w:sectPr>
      </w:pPr>
    </w:p>
    <w:p w:rsidR="00DF17E9" w:rsidRDefault="00DF17E9">
      <w:pPr>
        <w:rPr>
          <w:rFonts w:asciiTheme="majorHAnsi" w:eastAsiaTheme="majorEastAsia" w:hAnsiTheme="majorHAnsi" w:cstheme="majorBidi"/>
          <w:b/>
          <w:bCs/>
          <w:spacing w:val="-2"/>
          <w:szCs w:val="26"/>
        </w:rPr>
      </w:pPr>
      <w:r>
        <w:lastRenderedPageBreak/>
        <w:br w:type="page"/>
      </w:r>
    </w:p>
    <w:p w:rsidR="00DF17E9" w:rsidRPr="00C12632" w:rsidRDefault="00DF17E9" w:rsidP="00044843">
      <w:pPr>
        <w:pStyle w:val="Heading3"/>
        <w:tabs>
          <w:tab w:val="right" w:pos="14742"/>
        </w:tabs>
        <w:rPr>
          <w:i/>
          <w:lang w:val="en-US" w:eastAsia="en-AU"/>
        </w:rPr>
      </w:pPr>
      <w:bookmarkStart w:id="73" w:name="_Toc462418828"/>
      <w:bookmarkStart w:id="74" w:name="Section_08_Public_Account"/>
      <w:r w:rsidRPr="001356E9">
        <w:lastRenderedPageBreak/>
        <w:t>Summarised consolidated fund receipts and payments for the financial year ended 30 June</w:t>
      </w:r>
      <w:r>
        <w:br/>
      </w:r>
      <w:r w:rsidRPr="00C06B3C">
        <w:rPr>
          <w:rStyle w:val="TableUnitsChar"/>
        </w:rPr>
        <w:tab/>
      </w:r>
      <w:r w:rsidRPr="00D932CC">
        <w:rPr>
          <w:rStyle w:val="TableUnitsChar"/>
        </w:rPr>
        <w:t>($ thousand)</w:t>
      </w:r>
      <w:bookmarkEnd w:id="73"/>
    </w:p>
    <w:tbl>
      <w:tblPr>
        <w:tblStyle w:val="TableDTFGeneral"/>
        <w:tblW w:w="9669" w:type="dxa"/>
        <w:tblLayout w:type="fixed"/>
        <w:tblLook w:val="06A0" w:firstRow="1" w:lastRow="0" w:firstColumn="1" w:lastColumn="0" w:noHBand="1" w:noVBand="1"/>
      </w:tblPr>
      <w:tblGrid>
        <w:gridCol w:w="6833"/>
        <w:gridCol w:w="597"/>
        <w:gridCol w:w="1104"/>
        <w:gridCol w:w="1135"/>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FFFFFF"/>
              </w:rPr>
            </w:pPr>
            <w:r w:rsidRPr="00C12632">
              <w:rPr>
                <w:color w:val="FFFFFF"/>
              </w:rPr>
              <w:t xml:space="preserve"> </w:t>
            </w:r>
          </w:p>
        </w:tc>
        <w:tc>
          <w:tcPr>
            <w:tcW w:w="597" w:type="dxa"/>
          </w:tcPr>
          <w:p w:rsidR="00DF17E9" w:rsidRPr="00C12632"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Notes</w:t>
            </w:r>
          </w:p>
        </w:tc>
        <w:tc>
          <w:tcPr>
            <w:tcW w:w="110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2016</w:t>
            </w:r>
          </w:p>
        </w:tc>
        <w:tc>
          <w:tcPr>
            <w:tcW w:w="1135"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Receipts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Taxation</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20 060 946</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18 657 330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Fines and regulatory fees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829 655</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835 262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Grants received </w:t>
            </w:r>
            <w:r w:rsidRPr="00C12632">
              <w:rPr>
                <w:color w:val="000000"/>
                <w:vertAlign w:val="superscript"/>
              </w:rPr>
              <w:t>(a)</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16 924 616</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15 897 920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Sales of goods and services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5 775 563</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5 446 707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Interest received</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501 351</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517 718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color w:val="000000"/>
              </w:rPr>
              <w:t>Dividends and income tax equivalent and rate equivalent receipts</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798 983</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1 004 217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color w:val="000000"/>
              </w:rPr>
              <w:t>Other receipts</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1 004 668</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422 732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nil"/>
            </w:tcBorders>
          </w:tcPr>
          <w:p w:rsidR="00DF17E9" w:rsidRPr="00C12632" w:rsidRDefault="00DF17E9" w:rsidP="006E44BF">
            <w:pPr>
              <w:ind w:left="113" w:hanging="113"/>
              <w:rPr>
                <w:color w:val="000000"/>
              </w:rPr>
            </w:pPr>
            <w:r w:rsidRPr="00C12632">
              <w:rPr>
                <w:b/>
                <w:color w:val="000000"/>
              </w:rPr>
              <w:t>Total cash inflows from operating activities</w:t>
            </w:r>
            <w:r w:rsidRPr="00C12632">
              <w:rPr>
                <w:b/>
                <w:color w:val="000000"/>
                <w:vertAlign w:val="superscript"/>
              </w:rPr>
              <w:t xml:space="preserve"> (a)</w:t>
            </w:r>
          </w:p>
        </w:tc>
        <w:tc>
          <w:tcPr>
            <w:tcW w:w="597" w:type="dxa"/>
            <w:tcBorders>
              <w:top w:val="single" w:sz="6" w:space="0" w:color="auto"/>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45 895 781</w:t>
            </w:r>
          </w:p>
        </w:tc>
        <w:tc>
          <w:tcPr>
            <w:tcW w:w="1135"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42 781 885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b/>
                <w:color w:val="000000"/>
              </w:rPr>
              <w:t>Total cash inflows from investing and financing activities</w:t>
            </w:r>
            <w:r w:rsidRPr="00C12632">
              <w:rPr>
                <w:b/>
                <w:color w:val="000000"/>
                <w:vertAlign w:val="superscript"/>
              </w:rPr>
              <w:t xml:space="preserve"> (a)</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584 824</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1 387 815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single" w:sz="6" w:space="0" w:color="auto"/>
            </w:tcBorders>
          </w:tcPr>
          <w:p w:rsidR="00DF17E9" w:rsidRPr="00C12632" w:rsidRDefault="00DF17E9" w:rsidP="006E44BF">
            <w:pPr>
              <w:ind w:left="113" w:hanging="113"/>
              <w:rPr>
                <w:color w:val="000000"/>
              </w:rPr>
            </w:pPr>
            <w:r w:rsidRPr="00C12632">
              <w:rPr>
                <w:b/>
                <w:color w:val="000000"/>
              </w:rPr>
              <w:t>Total consolidated fund receipts</w:t>
            </w:r>
            <w:r w:rsidRPr="00C12632">
              <w:rPr>
                <w:b/>
                <w:color w:val="000000"/>
                <w:vertAlign w:val="superscript"/>
              </w:rPr>
              <w:t xml:space="preserve"> (a)</w:t>
            </w:r>
          </w:p>
        </w:tc>
        <w:tc>
          <w:tcPr>
            <w:tcW w:w="597" w:type="dxa"/>
            <w:tcBorders>
              <w:top w:val="single" w:sz="6" w:space="0" w:color="auto"/>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8.2.2</w:t>
            </w:r>
          </w:p>
        </w:tc>
        <w:tc>
          <w:tcPr>
            <w:tcW w:w="1104"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46 480 605</w:t>
            </w:r>
          </w:p>
        </w:tc>
        <w:tc>
          <w:tcPr>
            <w:tcW w:w="1135"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44 169 700</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color w:val="000000"/>
              </w:rPr>
              <w:t xml:space="preserve"> </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Borders>
              <w:top w:val="single" w:sz="6"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Payments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Special appropriations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Special appropriations (excluding Section 33, </w:t>
            </w:r>
            <w:r w:rsidRPr="00C12632">
              <w:rPr>
                <w:i/>
                <w:color w:val="000000"/>
              </w:rPr>
              <w:t>Financial Management Act, No. 18 of 1994)</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3 886 531</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3 005 907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color w:val="000000"/>
              </w:rPr>
              <w:t xml:space="preserve">Section 28 </w:t>
            </w:r>
            <w:r w:rsidRPr="00C12632">
              <w:rPr>
                <w:i/>
                <w:color w:val="000000"/>
              </w:rPr>
              <w:t xml:space="preserve">Financial Management Act, No. 18 of 1994 (Appropriation for borrowing against future appropriations) </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8.2.10</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color w:val="000000"/>
              </w:rPr>
              <w:t xml:space="preserve">Section 33 </w:t>
            </w:r>
            <w:r w:rsidRPr="00C12632">
              <w:rPr>
                <w:i/>
                <w:color w:val="000000"/>
              </w:rPr>
              <w:t xml:space="preserve">Financial Management Act, No. 18 of 1994 </w:t>
            </w:r>
            <w:r w:rsidRPr="00C12632">
              <w:rPr>
                <w:i/>
                <w:color w:val="000000"/>
                <w:vertAlign w:val="superscript"/>
              </w:rPr>
              <w:t>(a)</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359 183</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175 679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b/>
                <w:color w:val="000000"/>
              </w:rPr>
              <w:t>Total special appropriations</w:t>
            </w:r>
            <w:r w:rsidRPr="00C12632">
              <w:rPr>
                <w:b/>
                <w:color w:val="000000"/>
                <w:vertAlign w:val="superscript"/>
              </w:rPr>
              <w:t xml:space="preserve"> (a)</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8.2.7</w:t>
            </w:r>
          </w:p>
        </w:tc>
        <w:tc>
          <w:tcPr>
            <w:tcW w:w="1104"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4 245 714</w:t>
            </w:r>
          </w:p>
        </w:tc>
        <w:tc>
          <w:tcPr>
            <w:tcW w:w="1135"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3 181 586</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 xml:space="preserve">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Annual appropriations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Provision of outputs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Provision of outputs – net application</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8.2.8</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34 852 019</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33 502 578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Section 29 </w:t>
            </w:r>
            <w:r w:rsidRPr="00C12632">
              <w:rPr>
                <w:i/>
                <w:color w:val="000000"/>
              </w:rPr>
              <w:t>Financial Management Act, No. 18 of 1994</w:t>
            </w:r>
            <w:r w:rsidRPr="00C12632">
              <w:rPr>
                <w:color w:val="000000"/>
              </w:rPr>
              <w:t xml:space="preserve"> (appropriation of annotated receipts)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8.2.12</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2 118 374</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2 060 871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Section 32</w:t>
            </w:r>
            <w:r w:rsidRPr="00C12632">
              <w:rPr>
                <w:i/>
                <w:color w:val="000000"/>
              </w:rPr>
              <w:t xml:space="preserve"> Financial Management Act, No. 18 of 1994</w:t>
            </w:r>
            <w:r w:rsidRPr="00C12632">
              <w:rPr>
                <w:color w:val="000000"/>
              </w:rPr>
              <w:t xml:space="preserve"> (prior year unspent appropriations brought forward)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8.2.13</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808 281</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756 702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color w:val="000000"/>
              </w:rPr>
              <w:t xml:space="preserve">Section 35 </w:t>
            </w:r>
            <w:r w:rsidRPr="00C12632">
              <w:rPr>
                <w:i/>
                <w:color w:val="000000"/>
              </w:rPr>
              <w:t xml:space="preserve">Financial Management Act, No. 18 of 1994 </w:t>
            </w:r>
            <w:r w:rsidRPr="00C12632">
              <w:rPr>
                <w:color w:val="000000"/>
              </w:rPr>
              <w:t>(temporary advances)</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8.2.15</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27 973</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10 837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color w:val="000000"/>
              </w:rPr>
              <w:t>Advance to Treasurer to be sanctioned</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8.2.14</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596 422</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291 490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b/>
                <w:color w:val="000000"/>
              </w:rPr>
              <w:t>Total provision of outputs</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38 403 070</w:t>
            </w:r>
          </w:p>
        </w:tc>
        <w:tc>
          <w:tcPr>
            <w:tcW w:w="1135"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36 622 478</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 xml:space="preserve">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Additions to net asset base</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Additions to net asset base – net application</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8.2.8</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1 669 334</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1 825 471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Section 29 </w:t>
            </w:r>
            <w:r w:rsidRPr="00C12632">
              <w:rPr>
                <w:i/>
                <w:color w:val="000000"/>
              </w:rPr>
              <w:t xml:space="preserve">Financial Management Act, No. 18 of 1994 </w:t>
            </w:r>
            <w:r w:rsidRPr="00C12632">
              <w:rPr>
                <w:color w:val="000000"/>
              </w:rPr>
              <w:t>(appropriation of annotated receipts)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8.2.12</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125 268</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459 364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Section 32</w:t>
            </w:r>
            <w:r w:rsidRPr="00C12632">
              <w:rPr>
                <w:i/>
                <w:color w:val="000000"/>
              </w:rPr>
              <w:t xml:space="preserve"> Financial Management Act, No. 18 of 1994</w:t>
            </w:r>
            <w:r w:rsidRPr="00C12632">
              <w:rPr>
                <w:color w:val="000000"/>
              </w:rPr>
              <w:t xml:space="preserve"> (prior year unspent appropriations brought forward)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8.2.13</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192 926</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661 571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color w:val="000000"/>
              </w:rPr>
              <w:t xml:space="preserve">Section 35 </w:t>
            </w:r>
            <w:r w:rsidRPr="00C12632">
              <w:rPr>
                <w:i/>
                <w:color w:val="000000"/>
              </w:rPr>
              <w:t>Financial Management Act, No. 18 of 1994</w:t>
            </w:r>
            <w:r w:rsidRPr="00C12632">
              <w:rPr>
                <w:color w:val="000000"/>
              </w:rPr>
              <w:t xml:space="preserve"> (temporary advances)</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8.2.15</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156 562</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color w:val="000000"/>
              </w:rPr>
              <w:t>Advance to Treasurer to be sanctioned</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8.2.14</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296 394</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34 012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b/>
                <w:color w:val="000000"/>
              </w:rPr>
              <w:t>Total additions to net asset base</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2 440 485</w:t>
            </w:r>
          </w:p>
        </w:tc>
        <w:tc>
          <w:tcPr>
            <w:tcW w:w="1135"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2 980 418</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 xml:space="preserve">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Payments made on behalf of the State</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Payments made on behalf of the State</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8.2.8</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2 444 003</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2 442 402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Section 32 </w:t>
            </w:r>
            <w:r w:rsidRPr="00C12632">
              <w:rPr>
                <w:i/>
                <w:color w:val="000000"/>
              </w:rPr>
              <w:t>Financial Management Act, No. 18 of 1994</w:t>
            </w:r>
            <w:r w:rsidRPr="00C12632">
              <w:rPr>
                <w:color w:val="000000"/>
              </w:rPr>
              <w:t xml:space="preserve"> (prior year unspent appropriations brought forward)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8.2.13</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11 991</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6 545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color w:val="000000"/>
              </w:rPr>
              <w:t xml:space="preserve">Section 35 </w:t>
            </w:r>
            <w:r w:rsidRPr="00C12632">
              <w:rPr>
                <w:i/>
                <w:color w:val="000000"/>
              </w:rPr>
              <w:t>Financial Management Act, No. 18 of 1994</w:t>
            </w:r>
            <w:r w:rsidRPr="00C12632">
              <w:rPr>
                <w:color w:val="000000"/>
              </w:rPr>
              <w:t xml:space="preserve"> (temporary advances)</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8.2.15</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color w:val="000000"/>
              </w:rPr>
              <w:t>Advance to Treasurer to be sanctioned</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8.2.14</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b/>
                <w:color w:val="000000"/>
              </w:rPr>
              <w:t>Total payments made on behalf of State</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2 455 994</w:t>
            </w:r>
          </w:p>
        </w:tc>
        <w:tc>
          <w:tcPr>
            <w:tcW w:w="1135"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2 448 946</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Other</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Contribution by the State under agreements pursuant to Section 25 of </w:t>
            </w:r>
            <w:r w:rsidRPr="00C12632">
              <w:rPr>
                <w:i/>
                <w:color w:val="000000"/>
              </w:rPr>
              <w:t>the Murray-Darling Basin Act 1993</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14 856</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18 000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i/>
                <w:color w:val="000000"/>
              </w:rPr>
              <w:t xml:space="preserve">Section 32 Financial Management Act, No. 18 of 1994 – </w:t>
            </w:r>
            <w:r w:rsidRPr="00C12632">
              <w:rPr>
                <w:color w:val="000000"/>
              </w:rPr>
              <w:t xml:space="preserve">Section 25 </w:t>
            </w:r>
            <w:r w:rsidRPr="00C12632">
              <w:rPr>
                <w:i/>
                <w:color w:val="000000"/>
              </w:rPr>
              <w:t>of the Murray-Darling Basin Act 1993</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8 712</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color w:val="000000"/>
              </w:rPr>
              <w:t xml:space="preserve">Victorian Law Reform Commission - pursuant to Section 17(b) of </w:t>
            </w:r>
            <w:r w:rsidRPr="00C12632">
              <w:rPr>
                <w:i/>
                <w:color w:val="000000"/>
              </w:rPr>
              <w:t>the Victorian Law Reform Commission Act 2000</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706</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color w:val="000000"/>
              </w:rPr>
              <w:t xml:space="preserve">Payment to Regional Growth Fund pursuant to Section 4 of </w:t>
            </w:r>
            <w:r w:rsidRPr="00C12632">
              <w:rPr>
                <w:i/>
                <w:color w:val="000000"/>
              </w:rPr>
              <w:t>the Regional Growth Fund Act No. 8 of 2011</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125 000</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121 377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b/>
                <w:color w:val="000000"/>
              </w:rPr>
              <w:t>Total other</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149 274</w:t>
            </w:r>
          </w:p>
        </w:tc>
        <w:tc>
          <w:tcPr>
            <w:tcW w:w="1135"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140 097</w:t>
            </w:r>
          </w:p>
        </w:tc>
      </w:tr>
    </w:tbl>
    <w:p w:rsidR="006E44BF" w:rsidRDefault="006E44BF"/>
    <w:p w:rsidR="006E44BF" w:rsidRPr="00C12632" w:rsidRDefault="006E44BF" w:rsidP="006E44BF">
      <w:pPr>
        <w:pStyle w:val="Subheading"/>
        <w:tabs>
          <w:tab w:val="left" w:pos="709"/>
        </w:tabs>
        <w:rPr>
          <w:i/>
          <w:lang w:val="en-US" w:eastAsia="en-AU"/>
        </w:rPr>
      </w:pPr>
      <w:r>
        <w:lastRenderedPageBreak/>
        <w:t>8.2.1</w:t>
      </w:r>
      <w:r>
        <w:tab/>
      </w:r>
      <w:r w:rsidRPr="001356E9">
        <w:t>Summarised consolidated fund receipts and payments for the financial year ended 30 June</w:t>
      </w:r>
      <w:r>
        <w:br/>
      </w:r>
      <w:r>
        <w:rPr>
          <w:i/>
        </w:rPr>
        <w:tab/>
      </w:r>
      <w:r w:rsidRPr="006E44BF">
        <w:rPr>
          <w:i/>
        </w:rPr>
        <w:t>(continued)</w:t>
      </w:r>
      <w:r w:rsidRPr="00C06B3C">
        <w:rPr>
          <w:rStyle w:val="TableUnitsChar"/>
        </w:rPr>
        <w:tab/>
      </w:r>
      <w:r w:rsidRPr="00D932CC">
        <w:rPr>
          <w:rStyle w:val="TableUnitsChar"/>
        </w:rPr>
        <w:t>($ thousand)</w:t>
      </w:r>
    </w:p>
    <w:tbl>
      <w:tblPr>
        <w:tblStyle w:val="TableDTFGeneral"/>
        <w:tblW w:w="9669" w:type="dxa"/>
        <w:tblLayout w:type="fixed"/>
        <w:tblLook w:val="04A0" w:firstRow="1" w:lastRow="0" w:firstColumn="1" w:lastColumn="0" w:noHBand="0" w:noVBand="1"/>
      </w:tblPr>
      <w:tblGrid>
        <w:gridCol w:w="6833"/>
        <w:gridCol w:w="597"/>
        <w:gridCol w:w="1104"/>
        <w:gridCol w:w="1135"/>
      </w:tblGrid>
      <w:tr w:rsidR="006E44BF" w:rsidRPr="00C12632" w:rsidTr="006E4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3" w:type="dxa"/>
          </w:tcPr>
          <w:p w:rsidR="006E44BF" w:rsidRPr="00C12632" w:rsidRDefault="006E44BF" w:rsidP="006E44BF">
            <w:pPr>
              <w:ind w:left="113" w:hanging="113"/>
              <w:rPr>
                <w:color w:val="FFFFFF"/>
              </w:rPr>
            </w:pPr>
          </w:p>
        </w:tc>
        <w:tc>
          <w:tcPr>
            <w:tcW w:w="597" w:type="dxa"/>
          </w:tcPr>
          <w:p w:rsidR="006E44BF" w:rsidRPr="00C12632" w:rsidRDefault="006E44BF" w:rsidP="006E44BF">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Notes</w:t>
            </w:r>
          </w:p>
        </w:tc>
        <w:tc>
          <w:tcPr>
            <w:tcW w:w="1104" w:type="dxa"/>
          </w:tcPr>
          <w:p w:rsidR="006E44BF" w:rsidRPr="00C12632" w:rsidRDefault="006E44BF" w:rsidP="006E44BF">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2016</w:t>
            </w:r>
          </w:p>
        </w:tc>
        <w:tc>
          <w:tcPr>
            <w:tcW w:w="1135" w:type="dxa"/>
          </w:tcPr>
          <w:p w:rsidR="006E44BF" w:rsidRPr="00C12632" w:rsidRDefault="006E44BF" w:rsidP="006E44BF">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b/>
                <w:color w:val="000000"/>
              </w:rPr>
              <w:t>Total annual appropriations</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43 448 823</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42 191 940</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pPr>
            <w:r w:rsidRPr="00C12632">
              <w:rPr>
                <w:color w:val="000000"/>
              </w:rPr>
              <w:t xml:space="preserve">Applied appropriations remaining unspent relating to the 2015-16 appropriations </w:t>
            </w:r>
            <w:r w:rsidRPr="00C12632">
              <w:rPr>
                <w:color w:val="000000"/>
                <w:vertAlign w:val="superscript"/>
              </w:rPr>
              <w:t>(</w:t>
            </w:r>
            <w:r w:rsidRPr="00C12632">
              <w:rPr>
                <w:vertAlign w:val="superscript"/>
              </w:rPr>
              <w:t>a)</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(1 095 338)</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(1 395 354)</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single" w:sz="6" w:space="0" w:color="auto"/>
            </w:tcBorders>
          </w:tcPr>
          <w:p w:rsidR="00DF17E9" w:rsidRPr="00C12632" w:rsidRDefault="00DF17E9" w:rsidP="006E44BF">
            <w:pPr>
              <w:ind w:left="113" w:hanging="113"/>
              <w:rPr>
                <w:color w:val="000000"/>
              </w:rPr>
            </w:pPr>
            <w:r w:rsidRPr="00C12632">
              <w:rPr>
                <w:b/>
                <w:color w:val="000000"/>
              </w:rPr>
              <w:t xml:space="preserve">Total payments </w:t>
            </w:r>
            <w:r w:rsidRPr="00C12632">
              <w:rPr>
                <w:b/>
                <w:color w:val="000000"/>
                <w:vertAlign w:val="superscript"/>
              </w:rPr>
              <w:t>(a)</w:t>
            </w:r>
          </w:p>
        </w:tc>
        <w:tc>
          <w:tcPr>
            <w:tcW w:w="597" w:type="dxa"/>
            <w:tcBorders>
              <w:top w:val="single" w:sz="6" w:space="0" w:color="auto"/>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46 599 199</w:t>
            </w:r>
          </w:p>
        </w:tc>
        <w:tc>
          <w:tcPr>
            <w:tcW w:w="1135"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43 978 173</w:t>
            </w:r>
          </w:p>
        </w:tc>
      </w:tr>
      <w:tr w:rsidR="00DF17E9" w:rsidRPr="00C12632" w:rsidTr="00044843">
        <w:tblPrEx>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color w:val="000000"/>
              </w:rPr>
              <w:t xml:space="preserve"> </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Borders>
              <w:top w:val="single" w:sz="6"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b/>
                <w:color w:val="000000"/>
              </w:rPr>
              <w:t xml:space="preserve">Consolidated fund balance 1 July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639 110</w:t>
            </w:r>
          </w:p>
        </w:tc>
        <w:tc>
          <w:tcPr>
            <w:tcW w:w="113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447 582</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rPr>
                <w:color w:val="000000"/>
              </w:rPr>
            </w:pPr>
            <w:r w:rsidRPr="00C12632">
              <w:rPr>
                <w:b/>
                <w:color w:val="000000"/>
              </w:rPr>
              <w:t xml:space="preserve">Add total receipts for year </w:t>
            </w:r>
            <w:r w:rsidRPr="00C12632">
              <w:rPr>
                <w:b/>
                <w:color w:val="000000"/>
                <w:vertAlign w:val="superscript"/>
              </w:rPr>
              <w:t>(a)</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46 480 605</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44 169 700</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b/>
                <w:color w:val="000000"/>
              </w:rPr>
              <w:t>Less total payments for year</w:t>
            </w:r>
            <w:r w:rsidRPr="00C12632">
              <w:rPr>
                <w:b/>
                <w:color w:val="000000"/>
                <w:vertAlign w:val="superscript"/>
              </w:rPr>
              <w:t xml:space="preserve"> (a)</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(46 599 199)</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(43 978 173)</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single" w:sz="6" w:space="0" w:color="auto"/>
            </w:tcBorders>
          </w:tcPr>
          <w:p w:rsidR="00DF17E9" w:rsidRPr="00C12632" w:rsidRDefault="00DF17E9" w:rsidP="006E44BF">
            <w:pPr>
              <w:ind w:left="113" w:hanging="113"/>
              <w:rPr>
                <w:color w:val="000000"/>
              </w:rPr>
            </w:pPr>
            <w:r w:rsidRPr="00C12632">
              <w:rPr>
                <w:b/>
                <w:color w:val="000000"/>
              </w:rPr>
              <w:t xml:space="preserve">Consolidated fund balance 30 June </w:t>
            </w:r>
            <w:r w:rsidRPr="00C12632">
              <w:rPr>
                <w:b/>
                <w:color w:val="000000"/>
                <w:vertAlign w:val="superscript"/>
              </w:rPr>
              <w:t>(a)</w:t>
            </w:r>
          </w:p>
        </w:tc>
        <w:tc>
          <w:tcPr>
            <w:tcW w:w="597" w:type="dxa"/>
            <w:tcBorders>
              <w:top w:val="single" w:sz="6" w:space="0" w:color="auto"/>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520 516</w:t>
            </w:r>
          </w:p>
        </w:tc>
        <w:tc>
          <w:tcPr>
            <w:tcW w:w="1135"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639 110</w:t>
            </w:r>
          </w:p>
        </w:tc>
      </w:tr>
      <w:tr w:rsidR="00DF17E9" w:rsidRPr="00C12632" w:rsidTr="00044843">
        <w:tblPrEx>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tcBorders>
          </w:tcPr>
          <w:p w:rsidR="00DF17E9" w:rsidRPr="00C12632" w:rsidRDefault="00DF17E9" w:rsidP="006E44BF">
            <w:pPr>
              <w:ind w:left="113" w:hanging="113"/>
              <w:rPr>
                <w:color w:val="000000"/>
              </w:rPr>
            </w:pPr>
            <w:r w:rsidRPr="00C12632">
              <w:rPr>
                <w:color w:val="000000"/>
              </w:rPr>
              <w:t xml:space="preserve"> </w:t>
            </w:r>
          </w:p>
        </w:tc>
        <w:tc>
          <w:tcPr>
            <w:tcW w:w="597" w:type="dxa"/>
            <w:tcBorders>
              <w:top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tcBorders>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Borders>
              <w:top w:val="single" w:sz="6"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blPrEx>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color w:val="000000"/>
              </w:rPr>
              <w:t xml:space="preserve"> </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Pr>
          <w:p w:rsidR="00DF17E9" w:rsidRPr="00C12632" w:rsidRDefault="00DF17E9" w:rsidP="006E44BF">
            <w:pPr>
              <w:ind w:left="113" w:hanging="113"/>
              <w:rPr>
                <w:color w:val="000000"/>
              </w:rPr>
            </w:pPr>
            <w:r w:rsidRPr="00C12632">
              <w:rPr>
                <w:i/>
                <w:color w:val="000000"/>
              </w:rPr>
              <w:t>Reconciliation of unspent appropriations:</w:t>
            </w:r>
          </w:p>
        </w:tc>
        <w:tc>
          <w:tcPr>
            <w:tcW w:w="597" w:type="dxa"/>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shd w:val="clear" w:color="auto" w:fill="EBEBEB"/>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i/>
                <w:color w:val="000000"/>
              </w:rPr>
              <w:t xml:space="preserve"> </w:t>
            </w:r>
          </w:p>
        </w:tc>
        <w:tc>
          <w:tcPr>
            <w:tcW w:w="1135"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C12632" w:rsidRDefault="00DF17E9" w:rsidP="006E44BF">
            <w:pPr>
              <w:ind w:left="113" w:hanging="113"/>
            </w:pPr>
            <w:r w:rsidRPr="00C12632">
              <w:rPr>
                <w:i/>
                <w:color w:val="000000"/>
              </w:rPr>
              <w:t xml:space="preserve">   Applied appropriations unspent at end of year</w:t>
            </w:r>
            <w:r w:rsidRPr="00C12632">
              <w:rPr>
                <w:color w:val="000000"/>
              </w:rPr>
              <w:t xml:space="preserve"> </w:t>
            </w:r>
            <w:r w:rsidRPr="00C12632">
              <w:rPr>
                <w:vertAlign w:val="superscript"/>
              </w:rPr>
              <w:t>(a)</w:t>
            </w:r>
          </w:p>
        </w:tc>
        <w:tc>
          <w:tcPr>
            <w:tcW w:w="597" w:type="dxa"/>
            <w:tcBorders>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7 042 300</w:t>
            </w:r>
          </w:p>
        </w:tc>
        <w:tc>
          <w:tcPr>
            <w:tcW w:w="113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6 306 145</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A432AC">
            <w:pPr>
              <w:ind w:left="227" w:hanging="227"/>
              <w:rPr>
                <w:color w:val="000000"/>
              </w:rPr>
            </w:pPr>
            <w:r w:rsidRPr="00C12632">
              <w:rPr>
                <w:i/>
                <w:color w:val="000000"/>
              </w:rPr>
              <w:t xml:space="preserve">   add payments made during the year under the </w:t>
            </w:r>
            <w:r w:rsidRPr="00C12632">
              <w:rPr>
                <w:color w:val="000000"/>
              </w:rPr>
              <w:t>Financial Management Act, No. 18 of 1994,</w:t>
            </w:r>
            <w:r w:rsidRPr="00C12632">
              <w:rPr>
                <w:i/>
                <w:color w:val="000000"/>
              </w:rPr>
              <w:t xml:space="preserve"> Section 33</w:t>
            </w:r>
            <w:r w:rsidRPr="00C12632">
              <w:rPr>
                <w:i/>
                <w:color w:val="000000"/>
                <w:vertAlign w:val="superscript"/>
              </w:rPr>
              <w:t xml:space="preserve"> (a)</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359 183</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175 679</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nil"/>
            </w:tcBorders>
          </w:tcPr>
          <w:p w:rsidR="00DF17E9" w:rsidRPr="00C12632" w:rsidRDefault="00DF17E9" w:rsidP="006E44BF">
            <w:pPr>
              <w:ind w:left="113" w:hanging="113"/>
            </w:pPr>
            <w:r w:rsidRPr="00C12632">
              <w:rPr>
                <w:b/>
                <w:i/>
                <w:color w:val="000000"/>
              </w:rPr>
              <w:t xml:space="preserve">   Subtotal</w:t>
            </w:r>
            <w:r w:rsidRPr="00C12632">
              <w:rPr>
                <w:color w:val="000000"/>
              </w:rPr>
              <w:t xml:space="preserve"> </w:t>
            </w:r>
            <w:r w:rsidRPr="00C12632">
              <w:rPr>
                <w:vertAlign w:val="superscript"/>
              </w:rPr>
              <w:t>(a)</w:t>
            </w:r>
          </w:p>
        </w:tc>
        <w:tc>
          <w:tcPr>
            <w:tcW w:w="597" w:type="dxa"/>
            <w:tcBorders>
              <w:top w:val="single" w:sz="6" w:space="0" w:color="auto"/>
              <w:bottom w:val="nil"/>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bottom w:val="nil"/>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7 401 483</w:t>
            </w:r>
          </w:p>
        </w:tc>
        <w:tc>
          <w:tcPr>
            <w:tcW w:w="1135"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6 481 824</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C12632" w:rsidRDefault="00DF17E9" w:rsidP="006E44BF">
            <w:pPr>
              <w:ind w:left="113" w:hanging="113"/>
              <w:rPr>
                <w:color w:val="000000"/>
              </w:rPr>
            </w:pPr>
            <w:r w:rsidRPr="00C12632">
              <w:rPr>
                <w:i/>
                <w:color w:val="000000"/>
              </w:rPr>
              <w:t xml:space="preserve">   less applied appropriations unspent at beginning of year</w:t>
            </w:r>
          </w:p>
        </w:tc>
        <w:tc>
          <w:tcPr>
            <w:tcW w:w="597" w:type="dxa"/>
            <w:tcBorders>
              <w:bottom w:val="single" w:sz="6"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bottom w:val="single" w:sz="6"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(6 306 145)</w:t>
            </w:r>
          </w:p>
        </w:tc>
        <w:tc>
          <w:tcPr>
            <w:tcW w:w="113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(5 086 470)</w:t>
            </w:r>
          </w:p>
        </w:tc>
      </w:tr>
      <w:tr w:rsidR="00DF17E9" w:rsidRPr="00C12632" w:rsidTr="00044843">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single" w:sz="12" w:space="0" w:color="auto"/>
            </w:tcBorders>
          </w:tcPr>
          <w:p w:rsidR="00DF17E9" w:rsidRPr="00C12632" w:rsidRDefault="00DF17E9" w:rsidP="006E44BF">
            <w:pPr>
              <w:ind w:left="113" w:hanging="113"/>
            </w:pPr>
            <w:r w:rsidRPr="00C12632">
              <w:rPr>
                <w:i/>
                <w:color w:val="000000"/>
              </w:rPr>
              <w:t xml:space="preserve">   Current year appropriations remaining unspent as at 30 June</w:t>
            </w:r>
            <w:r w:rsidRPr="00C12632">
              <w:rPr>
                <w:i/>
                <w:color w:val="000000"/>
                <w:vertAlign w:val="superscript"/>
              </w:rPr>
              <w:t xml:space="preserve">  </w:t>
            </w:r>
            <w:r w:rsidRPr="00C12632">
              <w:rPr>
                <w:color w:val="000000"/>
                <w:vertAlign w:val="superscript"/>
              </w:rPr>
              <w:t>(</w:t>
            </w:r>
            <w:r w:rsidRPr="00C12632">
              <w:rPr>
                <w:vertAlign w:val="superscript"/>
              </w:rPr>
              <w:t>a)</w:t>
            </w:r>
          </w:p>
        </w:tc>
        <w:tc>
          <w:tcPr>
            <w:tcW w:w="597" w:type="dxa"/>
            <w:tcBorders>
              <w:top w:val="single" w:sz="6" w:space="0" w:color="auto"/>
              <w:bottom w:val="single" w:sz="12" w:space="0" w:color="auto"/>
            </w:tcBorders>
          </w:tcPr>
          <w:p w:rsidR="00DF17E9" w:rsidRPr="00C12632" w:rsidRDefault="00DF17E9" w:rsidP="00044843">
            <w:pPr>
              <w:jc w:val="center"/>
              <w:cnfStyle w:val="000000000000" w:firstRow="0" w:lastRow="0" w:firstColumn="0" w:lastColumn="0" w:oddVBand="0" w:evenVBand="0" w:oddHBand="0" w:evenHBand="0" w:firstRowFirstColumn="0" w:firstRowLastColumn="0" w:lastRowFirstColumn="0" w:lastRowLastColumn="0"/>
            </w:pPr>
            <w:r w:rsidRPr="00C12632">
              <w:rPr>
                <w:color w:val="000000"/>
              </w:rPr>
              <w:t xml:space="preserve"> </w:t>
            </w:r>
          </w:p>
        </w:tc>
        <w:tc>
          <w:tcPr>
            <w:tcW w:w="1104" w:type="dxa"/>
            <w:tcBorders>
              <w:top w:val="single" w:sz="6" w:space="0" w:color="auto"/>
              <w:bottom w:val="single" w:sz="12" w:space="0" w:color="auto"/>
            </w:tcBorders>
            <w:shd w:val="clear" w:color="auto" w:fill="EBEBEB"/>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1 095 338</w:t>
            </w:r>
          </w:p>
        </w:tc>
        <w:tc>
          <w:tcPr>
            <w:tcW w:w="1135"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1 395 354</w:t>
            </w:r>
          </w:p>
        </w:tc>
      </w:tr>
    </w:tbl>
    <w:p w:rsidR="00DF17E9" w:rsidRPr="00274D51" w:rsidRDefault="00DF17E9" w:rsidP="00044843">
      <w:pPr>
        <w:pStyle w:val="Note"/>
      </w:pPr>
      <w:r w:rsidRPr="00274D51">
        <w:t>Note:</w:t>
      </w:r>
    </w:p>
    <w:p w:rsidR="00DF17E9" w:rsidRPr="00274D51" w:rsidRDefault="00DF17E9" w:rsidP="00044843">
      <w:pPr>
        <w:pStyle w:val="Note"/>
      </w:pPr>
      <w:r>
        <w:t>(a</w:t>
      </w:r>
      <w:r w:rsidRPr="00274D51">
        <w:t xml:space="preserve">) </w:t>
      </w:r>
      <w:r>
        <w:tab/>
      </w:r>
      <w:r w:rsidRPr="00274D51">
        <w:t>June 2015 comparative figures have been restated to reflect more current information.</w:t>
      </w:r>
    </w:p>
    <w:p w:rsidR="00DF17E9" w:rsidRPr="00274D51" w:rsidRDefault="00DF17E9" w:rsidP="00044843">
      <w:pPr>
        <w:pStyle w:val="Note"/>
      </w:pPr>
    </w:p>
    <w:p w:rsidR="00DF17E9" w:rsidRDefault="00DF17E9">
      <w:pPr>
        <w:rPr>
          <w:rFonts w:asciiTheme="majorHAnsi" w:eastAsiaTheme="majorEastAsia" w:hAnsiTheme="majorHAnsi" w:cstheme="majorBidi"/>
          <w:b/>
          <w:bCs/>
          <w:spacing w:val="-2"/>
          <w:szCs w:val="26"/>
        </w:rPr>
      </w:pPr>
      <w:r>
        <w:br w:type="page"/>
      </w:r>
    </w:p>
    <w:p w:rsidR="00DF17E9" w:rsidRPr="00C12632" w:rsidRDefault="00DF17E9" w:rsidP="00044843">
      <w:pPr>
        <w:pStyle w:val="Heading3"/>
        <w:tabs>
          <w:tab w:val="right" w:pos="14742"/>
        </w:tabs>
        <w:rPr>
          <w:rStyle w:val="TableUnitsChar"/>
          <w:lang w:val="en-US"/>
        </w:rPr>
      </w:pPr>
      <w:bookmarkStart w:id="75" w:name="_Toc462418829"/>
      <w:r w:rsidRPr="000C4E53">
        <w:lastRenderedPageBreak/>
        <w:t>Consolidated fund receipts for the financial year ended 30 June</w:t>
      </w:r>
      <w:r>
        <w:tab/>
      </w:r>
      <w:r w:rsidRPr="000C4E53">
        <w:rPr>
          <w:rStyle w:val="TableUnitsChar"/>
        </w:rPr>
        <w:t>($ thousand)</w:t>
      </w:r>
      <w:bookmarkEnd w:id="75"/>
    </w:p>
    <w:tbl>
      <w:tblPr>
        <w:tblStyle w:val="TableDTFGeneral"/>
        <w:tblW w:w="9644" w:type="dxa"/>
        <w:tblLayout w:type="fixed"/>
        <w:tblLook w:val="02A0" w:firstRow="1" w:lastRow="0" w:firstColumn="1" w:lastColumn="0" w:noHBand="1" w:noVBand="0"/>
      </w:tblPr>
      <w:tblGrid>
        <w:gridCol w:w="6548"/>
        <w:gridCol w:w="1032"/>
        <w:gridCol w:w="1032"/>
        <w:gridCol w:w="1032"/>
      </w:tblGrid>
      <w:tr w:rsidR="006E44BF" w:rsidRPr="00C12632" w:rsidTr="006E44BF">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6548" w:type="dxa"/>
          </w:tcPr>
          <w:p w:rsidR="006E44BF" w:rsidRPr="00C12632" w:rsidRDefault="006E44BF" w:rsidP="00044843">
            <w:pPr>
              <w:spacing w:before="0" w:after="0"/>
              <w:ind w:left="0" w:firstLine="0"/>
              <w:rPr>
                <w:i w:val="0"/>
                <w:color w:val="FFFFFF"/>
              </w:rPr>
            </w:pPr>
            <w:r w:rsidRPr="00C12632">
              <w:rPr>
                <w:color w:val="FFFFFF"/>
              </w:rPr>
              <w:t xml:space="preserve"> </w:t>
            </w:r>
          </w:p>
          <w:p w:rsidR="006E44BF" w:rsidRPr="00C12632" w:rsidRDefault="006E44BF" w:rsidP="00044843">
            <w:pPr>
              <w:spacing w:before="0" w:after="0"/>
              <w:ind w:left="0"/>
              <w:jc w:val="right"/>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6E44BF" w:rsidRPr="00C12632" w:rsidRDefault="006E44BF" w:rsidP="00044843">
            <w:pPr>
              <w:spacing w:before="0" w:after="0"/>
              <w:rPr>
                <w:i w:val="0"/>
                <w:color w:val="FFFFFF"/>
              </w:rPr>
            </w:pPr>
            <w:r w:rsidRPr="00C12632">
              <w:rPr>
                <w:color w:val="FFFFFF"/>
              </w:rPr>
              <w:t>Estimate</w:t>
            </w:r>
          </w:p>
          <w:p w:rsidR="006E44BF" w:rsidRPr="00C12632" w:rsidRDefault="006E44BF" w:rsidP="00044843">
            <w:pPr>
              <w:spacing w:before="0" w:after="0"/>
              <w:rPr>
                <w:color w:val="FFFFFF"/>
              </w:rPr>
            </w:pPr>
            <w:r w:rsidRPr="00C12632">
              <w:rPr>
                <w:color w:val="FFFFFF"/>
              </w:rPr>
              <w:t>2016</w:t>
            </w:r>
          </w:p>
        </w:tc>
        <w:tc>
          <w:tcPr>
            <w:tcW w:w="1032" w:type="dxa"/>
          </w:tcPr>
          <w:p w:rsidR="006E44BF" w:rsidRPr="00C12632" w:rsidRDefault="006E44BF" w:rsidP="00044843">
            <w:pPr>
              <w:spacing w:before="0" w:after="0"/>
              <w:cnfStyle w:val="100000000000" w:firstRow="1" w:lastRow="0" w:firstColumn="0" w:lastColumn="0" w:oddVBand="0" w:evenVBand="0" w:oddHBand="0" w:evenHBand="0" w:firstRowFirstColumn="0" w:firstRowLastColumn="0" w:lastRowFirstColumn="0" w:lastRowLastColumn="0"/>
              <w:rPr>
                <w:i w:val="0"/>
                <w:color w:val="FFFFFF"/>
              </w:rPr>
            </w:pPr>
            <w:r w:rsidRPr="00C12632">
              <w:rPr>
                <w:color w:val="FFFFFF"/>
              </w:rPr>
              <w:t>Actual</w:t>
            </w:r>
          </w:p>
          <w:p w:rsidR="006E44BF" w:rsidRPr="00C12632" w:rsidRDefault="006E44BF" w:rsidP="00044843">
            <w:pPr>
              <w:spacing w:before="0" w:after="0"/>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2016</w:t>
            </w:r>
          </w:p>
        </w:tc>
        <w:tc>
          <w:tcPr>
            <w:cnfStyle w:val="000010000000" w:firstRow="0" w:lastRow="0" w:firstColumn="0" w:lastColumn="0" w:oddVBand="1" w:evenVBand="0" w:oddHBand="0" w:evenHBand="0" w:firstRowFirstColumn="0" w:firstRowLastColumn="0" w:lastRowFirstColumn="0" w:lastRowLastColumn="0"/>
            <w:tcW w:w="1032" w:type="dxa"/>
          </w:tcPr>
          <w:p w:rsidR="006E44BF" w:rsidRPr="00C12632" w:rsidRDefault="006E44BF" w:rsidP="00044843">
            <w:pPr>
              <w:spacing w:before="0" w:after="0"/>
              <w:rPr>
                <w:i w:val="0"/>
                <w:color w:val="FFFFFF"/>
              </w:rPr>
            </w:pPr>
            <w:r w:rsidRPr="00C12632">
              <w:rPr>
                <w:color w:val="FFFFFF"/>
              </w:rPr>
              <w:t xml:space="preserve">Actual </w:t>
            </w:r>
          </w:p>
          <w:p w:rsidR="006E44BF" w:rsidRPr="00C12632" w:rsidRDefault="006E44BF" w:rsidP="00044843">
            <w:pPr>
              <w:spacing w:before="0" w:after="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Operating activities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b/>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Taxation</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FF0000"/>
              </w:rPr>
            </w:pPr>
            <w:r w:rsidRPr="00C12632">
              <w:rPr>
                <w:color w:val="FF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FF0000"/>
              </w:rPr>
            </w:pPr>
            <w:r w:rsidRPr="00C12632">
              <w:rPr>
                <w:color w:val="FF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Payroll tax</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5 984 518</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5 948 733</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5 681 309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Land tax</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1 769 720</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1 786 066</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1 737 950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Fire Services Property Levy</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627 904</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674 063</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588 478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Congestion levy</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120 234</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102 053</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110 603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Duties from financial and capital transactions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Land transfer duty</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5 195 757</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5 873 586</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4 986 897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Other property duties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1 829</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1 831</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2 825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Financial accommodation levy</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151 367</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146 742</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104 512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Growth areas infrastructure contribution</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75 305</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87 170</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40 373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Levies on statutory corporations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111 963</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111 963</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111 946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Gambling</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Public lotteries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475 171</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455 144</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422 574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Electronic gaming machines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893 322</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884 378</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785 162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Casino taxes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240 297</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227 005</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175 981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Racing</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48 600</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42 759</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45 641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Other gambling</w:t>
            </w:r>
            <w:r w:rsidRPr="00C12632">
              <w:rPr>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110 210</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89 799</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362 432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Insurance</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1 156 247</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1 151 337</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1 085 533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Motor vehicle</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Registration fees pursuant to the </w:t>
            </w:r>
            <w:r w:rsidRPr="00C12632">
              <w:rPr>
                <w:i/>
                <w:color w:val="000000"/>
              </w:rPr>
              <w:t>Road Safety Act, No. 127 of 1986</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1 468 561</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1 464 912</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1 405 080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Stamp duty on vehicle transfers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743 287</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779 262</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720 118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Franchise fees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nil"/>
            </w:tcBorders>
          </w:tcPr>
          <w:p w:rsidR="00DF17E9" w:rsidRPr="00C12632" w:rsidRDefault="00DF17E9" w:rsidP="00044843">
            <w:pPr>
              <w:spacing w:before="0" w:after="0"/>
              <w:ind w:left="113" w:hanging="113"/>
              <w:rPr>
                <w:color w:val="000000"/>
              </w:rPr>
            </w:pPr>
            <w:r w:rsidRPr="00C12632">
              <w:rPr>
                <w:color w:val="000000"/>
              </w:rPr>
              <w:t xml:space="preserve">  </w:t>
            </w:r>
            <w:r w:rsidR="00A432AC">
              <w:rPr>
                <w:color w:val="000000"/>
              </w:rPr>
              <w:t xml:space="preserve"> </w:t>
            </w:r>
            <w:r w:rsidRPr="00C12632">
              <w:rPr>
                <w:color w:val="000000"/>
              </w:rPr>
              <w:t xml:space="preserve">Liquor </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21 936</w:t>
            </w:r>
          </w:p>
        </w:tc>
        <w:tc>
          <w:tcPr>
            <w:tcW w:w="1032"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22 026</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22 544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rsidR="00DF17E9" w:rsidRPr="00C12632" w:rsidRDefault="00DF17E9" w:rsidP="00044843">
            <w:pPr>
              <w:spacing w:before="0" w:after="0"/>
              <w:ind w:left="113" w:hanging="113"/>
              <w:rPr>
                <w:color w:val="000000"/>
              </w:rPr>
            </w:pPr>
            <w:r w:rsidRPr="00C12632">
              <w:rPr>
                <w:b/>
                <w:color w:val="000000"/>
              </w:rPr>
              <w:t>Other taxes</w:t>
            </w:r>
            <w:r w:rsidRPr="00C12632">
              <w:rPr>
                <w:b/>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127 288</w:t>
            </w:r>
          </w:p>
        </w:tc>
        <w:tc>
          <w:tcPr>
            <w:tcW w:w="1032"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212 118</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267 371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tcBorders>
          </w:tcPr>
          <w:p w:rsidR="00DF17E9" w:rsidRPr="00C12632" w:rsidRDefault="00DF17E9" w:rsidP="00044843">
            <w:pPr>
              <w:spacing w:before="0" w:after="0"/>
              <w:ind w:left="113" w:hanging="113"/>
              <w:rPr>
                <w:color w:val="000000"/>
              </w:rPr>
            </w:pPr>
            <w:r w:rsidRPr="00C12632">
              <w:rPr>
                <w:b/>
                <w:color w:val="000000"/>
              </w:rPr>
              <w:t>Total taxation</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19 323 516</w:t>
            </w:r>
          </w:p>
        </w:tc>
        <w:tc>
          <w:tcPr>
            <w:tcW w:w="1032"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20 060 946</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18 657 330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Fines and regulatory fees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nil"/>
            </w:tcBorders>
          </w:tcPr>
          <w:p w:rsidR="00DF17E9" w:rsidRPr="00C12632" w:rsidRDefault="00DF17E9" w:rsidP="00044843">
            <w:pPr>
              <w:spacing w:before="0" w:after="0"/>
              <w:ind w:left="113" w:hanging="113"/>
              <w:rPr>
                <w:color w:val="000000"/>
              </w:rPr>
            </w:pPr>
            <w:r w:rsidRPr="00C12632">
              <w:rPr>
                <w:color w:val="000000"/>
              </w:rPr>
              <w:t>Fines</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349 056</w:t>
            </w:r>
          </w:p>
        </w:tc>
        <w:tc>
          <w:tcPr>
            <w:tcW w:w="1032"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297 931</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306 547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rsidR="00DF17E9" w:rsidRPr="00C12632" w:rsidRDefault="00DF17E9" w:rsidP="00044843">
            <w:pPr>
              <w:spacing w:before="0" w:after="0"/>
              <w:ind w:left="113" w:hanging="113"/>
              <w:rPr>
                <w:color w:val="000000"/>
              </w:rPr>
            </w:pPr>
            <w:r w:rsidRPr="00C12632">
              <w:rPr>
                <w:color w:val="000000"/>
              </w:rPr>
              <w:t>Regulatory fees</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538 171</w:t>
            </w:r>
          </w:p>
        </w:tc>
        <w:tc>
          <w:tcPr>
            <w:tcW w:w="1032"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531 724</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528 715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tcBorders>
          </w:tcPr>
          <w:p w:rsidR="00DF17E9" w:rsidRPr="00C12632" w:rsidRDefault="00DF17E9" w:rsidP="00044843">
            <w:pPr>
              <w:spacing w:before="0" w:after="0"/>
              <w:ind w:left="113" w:hanging="113"/>
              <w:rPr>
                <w:color w:val="000000"/>
              </w:rPr>
            </w:pPr>
            <w:r w:rsidRPr="00C12632">
              <w:rPr>
                <w:b/>
                <w:color w:val="000000"/>
              </w:rPr>
              <w:t>Total fines and regulatory fees</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pPr>
            <w:r w:rsidRPr="00C12632">
              <w:rPr>
                <w:b/>
                <w:color w:val="000000"/>
              </w:rPr>
              <w:t>887 227</w:t>
            </w:r>
          </w:p>
        </w:tc>
        <w:tc>
          <w:tcPr>
            <w:tcW w:w="1032"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b/>
                <w:color w:val="000000"/>
              </w:rPr>
              <w:t>829 655</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pPr>
            <w:r w:rsidRPr="00C12632">
              <w:rPr>
                <w:b/>
                <w:color w:val="000000"/>
              </w:rPr>
              <w:t>835 262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Grants received</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 xml:space="preserve">Department of Economic Development, Jobs, Transport and Resources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488</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 xml:space="preserve">Department of Environment, Land, Water and Planning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34 373</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26 686</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36 035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Department of Health and Human Services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39 698</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42 080</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43 003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Department of Human Services</w:t>
            </w:r>
            <w:r w:rsidRPr="00C12632">
              <w:rPr>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rPr>
                <w:color w:val="000000"/>
              </w:rPr>
            </w:pPr>
            <w:r w:rsidRPr="00C12632">
              <w:rPr>
                <w:color w:val="000000"/>
              </w:rPr>
              <w:t>..</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1 001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Department of Justice and Regulation</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3 214</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2 408</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2 100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nil"/>
            </w:tcBorders>
          </w:tcPr>
          <w:p w:rsidR="00DF17E9" w:rsidRPr="00C12632" w:rsidRDefault="00DF17E9" w:rsidP="00044843">
            <w:pPr>
              <w:spacing w:before="0" w:after="0"/>
              <w:ind w:left="113" w:hanging="113"/>
              <w:rPr>
                <w:color w:val="000000"/>
              </w:rPr>
            </w:pPr>
            <w:r w:rsidRPr="00C12632">
              <w:rPr>
                <w:color w:val="000000"/>
              </w:rPr>
              <w:t>Department of Premier and Cabinet</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rPr>
                <w:color w:val="000000"/>
              </w:rPr>
            </w:pPr>
            <w:r w:rsidRPr="00C12632">
              <w:rPr>
                <w:color w:val="000000"/>
              </w:rPr>
              <w:t>..</w:t>
            </w:r>
          </w:p>
        </w:tc>
        <w:tc>
          <w:tcPr>
            <w:tcW w:w="1032"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4 818</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2 727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rsidR="00DF17E9" w:rsidRPr="00C12632" w:rsidRDefault="00DF17E9" w:rsidP="00044843">
            <w:pPr>
              <w:spacing w:before="0" w:after="0"/>
              <w:ind w:left="113" w:hanging="113"/>
              <w:rPr>
                <w:color w:val="000000"/>
              </w:rPr>
            </w:pPr>
            <w:r w:rsidRPr="00C12632">
              <w:rPr>
                <w:color w:val="000000"/>
              </w:rPr>
              <w:t xml:space="preserve">Department of Treasury and Finance </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rPr>
                <w:color w:val="000000"/>
              </w:rPr>
            </w:pPr>
            <w:r w:rsidRPr="00C12632">
              <w:rPr>
                <w:color w:val="000000"/>
              </w:rPr>
              <w:t>17 051 030</w:t>
            </w:r>
          </w:p>
        </w:tc>
        <w:tc>
          <w:tcPr>
            <w:tcW w:w="1032"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16 848 135</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rPr>
                <w:color w:val="000000"/>
              </w:rPr>
            </w:pPr>
            <w:r w:rsidRPr="00C12632">
              <w:rPr>
                <w:color w:val="000000"/>
              </w:rPr>
              <w:t>15 813 053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tcBorders>
          </w:tcPr>
          <w:p w:rsidR="00DF17E9" w:rsidRPr="00C12632" w:rsidRDefault="00DF17E9" w:rsidP="00044843">
            <w:pPr>
              <w:spacing w:before="0" w:after="0"/>
              <w:ind w:left="113" w:hanging="113"/>
              <w:rPr>
                <w:color w:val="000000"/>
              </w:rPr>
            </w:pPr>
            <w:r w:rsidRPr="00C12632">
              <w:rPr>
                <w:b/>
                <w:color w:val="000000"/>
              </w:rPr>
              <w:t>Total grants received</w:t>
            </w:r>
            <w:r w:rsidRPr="00C12632">
              <w:rPr>
                <w:b/>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17 128 314</w:t>
            </w:r>
          </w:p>
        </w:tc>
        <w:tc>
          <w:tcPr>
            <w:tcW w:w="1032"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16 924 616</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15 897 920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nil"/>
            </w:tcBorders>
          </w:tcPr>
          <w:p w:rsidR="00DF17E9" w:rsidRPr="00C12632" w:rsidRDefault="00DF17E9" w:rsidP="00044843">
            <w:pPr>
              <w:spacing w:before="0" w:after="0"/>
              <w:ind w:left="113" w:hanging="113"/>
              <w:rPr>
                <w:color w:val="000000"/>
              </w:rPr>
            </w:pPr>
            <w:r w:rsidRPr="00C12632">
              <w:rPr>
                <w:color w:val="000000"/>
              </w:rPr>
              <w:t>Capital asset charge</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rPr>
                <w:color w:val="000000"/>
              </w:rPr>
            </w:pPr>
            <w:r w:rsidRPr="00C12632">
              <w:rPr>
                <w:color w:val="000000"/>
              </w:rPr>
              <w:t>4 665 478</w:t>
            </w:r>
          </w:p>
        </w:tc>
        <w:tc>
          <w:tcPr>
            <w:tcW w:w="1032"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4 647 788</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rPr>
                <w:color w:val="000000"/>
              </w:rPr>
            </w:pPr>
            <w:r w:rsidRPr="00C12632">
              <w:rPr>
                <w:color w:val="000000"/>
              </w:rPr>
              <w:t>4 382 633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rsidR="00DF17E9" w:rsidRPr="00C12632" w:rsidRDefault="00DF17E9" w:rsidP="00044843">
            <w:pPr>
              <w:spacing w:before="0" w:after="0"/>
              <w:ind w:left="113" w:hanging="113"/>
              <w:rPr>
                <w:color w:val="000000"/>
              </w:rPr>
            </w:pPr>
            <w:r w:rsidRPr="00C12632">
              <w:rPr>
                <w:color w:val="000000"/>
              </w:rPr>
              <w:t>Other sales of goods and services</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rPr>
                <w:color w:val="000000"/>
              </w:rPr>
            </w:pPr>
            <w:r w:rsidRPr="00C12632">
              <w:rPr>
                <w:color w:val="000000"/>
              </w:rPr>
              <w:t>1 055 329</w:t>
            </w:r>
          </w:p>
        </w:tc>
        <w:tc>
          <w:tcPr>
            <w:tcW w:w="1032"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1 127 774</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rPr>
                <w:color w:val="000000"/>
              </w:rPr>
            </w:pPr>
            <w:r w:rsidRPr="00C12632">
              <w:rPr>
                <w:color w:val="000000"/>
              </w:rPr>
              <w:t>1 064 074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tcBorders>
          </w:tcPr>
          <w:p w:rsidR="00DF17E9" w:rsidRPr="00C12632" w:rsidRDefault="00DF17E9" w:rsidP="00044843">
            <w:pPr>
              <w:spacing w:before="0" w:after="0"/>
              <w:ind w:left="113" w:hanging="113"/>
              <w:rPr>
                <w:color w:val="000000"/>
              </w:rPr>
            </w:pPr>
            <w:r w:rsidRPr="00C12632">
              <w:rPr>
                <w:b/>
                <w:color w:val="000000"/>
              </w:rPr>
              <w:t>Total sales of goods and services</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5 720 807</w:t>
            </w:r>
          </w:p>
        </w:tc>
        <w:tc>
          <w:tcPr>
            <w:tcW w:w="1032"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5 775 563</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5 446 707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Interest received</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b/>
                <w:color w:val="000000"/>
              </w:rPr>
              <w:t>536 242</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b/>
                <w:color w:val="000000"/>
              </w:rPr>
              <w:t>501 351</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b/>
                <w:color w:val="000000"/>
              </w:rPr>
              <w:t>517 718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color w:val="000000"/>
              </w:rPr>
              <w:t xml:space="preserve"> </w:t>
            </w:r>
            <w:r w:rsidR="00A432AC">
              <w:rPr>
                <w:color w:val="000000"/>
              </w:rPr>
              <w:t xml:space="preserve"> </w:t>
            </w:r>
            <w:r w:rsidRPr="00C12632">
              <w:rPr>
                <w:color w:val="000000"/>
              </w:rPr>
              <w:t xml:space="preserve"> Dividends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835 129</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385 540</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822 267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nil"/>
            </w:tcBorders>
          </w:tcPr>
          <w:p w:rsidR="00DF17E9" w:rsidRPr="00C12632" w:rsidRDefault="00DF17E9" w:rsidP="00044843">
            <w:pPr>
              <w:spacing w:before="0" w:after="0"/>
              <w:ind w:left="113" w:hanging="113"/>
              <w:rPr>
                <w:color w:val="000000"/>
              </w:rPr>
            </w:pPr>
            <w:r w:rsidRPr="00C12632">
              <w:rPr>
                <w:color w:val="000000"/>
              </w:rPr>
              <w:t xml:space="preserve"> </w:t>
            </w:r>
            <w:r w:rsidR="00A432AC">
              <w:rPr>
                <w:color w:val="000000"/>
              </w:rPr>
              <w:t xml:space="preserve"> </w:t>
            </w:r>
            <w:r w:rsidRPr="00C12632">
              <w:rPr>
                <w:color w:val="000000"/>
              </w:rPr>
              <w:t xml:space="preserve"> Income tax equivalent revenue</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286 368</w:t>
            </w:r>
          </w:p>
        </w:tc>
        <w:tc>
          <w:tcPr>
            <w:tcW w:w="1032"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408 921</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180 715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rsidR="00DF17E9" w:rsidRPr="00C12632" w:rsidRDefault="00DF17E9" w:rsidP="00044843">
            <w:pPr>
              <w:spacing w:before="0" w:after="0"/>
              <w:ind w:left="113" w:hanging="113"/>
              <w:rPr>
                <w:color w:val="000000"/>
              </w:rPr>
            </w:pPr>
            <w:r w:rsidRPr="00C12632">
              <w:rPr>
                <w:color w:val="000000"/>
              </w:rPr>
              <w:t xml:space="preserve"> </w:t>
            </w:r>
            <w:r w:rsidR="00A432AC">
              <w:rPr>
                <w:color w:val="000000"/>
              </w:rPr>
              <w:t xml:space="preserve"> </w:t>
            </w:r>
            <w:r w:rsidRPr="00C12632">
              <w:rPr>
                <w:color w:val="000000"/>
              </w:rPr>
              <w:t xml:space="preserve"> Local government tax equivalent revenue</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7 516</w:t>
            </w:r>
          </w:p>
        </w:tc>
        <w:tc>
          <w:tcPr>
            <w:tcW w:w="1032"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4 522</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1 234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tcBorders>
          </w:tcPr>
          <w:p w:rsidR="00DF17E9" w:rsidRPr="00C12632" w:rsidRDefault="00DF17E9" w:rsidP="00044843">
            <w:pPr>
              <w:spacing w:before="0" w:after="0"/>
              <w:ind w:left="113" w:hanging="113"/>
              <w:rPr>
                <w:color w:val="000000"/>
              </w:rPr>
            </w:pPr>
            <w:r w:rsidRPr="00C12632">
              <w:rPr>
                <w:b/>
                <w:color w:val="000000"/>
              </w:rPr>
              <w:t>Total 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1 129 012</w:t>
            </w:r>
          </w:p>
        </w:tc>
        <w:tc>
          <w:tcPr>
            <w:tcW w:w="1032"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b/>
                <w:color w:val="000000"/>
              </w:rPr>
              <w:t>798 983</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tcBorders>
          </w:tcPr>
          <w:p w:rsidR="00DF17E9" w:rsidRPr="00C12632" w:rsidRDefault="00DF17E9" w:rsidP="00044843">
            <w:pPr>
              <w:spacing w:before="0" w:after="0"/>
              <w:rPr>
                <w:color w:val="000000"/>
              </w:rPr>
            </w:pPr>
            <w:r w:rsidRPr="00C12632">
              <w:rPr>
                <w:b/>
                <w:color w:val="000000"/>
              </w:rPr>
              <w:t>1 004 217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044843">
            <w:pPr>
              <w:spacing w:before="0" w:after="0"/>
              <w:ind w:left="113" w:hanging="113"/>
              <w:rPr>
                <w:color w:val="000000"/>
              </w:rPr>
            </w:pPr>
            <w:r w:rsidRPr="00C12632">
              <w:rPr>
                <w:b/>
                <w:color w:val="000000"/>
              </w:rPr>
              <w:t>Other receipts</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c>
          <w:tcPr>
            <w:tcW w:w="1032"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jc w:val="left"/>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Pr>
          <w:p w:rsidR="00DF17E9" w:rsidRPr="00C12632" w:rsidRDefault="00DF17E9" w:rsidP="00A432AC">
            <w:pPr>
              <w:spacing w:before="0" w:after="0"/>
              <w:ind w:left="113" w:hanging="113"/>
              <w:rPr>
                <w:color w:val="000000"/>
              </w:rPr>
            </w:pPr>
            <w:r w:rsidRPr="00C12632">
              <w:rPr>
                <w:color w:val="000000"/>
              </w:rPr>
              <w:t xml:space="preserve">   Land rent received</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18 327</w:t>
            </w:r>
          </w:p>
        </w:tc>
        <w:tc>
          <w:tcPr>
            <w:tcW w:w="1032"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21 296</w:t>
            </w:r>
          </w:p>
        </w:tc>
        <w:tc>
          <w:tcPr>
            <w:cnfStyle w:val="000010000000" w:firstRow="0" w:lastRow="0" w:firstColumn="0" w:lastColumn="0" w:oddVBand="1" w:evenVBand="0" w:oddHBand="0" w:evenHBand="0" w:firstRowFirstColumn="0" w:firstRowLastColumn="0" w:lastRowFirstColumn="0" w:lastRowLastColumn="0"/>
            <w:tcW w:w="1032" w:type="dxa"/>
          </w:tcPr>
          <w:p w:rsidR="00DF17E9" w:rsidRPr="00C12632" w:rsidRDefault="00DF17E9" w:rsidP="00044843">
            <w:pPr>
              <w:spacing w:before="0" w:after="0"/>
            </w:pPr>
            <w:r w:rsidRPr="00C12632">
              <w:rPr>
                <w:color w:val="000000"/>
              </w:rPr>
              <w:t>21 027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nil"/>
            </w:tcBorders>
          </w:tcPr>
          <w:p w:rsidR="00DF17E9" w:rsidRPr="00C12632" w:rsidRDefault="00DF17E9" w:rsidP="00A432AC">
            <w:pPr>
              <w:spacing w:before="0" w:after="0"/>
              <w:ind w:left="113" w:hanging="113"/>
              <w:rPr>
                <w:color w:val="000000"/>
              </w:rPr>
            </w:pPr>
            <w:r w:rsidRPr="00C12632">
              <w:rPr>
                <w:color w:val="000000"/>
              </w:rPr>
              <w:t xml:space="preserve">   Royalties received</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50 806</w:t>
            </w:r>
          </w:p>
        </w:tc>
        <w:tc>
          <w:tcPr>
            <w:tcW w:w="1032"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49 184</w:t>
            </w:r>
          </w:p>
        </w:tc>
        <w:tc>
          <w:tcPr>
            <w:cnfStyle w:val="000010000000" w:firstRow="0" w:lastRow="0" w:firstColumn="0" w:lastColumn="0" w:oddVBand="1" w:evenVBand="0" w:oddHBand="0" w:evenHBand="0" w:firstRowFirstColumn="0" w:firstRowLastColumn="0" w:lastRowFirstColumn="0" w:lastRowLastColumn="0"/>
            <w:tcW w:w="1032" w:type="dxa"/>
            <w:tcBorders>
              <w:bottom w:val="nil"/>
            </w:tcBorders>
          </w:tcPr>
          <w:p w:rsidR="00DF17E9" w:rsidRPr="00C12632" w:rsidRDefault="00DF17E9" w:rsidP="00044843">
            <w:pPr>
              <w:spacing w:before="0" w:after="0"/>
            </w:pPr>
            <w:r w:rsidRPr="00C12632">
              <w:rPr>
                <w:color w:val="000000"/>
              </w:rPr>
              <w:t>44 215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rsidR="00DF17E9" w:rsidRPr="00C12632" w:rsidRDefault="00DF17E9" w:rsidP="00044843">
            <w:pPr>
              <w:spacing w:before="0" w:after="0"/>
              <w:ind w:left="113" w:hanging="113"/>
              <w:rPr>
                <w:color w:val="000000"/>
              </w:rPr>
            </w:pPr>
            <w:r w:rsidRPr="00C12632">
              <w:rPr>
                <w:color w:val="000000"/>
              </w:rPr>
              <w:t xml:space="preserve">   Other</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237 012</w:t>
            </w:r>
          </w:p>
        </w:tc>
        <w:tc>
          <w:tcPr>
            <w:tcW w:w="1032"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color w:val="000000"/>
              </w:rPr>
              <w:t>934 188</w:t>
            </w:r>
          </w:p>
        </w:tc>
        <w:tc>
          <w:tcPr>
            <w:cnfStyle w:val="000010000000" w:firstRow="0" w:lastRow="0" w:firstColumn="0" w:lastColumn="0" w:oddVBand="1" w:evenVBand="0" w:oddHBand="0" w:evenHBand="0" w:firstRowFirstColumn="0" w:firstRowLastColumn="0" w:lastRowFirstColumn="0" w:lastRowLastColumn="0"/>
            <w:tcW w:w="1032" w:type="dxa"/>
            <w:tcBorders>
              <w:bottom w:val="single" w:sz="6" w:space="0" w:color="auto"/>
            </w:tcBorders>
          </w:tcPr>
          <w:p w:rsidR="00DF17E9" w:rsidRPr="00C12632" w:rsidRDefault="00DF17E9" w:rsidP="00044843">
            <w:pPr>
              <w:spacing w:before="0" w:after="0"/>
            </w:pPr>
            <w:r w:rsidRPr="00C12632">
              <w:rPr>
                <w:color w:val="000000"/>
              </w:rPr>
              <w:t>357 489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bottom w:val="single" w:sz="6" w:space="0" w:color="auto"/>
            </w:tcBorders>
          </w:tcPr>
          <w:p w:rsidR="00DF17E9" w:rsidRPr="00C12632" w:rsidRDefault="00DF17E9" w:rsidP="00044843">
            <w:pPr>
              <w:spacing w:before="0" w:after="0"/>
              <w:ind w:left="113" w:hanging="113"/>
              <w:rPr>
                <w:color w:val="000000"/>
              </w:rPr>
            </w:pPr>
            <w:r w:rsidRPr="00C12632">
              <w:rPr>
                <w:b/>
                <w:color w:val="000000"/>
              </w:rPr>
              <w:t>Total other receipts</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6" w:space="0" w:color="auto"/>
            </w:tcBorders>
          </w:tcPr>
          <w:p w:rsidR="00DF17E9" w:rsidRPr="00C12632" w:rsidRDefault="00DF17E9" w:rsidP="00044843">
            <w:pPr>
              <w:spacing w:before="0" w:after="0"/>
            </w:pPr>
            <w:r w:rsidRPr="00C12632">
              <w:rPr>
                <w:b/>
                <w:color w:val="000000"/>
              </w:rPr>
              <w:t>306 146</w:t>
            </w:r>
          </w:p>
        </w:tc>
        <w:tc>
          <w:tcPr>
            <w:tcW w:w="1032"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1 004 668</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6" w:space="0" w:color="auto"/>
            </w:tcBorders>
          </w:tcPr>
          <w:p w:rsidR="00DF17E9" w:rsidRPr="00C12632" w:rsidRDefault="00DF17E9" w:rsidP="00044843">
            <w:pPr>
              <w:spacing w:before="0" w:after="0"/>
            </w:pPr>
            <w:r w:rsidRPr="00C12632">
              <w:rPr>
                <w:b/>
                <w:color w:val="000000"/>
              </w:rPr>
              <w:t>422 732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bottom w:val="single" w:sz="6" w:space="0" w:color="auto"/>
            </w:tcBorders>
          </w:tcPr>
          <w:p w:rsidR="00DF17E9" w:rsidRPr="00C12632" w:rsidRDefault="00DF17E9" w:rsidP="00044843">
            <w:pPr>
              <w:spacing w:before="0" w:after="0"/>
              <w:ind w:left="113" w:hanging="113"/>
              <w:rPr>
                <w:color w:val="000000"/>
              </w:rPr>
            </w:pPr>
            <w:r w:rsidRPr="00C12632">
              <w:rPr>
                <w:b/>
                <w:color w:val="000000"/>
              </w:rPr>
              <w:t>Total cash inflows from operating activities</w:t>
            </w:r>
            <w:r w:rsidRPr="00C12632">
              <w:rPr>
                <w:b/>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6" w:space="0" w:color="auto"/>
            </w:tcBorders>
          </w:tcPr>
          <w:p w:rsidR="00DF17E9" w:rsidRPr="00C12632" w:rsidRDefault="00DF17E9" w:rsidP="00044843">
            <w:pPr>
              <w:spacing w:before="0" w:after="0"/>
              <w:rPr>
                <w:color w:val="000000"/>
              </w:rPr>
            </w:pPr>
            <w:r w:rsidRPr="00C12632">
              <w:rPr>
                <w:b/>
                <w:color w:val="000000"/>
              </w:rPr>
              <w:t>45 031 265</w:t>
            </w:r>
          </w:p>
        </w:tc>
        <w:tc>
          <w:tcPr>
            <w:tcW w:w="1032"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45 895 781</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6" w:space="0" w:color="auto"/>
            </w:tcBorders>
          </w:tcPr>
          <w:p w:rsidR="00DF17E9" w:rsidRPr="00C12632" w:rsidRDefault="00DF17E9" w:rsidP="00044843">
            <w:pPr>
              <w:spacing w:before="0" w:after="0"/>
              <w:rPr>
                <w:color w:val="000000"/>
              </w:rPr>
            </w:pPr>
            <w:r w:rsidRPr="00C12632">
              <w:rPr>
                <w:b/>
                <w:color w:val="000000"/>
              </w:rPr>
              <w:t>42 781 885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bottom w:val="single" w:sz="6" w:space="0" w:color="auto"/>
            </w:tcBorders>
          </w:tcPr>
          <w:p w:rsidR="00DF17E9" w:rsidRPr="00C12632" w:rsidRDefault="00DF17E9" w:rsidP="00044843">
            <w:pPr>
              <w:spacing w:before="0" w:after="0"/>
              <w:ind w:left="113" w:hanging="113"/>
              <w:rPr>
                <w:color w:val="000000"/>
              </w:rPr>
            </w:pPr>
            <w:r w:rsidRPr="00C12632">
              <w:rPr>
                <w:b/>
                <w:color w:val="000000"/>
              </w:rPr>
              <w:t>Total cash inflows from investing and financing activities</w:t>
            </w:r>
            <w:r w:rsidRPr="00C12632">
              <w:rPr>
                <w:b/>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6" w:space="0" w:color="auto"/>
            </w:tcBorders>
          </w:tcPr>
          <w:p w:rsidR="00DF17E9" w:rsidRPr="00C12632" w:rsidRDefault="00DF17E9" w:rsidP="00044843">
            <w:pPr>
              <w:spacing w:before="0" w:after="0"/>
              <w:rPr>
                <w:color w:val="000000"/>
              </w:rPr>
            </w:pPr>
            <w:r w:rsidRPr="00C12632">
              <w:rPr>
                <w:b/>
                <w:color w:val="000000"/>
              </w:rPr>
              <w:t>3 166 369</w:t>
            </w:r>
          </w:p>
        </w:tc>
        <w:tc>
          <w:tcPr>
            <w:tcW w:w="1032"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pPr>
            <w:r w:rsidRPr="00C12632">
              <w:rPr>
                <w:b/>
                <w:color w:val="000000"/>
              </w:rPr>
              <w:t>584 824</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6" w:space="0" w:color="auto"/>
            </w:tcBorders>
          </w:tcPr>
          <w:p w:rsidR="00DF17E9" w:rsidRPr="00C12632" w:rsidRDefault="00DF17E9" w:rsidP="00044843">
            <w:pPr>
              <w:spacing w:before="0" w:after="0"/>
              <w:rPr>
                <w:color w:val="000000"/>
              </w:rPr>
            </w:pPr>
            <w:r w:rsidRPr="00C12632">
              <w:rPr>
                <w:b/>
                <w:color w:val="000000"/>
              </w:rPr>
              <w:t>1 387 815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548" w:type="dxa"/>
            <w:tcBorders>
              <w:top w:val="single" w:sz="6" w:space="0" w:color="auto"/>
              <w:bottom w:val="single" w:sz="12" w:space="0" w:color="auto"/>
            </w:tcBorders>
          </w:tcPr>
          <w:p w:rsidR="00DF17E9" w:rsidRPr="00C12632" w:rsidRDefault="00DF17E9" w:rsidP="00044843">
            <w:pPr>
              <w:spacing w:before="0" w:after="0"/>
              <w:ind w:left="113" w:hanging="113"/>
              <w:rPr>
                <w:color w:val="000000"/>
              </w:rPr>
            </w:pPr>
            <w:r w:rsidRPr="00C12632">
              <w:rPr>
                <w:b/>
                <w:color w:val="000000"/>
              </w:rPr>
              <w:t>Total consolidated fund receipts</w:t>
            </w:r>
            <w:r w:rsidRPr="00C12632">
              <w:rPr>
                <w:b/>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12" w:space="0" w:color="auto"/>
            </w:tcBorders>
          </w:tcPr>
          <w:p w:rsidR="00DF17E9" w:rsidRPr="00C12632" w:rsidRDefault="00DF17E9" w:rsidP="00044843">
            <w:pPr>
              <w:spacing w:before="0" w:after="0"/>
              <w:rPr>
                <w:color w:val="000000"/>
              </w:rPr>
            </w:pPr>
            <w:r w:rsidRPr="00C12632">
              <w:rPr>
                <w:b/>
                <w:color w:val="000000"/>
              </w:rPr>
              <w:t>48 197 634</w:t>
            </w:r>
          </w:p>
        </w:tc>
        <w:tc>
          <w:tcPr>
            <w:tcW w:w="1032"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46 480 605</w:t>
            </w:r>
          </w:p>
        </w:tc>
        <w:tc>
          <w:tcPr>
            <w:cnfStyle w:val="000010000000" w:firstRow="0" w:lastRow="0" w:firstColumn="0" w:lastColumn="0" w:oddVBand="1" w:evenVBand="0" w:oddHBand="0" w:evenHBand="0" w:firstRowFirstColumn="0" w:firstRowLastColumn="0" w:lastRowFirstColumn="0" w:lastRowLastColumn="0"/>
            <w:tcW w:w="1032" w:type="dxa"/>
            <w:tcBorders>
              <w:top w:val="single" w:sz="6" w:space="0" w:color="auto"/>
              <w:bottom w:val="single" w:sz="12" w:space="0" w:color="auto"/>
            </w:tcBorders>
          </w:tcPr>
          <w:p w:rsidR="00DF17E9" w:rsidRPr="00C12632" w:rsidRDefault="00DF17E9" w:rsidP="00044843">
            <w:pPr>
              <w:spacing w:before="0" w:after="0"/>
              <w:rPr>
                <w:color w:val="000000"/>
              </w:rPr>
            </w:pPr>
            <w:r w:rsidRPr="00C12632">
              <w:rPr>
                <w:b/>
                <w:color w:val="000000"/>
              </w:rPr>
              <w:t>44 169 700</w:t>
            </w:r>
          </w:p>
        </w:tc>
      </w:tr>
    </w:tbl>
    <w:p w:rsidR="00DF17E9" w:rsidRPr="00274D51" w:rsidRDefault="00DF17E9" w:rsidP="00044843">
      <w:pPr>
        <w:pStyle w:val="Note"/>
      </w:pPr>
      <w:r w:rsidRPr="00274D51">
        <w:t>Note</w:t>
      </w:r>
      <w:r>
        <w:t>s</w:t>
      </w:r>
      <w:r w:rsidRPr="00274D51">
        <w:t>:</w:t>
      </w:r>
    </w:p>
    <w:p w:rsidR="00DF17E9" w:rsidRDefault="00DF17E9" w:rsidP="00044843">
      <w:pPr>
        <w:pStyle w:val="Note"/>
        <w:numPr>
          <w:ilvl w:val="4"/>
          <w:numId w:val="20"/>
        </w:numPr>
        <w:ind w:left="284"/>
      </w:pPr>
      <w:r w:rsidRPr="00F53FAA">
        <w:t>June 2015 comparative figures have been restated to reclassify casino license fees from 'Other taxes' to 'Other gambling taxes'.</w:t>
      </w:r>
    </w:p>
    <w:p w:rsidR="00DF17E9" w:rsidRPr="00274D51" w:rsidRDefault="00DF17E9" w:rsidP="00044843">
      <w:pPr>
        <w:pStyle w:val="Note"/>
        <w:numPr>
          <w:ilvl w:val="4"/>
          <w:numId w:val="20"/>
        </w:numPr>
        <w:ind w:left="284"/>
      </w:pPr>
      <w:r w:rsidRPr="00274D51">
        <w:t>June 2015 comparative figures have been restated to reflect more current information.</w:t>
      </w:r>
    </w:p>
    <w:p w:rsidR="00DF17E9" w:rsidRDefault="00DF17E9">
      <w:pPr>
        <w:rPr>
          <w:rFonts w:asciiTheme="majorHAnsi" w:eastAsiaTheme="majorEastAsia" w:hAnsiTheme="majorHAnsi" w:cstheme="majorBidi"/>
          <w:b/>
          <w:bCs/>
          <w:spacing w:val="-2"/>
          <w:szCs w:val="26"/>
        </w:rPr>
      </w:pPr>
      <w:r>
        <w:br w:type="page"/>
      </w:r>
    </w:p>
    <w:p w:rsidR="00DF17E9" w:rsidRPr="00C12632" w:rsidRDefault="00DF17E9" w:rsidP="00044843">
      <w:pPr>
        <w:pStyle w:val="Heading3"/>
        <w:numPr>
          <w:ilvl w:val="2"/>
          <w:numId w:val="22"/>
        </w:numPr>
        <w:tabs>
          <w:tab w:val="right" w:pos="14742"/>
        </w:tabs>
        <w:rPr>
          <w:lang w:val="en-US"/>
        </w:rPr>
      </w:pPr>
      <w:bookmarkStart w:id="76" w:name="_Toc462418830"/>
      <w:r w:rsidRPr="006005C5">
        <w:lastRenderedPageBreak/>
        <w:t>Trust fund cash flow statement for the financial year ended 30 June</w:t>
      </w:r>
      <w:r>
        <w:tab/>
      </w:r>
      <w:r>
        <w:rPr>
          <w:rStyle w:val="TableUnitsChar"/>
        </w:rPr>
        <w:t>($ thousand</w:t>
      </w:r>
      <w:r w:rsidRPr="00BF2109">
        <w:rPr>
          <w:rStyle w:val="TableUnitsChar"/>
        </w:rPr>
        <w:t>)</w:t>
      </w:r>
      <w:bookmarkEnd w:id="76"/>
    </w:p>
    <w:tbl>
      <w:tblPr>
        <w:tblStyle w:val="TableDTFGeneral"/>
        <w:tblW w:w="9638" w:type="dxa"/>
        <w:tblLayout w:type="fixed"/>
        <w:tblLook w:val="02A0" w:firstRow="1" w:lastRow="0" w:firstColumn="1" w:lastColumn="0" w:noHBand="1" w:noVBand="0"/>
      </w:tblPr>
      <w:tblGrid>
        <w:gridCol w:w="7400"/>
        <w:gridCol w:w="1134"/>
        <w:gridCol w:w="1104"/>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FFFFFF"/>
              </w:rPr>
            </w:pPr>
            <w:r w:rsidRPr="00C12632">
              <w:rPr>
                <w:color w:val="FFFFFF"/>
              </w:rPr>
              <w:t>2016</w:t>
            </w:r>
          </w:p>
        </w:tc>
        <w:tc>
          <w:tcPr>
            <w:tcW w:w="110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b/>
                <w:color w:val="000000"/>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 xml:space="preserve"> </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b/>
                <w:color w:val="000000"/>
              </w:rPr>
              <w:t>Receipts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 xml:space="preserve"> </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Taxation</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260 612</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341 909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Regulatory fees and fines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53 607</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56 540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pPr>
            <w:r w:rsidRPr="00C12632">
              <w:rPr>
                <w:color w:val="000000"/>
              </w:rPr>
              <w:t xml:space="preserve">Grants received </w:t>
            </w:r>
            <w:r w:rsidRPr="00C12632">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12 522 509</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12 551 197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Sale of goods and services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200 847</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365 814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Interest received</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99 402</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96 642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Dividend received</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11 023</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10 059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Net transfers from the consolidated fund</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7 458 930</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8 248 209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Other receipts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164 571</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189 662</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 xml:space="preserve"> </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b/>
                <w:color w:val="000000"/>
              </w:rPr>
              <w:t>Payments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 xml:space="preserve"> </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Payments for employees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(153 625)</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(148 022)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(13 343)</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(13 257)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Interest paid</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(4 721)</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(5 655)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pPr>
            <w:r w:rsidRPr="00C12632">
              <w:rPr>
                <w:color w:val="000000"/>
              </w:rPr>
              <w:t xml:space="preserve">Grants and subsidies </w:t>
            </w:r>
            <w:r w:rsidRPr="00C12632">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(18 332 824)</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(19 146 090)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bottom w:val="nil"/>
            </w:tcBorders>
          </w:tcPr>
          <w:p w:rsidR="00DF17E9" w:rsidRPr="00C12632" w:rsidRDefault="00DF17E9" w:rsidP="00044843">
            <w:pPr>
              <w:ind w:left="0" w:firstLine="0"/>
              <w:rPr>
                <w:color w:val="000000"/>
              </w:rPr>
            </w:pPr>
            <w:r w:rsidRPr="00C12632">
              <w:rPr>
                <w:color w:val="000000"/>
              </w:rPr>
              <w:t>Goods and services</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C12632" w:rsidRDefault="00DF17E9" w:rsidP="00044843">
            <w:pPr>
              <w:rPr>
                <w:color w:val="000000"/>
              </w:rPr>
            </w:pPr>
            <w:r w:rsidRPr="00C12632">
              <w:rPr>
                <w:color w:val="000000"/>
              </w:rPr>
              <w:t>(1 933 455)</w:t>
            </w:r>
          </w:p>
        </w:tc>
        <w:tc>
          <w:tcPr>
            <w:tcW w:w="11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(1 831 764)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rsidR="00DF17E9" w:rsidRPr="00C12632" w:rsidRDefault="00DF17E9" w:rsidP="00044843">
            <w:pPr>
              <w:ind w:left="0" w:firstLine="0"/>
              <w:rPr>
                <w:color w:val="000000"/>
              </w:rPr>
            </w:pPr>
            <w:r w:rsidRPr="00C12632">
              <w:rPr>
                <w:color w:val="000000"/>
              </w:rPr>
              <w:t>Other payments</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C12632" w:rsidRDefault="00DF17E9" w:rsidP="00044843">
            <w:r w:rsidRPr="00C12632">
              <w:rPr>
                <w:color w:val="000000"/>
              </w:rPr>
              <w:t>(18)</w:t>
            </w:r>
          </w:p>
        </w:tc>
        <w:tc>
          <w:tcPr>
            <w:tcW w:w="11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DF17E9" w:rsidRPr="00C12632" w:rsidRDefault="00DF17E9" w:rsidP="00044843">
            <w:r w:rsidRPr="00C12632">
              <w:rPr>
                <w:b/>
                <w:color w:val="000000"/>
              </w:rPr>
              <w:t>333 515</w:t>
            </w:r>
          </w:p>
        </w:tc>
        <w:tc>
          <w:tcPr>
            <w:tcW w:w="11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715 215</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DF17E9" w:rsidRPr="00C12632" w:rsidRDefault="00DF17E9" w:rsidP="00044843">
            <w:pPr>
              <w:rPr>
                <w:color w:val="000000"/>
              </w:rPr>
            </w:pPr>
            <w:r w:rsidRPr="00C12632">
              <w:rPr>
                <w:color w:val="000000"/>
              </w:rPr>
              <w:t xml:space="preserve"> </w:t>
            </w:r>
          </w:p>
        </w:tc>
        <w:tc>
          <w:tcPr>
            <w:tcW w:w="11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b/>
                <w:color w:val="000000"/>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 xml:space="preserve"> </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Purchase of non-financial assets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(12 030)</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(8 275)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Pr>
          <w:p w:rsidR="00DF17E9" w:rsidRPr="00C12632" w:rsidRDefault="00DF17E9" w:rsidP="00044843">
            <w:pPr>
              <w:ind w:left="0" w:firstLine="0"/>
              <w:rPr>
                <w:color w:val="000000"/>
              </w:rPr>
            </w:pPr>
            <w:r w:rsidRPr="00C12632">
              <w:rPr>
                <w:color w:val="000000"/>
              </w:rPr>
              <w:t>Sales of non-financial assets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65 973</w:t>
            </w:r>
          </w:p>
        </w:tc>
        <w:tc>
          <w:tcPr>
            <w:tcW w:w="11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80 682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bottom w:val="nil"/>
            </w:tcBorders>
          </w:tcPr>
          <w:p w:rsidR="00DF17E9" w:rsidRPr="00C12632" w:rsidRDefault="00DF17E9" w:rsidP="00044843">
            <w:pPr>
              <w:ind w:left="0" w:firstLine="0"/>
              <w:rPr>
                <w:color w:val="000000"/>
              </w:rPr>
            </w:pPr>
            <w:r w:rsidRPr="00C12632">
              <w:rPr>
                <w:color w:val="000000"/>
              </w:rPr>
              <w:t>Net proceeds from customer loans</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C12632" w:rsidRDefault="00DF17E9" w:rsidP="00044843">
            <w:r w:rsidRPr="00C12632">
              <w:rPr>
                <w:color w:val="000000"/>
              </w:rPr>
              <w:t>(6 163)</w:t>
            </w:r>
          </w:p>
        </w:tc>
        <w:tc>
          <w:tcPr>
            <w:tcW w:w="11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(5 372)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rsidR="00DF17E9" w:rsidRPr="00C12632" w:rsidRDefault="00DF17E9" w:rsidP="00044843">
            <w:pPr>
              <w:ind w:left="0" w:firstLine="0"/>
              <w:rPr>
                <w:color w:val="000000"/>
              </w:rPr>
            </w:pPr>
            <w:r w:rsidRPr="00C12632">
              <w:rPr>
                <w:color w:val="000000"/>
              </w:rPr>
              <w:t>Other investing activities</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C12632" w:rsidRDefault="00DF17E9" w:rsidP="00044843">
            <w:r w:rsidRPr="00C12632">
              <w:rPr>
                <w:color w:val="000000"/>
              </w:rPr>
              <w:t>(195 989)</w:t>
            </w:r>
          </w:p>
        </w:tc>
        <w:tc>
          <w:tcPr>
            <w:tcW w:w="11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(129 116)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Net cash flows from investing activities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DF17E9" w:rsidRPr="00C12632" w:rsidRDefault="00DF17E9" w:rsidP="00044843">
            <w:r w:rsidRPr="00C12632">
              <w:rPr>
                <w:b/>
                <w:color w:val="000000"/>
              </w:rPr>
              <w:t>(148 209)</w:t>
            </w:r>
          </w:p>
        </w:tc>
        <w:tc>
          <w:tcPr>
            <w:tcW w:w="11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(62 081)</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DF17E9" w:rsidRPr="00C12632" w:rsidRDefault="00DF17E9" w:rsidP="00044843">
            <w:pPr>
              <w:rPr>
                <w:color w:val="000000"/>
              </w:rPr>
            </w:pPr>
            <w:r w:rsidRPr="00C12632">
              <w:rPr>
                <w:color w:val="000000"/>
              </w:rPr>
              <w:t xml:space="preserve"> </w:t>
            </w:r>
          </w:p>
        </w:tc>
        <w:tc>
          <w:tcPr>
            <w:tcW w:w="11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bottom w:val="nil"/>
            </w:tcBorders>
          </w:tcPr>
          <w:p w:rsidR="00DF17E9" w:rsidRPr="00C12632" w:rsidRDefault="00DF17E9" w:rsidP="00044843">
            <w:pPr>
              <w:ind w:left="0" w:firstLine="0"/>
              <w:rPr>
                <w:color w:val="000000"/>
              </w:rPr>
            </w:pPr>
            <w:r w:rsidRPr="00C12632">
              <w:rPr>
                <w:b/>
                <w:color w:val="000000"/>
              </w:rPr>
              <w:t>Cash flows from financing activities</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C12632" w:rsidRDefault="00DF17E9" w:rsidP="00044843">
            <w:pPr>
              <w:rPr>
                <w:color w:val="000000"/>
              </w:rPr>
            </w:pPr>
            <w:r w:rsidRPr="00C12632">
              <w:rPr>
                <w:color w:val="000000"/>
              </w:rPr>
              <w:t xml:space="preserve"> </w:t>
            </w:r>
          </w:p>
        </w:tc>
        <w:tc>
          <w:tcPr>
            <w:tcW w:w="11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rsidR="00DF17E9" w:rsidRPr="00C12632" w:rsidRDefault="00DF17E9" w:rsidP="00044843">
            <w:pPr>
              <w:ind w:left="0" w:firstLine="0"/>
              <w:rPr>
                <w:color w:val="000000"/>
              </w:rPr>
            </w:pPr>
            <w:r w:rsidRPr="00C12632">
              <w:rPr>
                <w:color w:val="000000"/>
              </w:rPr>
              <w:t>Net borrowings</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C12632" w:rsidRDefault="00DF17E9" w:rsidP="00044843">
            <w:r w:rsidRPr="00C12632">
              <w:rPr>
                <w:color w:val="000000"/>
              </w:rPr>
              <w:t>(469 464)</w:t>
            </w:r>
          </w:p>
        </w:tc>
        <w:tc>
          <w:tcPr>
            <w:tcW w:w="11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318 238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DF17E9" w:rsidRPr="00C12632" w:rsidRDefault="00DF17E9" w:rsidP="00044843">
            <w:r w:rsidRPr="00C12632">
              <w:rPr>
                <w:b/>
                <w:color w:val="000000"/>
              </w:rPr>
              <w:t>(469 464)</w:t>
            </w:r>
          </w:p>
        </w:tc>
        <w:tc>
          <w:tcPr>
            <w:tcW w:w="11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318 238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Net increase/(decrease) in trust fund cash and deposits</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C12632" w:rsidRDefault="00DF17E9" w:rsidP="00044843">
            <w:r w:rsidRPr="00C12632">
              <w:rPr>
                <w:b/>
                <w:color w:val="000000"/>
              </w:rPr>
              <w:t>(284 158)</w:t>
            </w:r>
          </w:p>
        </w:tc>
        <w:tc>
          <w:tcPr>
            <w:tcW w:w="11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971 373</w:t>
            </w:r>
          </w:p>
        </w:tc>
      </w:tr>
    </w:tbl>
    <w:p w:rsidR="00DF17E9" w:rsidRPr="00274D51" w:rsidRDefault="00DF17E9" w:rsidP="00044843">
      <w:pPr>
        <w:pStyle w:val="Note"/>
      </w:pPr>
      <w:r w:rsidRPr="00274D51">
        <w:t>Note:</w:t>
      </w:r>
    </w:p>
    <w:p w:rsidR="00DF17E9" w:rsidRPr="00274D51" w:rsidRDefault="00DF17E9" w:rsidP="00044843">
      <w:pPr>
        <w:pStyle w:val="Note"/>
      </w:pPr>
      <w:r w:rsidRPr="00274D51">
        <w:t xml:space="preserve">(a) </w:t>
      </w:r>
      <w:r>
        <w:tab/>
      </w:r>
      <w:r w:rsidRPr="00274D51">
        <w:t>June 2015 comparative figures have been restated to reflect more current information.</w:t>
      </w:r>
    </w:p>
    <w:p w:rsidR="00DF17E9" w:rsidRDefault="00DF17E9" w:rsidP="006005C5"/>
    <w:p w:rsidR="00DF17E9" w:rsidRDefault="00DF17E9">
      <w:pPr>
        <w:rPr>
          <w:rFonts w:asciiTheme="majorHAnsi" w:eastAsiaTheme="majorEastAsia" w:hAnsiTheme="majorHAnsi" w:cstheme="majorBidi"/>
          <w:b/>
          <w:bCs/>
          <w:spacing w:val="-2"/>
          <w:szCs w:val="26"/>
        </w:rPr>
      </w:pPr>
      <w:r>
        <w:br w:type="page"/>
      </w:r>
    </w:p>
    <w:p w:rsidR="00DF17E9" w:rsidRPr="00C12632" w:rsidRDefault="00DF17E9" w:rsidP="00044843">
      <w:pPr>
        <w:pStyle w:val="Heading3"/>
        <w:tabs>
          <w:tab w:val="right" w:pos="14742"/>
        </w:tabs>
        <w:rPr>
          <w:lang w:val="en-US"/>
        </w:rPr>
      </w:pPr>
      <w:bookmarkStart w:id="77" w:name="_Toc462418831"/>
      <w:r w:rsidRPr="000C4E53">
        <w:lastRenderedPageBreak/>
        <w:t>Trust fund summary for the financial year ended 30 June</w:t>
      </w:r>
      <w:r w:rsidRPr="000C4E53">
        <w:tab/>
      </w:r>
      <w:r w:rsidRPr="000C4E53">
        <w:rPr>
          <w:rStyle w:val="TableUnitsChar"/>
        </w:rPr>
        <w:t>($ thousand)</w:t>
      </w:r>
      <w:bookmarkEnd w:id="77"/>
    </w:p>
    <w:tbl>
      <w:tblPr>
        <w:tblStyle w:val="TableDTFGeneral"/>
        <w:tblW w:w="9638" w:type="dxa"/>
        <w:tblLayout w:type="fixed"/>
        <w:tblLook w:val="02A0" w:firstRow="1" w:lastRow="0" w:firstColumn="1" w:lastColumn="0" w:noHBand="1" w:noVBand="0"/>
      </w:tblPr>
      <w:tblGrid>
        <w:gridCol w:w="7542"/>
        <w:gridCol w:w="1048"/>
        <w:gridCol w:w="1048"/>
      </w:tblGrid>
      <w:tr w:rsidR="006E44BF" w:rsidRPr="00C12632" w:rsidTr="006E44BF">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7542" w:type="dxa"/>
          </w:tcPr>
          <w:p w:rsidR="006E44BF" w:rsidRPr="00C12632" w:rsidRDefault="006E44BF" w:rsidP="006E44BF">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048" w:type="dxa"/>
          </w:tcPr>
          <w:p w:rsidR="006E44BF" w:rsidRPr="00C12632" w:rsidRDefault="006E44BF" w:rsidP="00044843">
            <w:pPr>
              <w:rPr>
                <w:i w:val="0"/>
                <w:color w:val="FFFFFF"/>
              </w:rPr>
            </w:pPr>
            <w:r w:rsidRPr="00C12632">
              <w:rPr>
                <w:color w:val="FFFFFF"/>
              </w:rPr>
              <w:t xml:space="preserve"> Balances </w:t>
            </w:r>
          </w:p>
          <w:p w:rsidR="006E44BF" w:rsidRPr="00C12632" w:rsidRDefault="006E44BF" w:rsidP="00044843">
            <w:pPr>
              <w:rPr>
                <w:color w:val="FFFFFF"/>
              </w:rPr>
            </w:pPr>
            <w:r w:rsidRPr="00C12632">
              <w:rPr>
                <w:color w:val="FFFFFF"/>
              </w:rPr>
              <w:t>held 2016</w:t>
            </w:r>
          </w:p>
        </w:tc>
        <w:tc>
          <w:tcPr>
            <w:tcW w:w="1048" w:type="dxa"/>
          </w:tcPr>
          <w:p w:rsidR="006E44BF" w:rsidRPr="00C12632" w:rsidRDefault="006E44BF"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C12632">
              <w:rPr>
                <w:color w:val="FFFFFF"/>
              </w:rPr>
              <w:t xml:space="preserve"> Balances </w:t>
            </w:r>
          </w:p>
          <w:p w:rsidR="006E44BF" w:rsidRPr="00C12632" w:rsidRDefault="006E44B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held 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b/>
                <w:color w:val="000000"/>
              </w:rPr>
              <w:t>State Government funds</w:t>
            </w:r>
          </w:p>
        </w:tc>
        <w:tc>
          <w:tcPr>
            <w:cnfStyle w:val="000010000000" w:firstRow="0" w:lastRow="0" w:firstColumn="0" w:lastColumn="0" w:oddVBand="1" w:evenVBand="0" w:oddHBand="0" w:evenHBand="0" w:firstRowFirstColumn="0" w:firstRowLastColumn="0" w:lastRowFirstColumn="0" w:lastRowLastColumn="0"/>
            <w:tcW w:w="1048" w:type="dxa"/>
          </w:tcPr>
          <w:p w:rsidR="00DF17E9" w:rsidRPr="00C12632" w:rsidRDefault="00DF17E9" w:rsidP="00044843">
            <w:pPr>
              <w:rPr>
                <w:color w:val="000000"/>
              </w:rPr>
            </w:pPr>
            <w:r w:rsidRPr="00C12632">
              <w:rPr>
                <w:b/>
                <w:color w:val="000000"/>
              </w:rPr>
              <w:t xml:space="preserve"> </w:t>
            </w:r>
          </w:p>
        </w:tc>
        <w:tc>
          <w:tcPr>
            <w:tcW w:w="104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pPr>
            <w:r w:rsidRPr="00C12632">
              <w:rPr>
                <w:color w:val="000000"/>
              </w:rPr>
              <w:t xml:space="preserve">Accounts established to receive levies imposed by Parliament and record the expenditure thereof </w:t>
            </w:r>
            <w:r w:rsidRPr="00C12632">
              <w:rPr>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Pr>
          <w:p w:rsidR="00DF17E9" w:rsidRPr="00C12632" w:rsidRDefault="00DF17E9" w:rsidP="00044843">
            <w:r w:rsidRPr="00C12632">
              <w:rPr>
                <w:color w:val="000000"/>
              </w:rPr>
              <w:t>705 608</w:t>
            </w:r>
          </w:p>
        </w:tc>
        <w:tc>
          <w:tcPr>
            <w:tcW w:w="104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569 398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A432AC">
            <w:pPr>
              <w:ind w:left="113" w:hanging="113"/>
              <w:rPr>
                <w:color w:val="000000"/>
              </w:rPr>
            </w:pPr>
            <w:r w:rsidRPr="00C12632">
              <w:rPr>
                <w:color w:val="000000"/>
              </w:rPr>
              <w:t>Accounts established to receive monies provided in the annual budget and record the expenditure thereof</w:t>
            </w:r>
          </w:p>
        </w:tc>
        <w:tc>
          <w:tcPr>
            <w:cnfStyle w:val="000010000000" w:firstRow="0" w:lastRow="0" w:firstColumn="0" w:lastColumn="0" w:oddVBand="1" w:evenVBand="0" w:oddHBand="0" w:evenHBand="0" w:firstRowFirstColumn="0" w:firstRowLastColumn="0" w:lastRowFirstColumn="0" w:lastRowLastColumn="0"/>
            <w:tcW w:w="1048" w:type="dxa"/>
          </w:tcPr>
          <w:p w:rsidR="00DF17E9" w:rsidRPr="00C12632" w:rsidRDefault="00DF17E9" w:rsidP="00044843">
            <w:pPr>
              <w:rPr>
                <w:color w:val="000000"/>
              </w:rPr>
            </w:pPr>
            <w:r w:rsidRPr="00C12632">
              <w:rPr>
                <w:color w:val="000000"/>
              </w:rPr>
              <w:t>1 524 848</w:t>
            </w:r>
          </w:p>
        </w:tc>
        <w:tc>
          <w:tcPr>
            <w:tcW w:w="104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1 401 157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pPr>
            <w:r w:rsidRPr="00C12632">
              <w:rPr>
                <w:color w:val="000000"/>
              </w:rPr>
              <w:t>Specific purpose operating accounts established for various authorities</w:t>
            </w:r>
            <w:r w:rsidRPr="00C12632">
              <w:rPr>
                <w:color w:val="000000"/>
                <w:vertAlign w:val="superscript"/>
              </w:rPr>
              <w:t xml:space="preserve"> </w:t>
            </w:r>
            <w:r w:rsidRPr="00C12632">
              <w:rPr>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Pr>
          <w:p w:rsidR="00DF17E9" w:rsidRPr="00C12632" w:rsidRDefault="00DF17E9" w:rsidP="00044843">
            <w:r w:rsidRPr="00C12632">
              <w:rPr>
                <w:color w:val="000000"/>
              </w:rPr>
              <w:t>358 204</w:t>
            </w:r>
          </w:p>
        </w:tc>
        <w:tc>
          <w:tcPr>
            <w:tcW w:w="104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343 515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pPr>
            <w:r w:rsidRPr="00C12632">
              <w:rPr>
                <w:color w:val="000000"/>
              </w:rPr>
              <w:t xml:space="preserve">Suspense and clearing accounts to facilitate accounting procedures </w:t>
            </w:r>
            <w:r w:rsidRPr="00C12632">
              <w:rPr>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Pr>
          <w:p w:rsidR="00DF17E9" w:rsidRPr="00C12632" w:rsidRDefault="00DF17E9" w:rsidP="00044843">
            <w:r w:rsidRPr="00C12632">
              <w:rPr>
                <w:color w:val="000000"/>
              </w:rPr>
              <w:t>9 230</w:t>
            </w:r>
          </w:p>
        </w:tc>
        <w:tc>
          <w:tcPr>
            <w:tcW w:w="104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461 578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nil"/>
            </w:tcBorders>
          </w:tcPr>
          <w:p w:rsidR="00DF17E9" w:rsidRPr="00C12632" w:rsidRDefault="00DF17E9" w:rsidP="00044843">
            <w:pPr>
              <w:ind w:left="0" w:firstLine="0"/>
              <w:rPr>
                <w:color w:val="000000"/>
              </w:rPr>
            </w:pPr>
            <w:r w:rsidRPr="00C12632">
              <w:rPr>
                <w:color w:val="000000"/>
              </w:rPr>
              <w:t>Treasury Trust Fund</w:t>
            </w:r>
          </w:p>
        </w:tc>
        <w:tc>
          <w:tcPr>
            <w:cnfStyle w:val="000010000000" w:firstRow="0" w:lastRow="0" w:firstColumn="0" w:lastColumn="0" w:oddVBand="1" w:evenVBand="0" w:oddHBand="0" w:evenHBand="0" w:firstRowFirstColumn="0" w:firstRowLastColumn="0" w:lastRowFirstColumn="0" w:lastRowLastColumn="0"/>
            <w:tcW w:w="1048" w:type="dxa"/>
            <w:tcBorders>
              <w:bottom w:val="nil"/>
            </w:tcBorders>
          </w:tcPr>
          <w:p w:rsidR="00DF17E9" w:rsidRPr="00C12632" w:rsidRDefault="00DF17E9" w:rsidP="00044843">
            <w:r w:rsidRPr="00C12632">
              <w:rPr>
                <w:color w:val="000000"/>
              </w:rPr>
              <w:t>329 772</w:t>
            </w:r>
          </w:p>
        </w:tc>
        <w:tc>
          <w:tcPr>
            <w:tcW w:w="1048"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278 213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color w:val="000000"/>
              </w:rPr>
              <w:t>Agency and deposit accounts</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6" w:space="0" w:color="auto"/>
            </w:tcBorders>
          </w:tcPr>
          <w:p w:rsidR="00DF17E9" w:rsidRPr="00C12632" w:rsidRDefault="00DF17E9" w:rsidP="00044843">
            <w:r w:rsidRPr="00C12632">
              <w:rPr>
                <w:color w:val="000000"/>
              </w:rPr>
              <w:t>641 150</w:t>
            </w:r>
          </w:p>
        </w:tc>
        <w:tc>
          <w:tcPr>
            <w:tcW w:w="104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572 499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tcBorders>
          </w:tcPr>
          <w:p w:rsidR="00DF17E9" w:rsidRPr="00C12632" w:rsidRDefault="00DF17E9" w:rsidP="00044843">
            <w:pPr>
              <w:ind w:left="0" w:firstLine="0"/>
            </w:pPr>
            <w:r w:rsidRPr="00C12632">
              <w:rPr>
                <w:b/>
                <w:color w:val="000000"/>
              </w:rPr>
              <w:t>Total State Government funds</w:t>
            </w:r>
            <w:r w:rsidRPr="00C12632">
              <w:rPr>
                <w:b/>
                <w:color w:val="000000"/>
                <w:vertAlign w:val="superscript"/>
              </w:rPr>
              <w:t xml:space="preserve"> </w:t>
            </w:r>
            <w:r w:rsidRPr="00C12632">
              <w:rPr>
                <w:b/>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tcBorders>
          </w:tcPr>
          <w:p w:rsidR="00DF17E9" w:rsidRPr="00C12632" w:rsidRDefault="00DF17E9" w:rsidP="00044843">
            <w:pPr>
              <w:rPr>
                <w:color w:val="000000"/>
              </w:rPr>
            </w:pPr>
            <w:r w:rsidRPr="00C12632">
              <w:rPr>
                <w:b/>
                <w:color w:val="000000"/>
              </w:rPr>
              <w:t>3 568 811</w:t>
            </w:r>
          </w:p>
        </w:tc>
        <w:tc>
          <w:tcPr>
            <w:tcW w:w="1048"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3 626 360</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542" w:type="dxa"/>
            <w:tcBorders>
              <w:bottom w:val="nil"/>
            </w:tcBorders>
          </w:tcPr>
          <w:p w:rsidR="00DF17E9" w:rsidRPr="00C12632" w:rsidRDefault="00DF17E9" w:rsidP="00044843">
            <w:pPr>
              <w:ind w:left="0" w:firstLine="0"/>
              <w:rPr>
                <w:color w:val="000000"/>
              </w:rPr>
            </w:pPr>
            <w:r w:rsidRPr="00C12632">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8" w:type="dxa"/>
            <w:tcBorders>
              <w:bottom w:val="nil"/>
            </w:tcBorders>
          </w:tcPr>
          <w:p w:rsidR="00DF17E9" w:rsidRPr="00C12632" w:rsidRDefault="00DF17E9" w:rsidP="00044843">
            <w:pPr>
              <w:rPr>
                <w:color w:val="000000"/>
              </w:rPr>
            </w:pPr>
            <w:r w:rsidRPr="00C12632">
              <w:rPr>
                <w:color w:val="000000"/>
              </w:rPr>
              <w:t xml:space="preserve"> </w:t>
            </w:r>
          </w:p>
        </w:tc>
        <w:tc>
          <w:tcPr>
            <w:tcW w:w="1048"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pPr>
            <w:r w:rsidRPr="00C12632">
              <w:rPr>
                <w:b/>
                <w:color w:val="000000"/>
              </w:rPr>
              <w:t xml:space="preserve">Joint Commonwealth and State funds </w:t>
            </w:r>
            <w:r w:rsidRPr="00C12632">
              <w:rPr>
                <w:b/>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6" w:space="0" w:color="auto"/>
            </w:tcBorders>
          </w:tcPr>
          <w:p w:rsidR="00DF17E9" w:rsidRPr="00C12632" w:rsidRDefault="00DF17E9" w:rsidP="00044843">
            <w:r w:rsidRPr="00C12632">
              <w:rPr>
                <w:color w:val="000000"/>
              </w:rPr>
              <w:t>321 412</w:t>
            </w:r>
          </w:p>
        </w:tc>
        <w:tc>
          <w:tcPr>
            <w:tcW w:w="104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399 332</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tcBorders>
          </w:tcPr>
          <w:p w:rsidR="00DF17E9" w:rsidRPr="00C12632" w:rsidRDefault="00DF17E9" w:rsidP="00044843">
            <w:pPr>
              <w:ind w:left="0" w:firstLine="0"/>
              <w:rPr>
                <w:color w:val="000000"/>
              </w:rPr>
            </w:pPr>
            <w:r w:rsidRPr="00C12632">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tcBorders>
          </w:tcPr>
          <w:p w:rsidR="00DF17E9" w:rsidRPr="00C12632" w:rsidRDefault="00DF17E9" w:rsidP="00044843">
            <w:pPr>
              <w:rPr>
                <w:color w:val="000000"/>
              </w:rPr>
            </w:pPr>
            <w:r w:rsidRPr="00C12632">
              <w:rPr>
                <w:color w:val="000000"/>
              </w:rPr>
              <w:t xml:space="preserve"> </w:t>
            </w:r>
          </w:p>
        </w:tc>
        <w:tc>
          <w:tcPr>
            <w:tcW w:w="1048"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nil"/>
            </w:tcBorders>
          </w:tcPr>
          <w:p w:rsidR="00DF17E9" w:rsidRPr="00C12632" w:rsidRDefault="00DF17E9" w:rsidP="00044843">
            <w:pPr>
              <w:ind w:left="0" w:firstLine="0"/>
              <w:rPr>
                <w:color w:val="000000"/>
              </w:rPr>
            </w:pPr>
            <w:r w:rsidRPr="00C12632">
              <w:rPr>
                <w:b/>
                <w:color w:val="000000"/>
              </w:rPr>
              <w:t>Commonwealth Government funds</w:t>
            </w:r>
          </w:p>
        </w:tc>
        <w:tc>
          <w:tcPr>
            <w:cnfStyle w:val="000010000000" w:firstRow="0" w:lastRow="0" w:firstColumn="0" w:lastColumn="0" w:oddVBand="1" w:evenVBand="0" w:oddHBand="0" w:evenHBand="0" w:firstRowFirstColumn="0" w:firstRowLastColumn="0" w:lastRowFirstColumn="0" w:lastRowLastColumn="0"/>
            <w:tcW w:w="1048" w:type="dxa"/>
            <w:tcBorders>
              <w:bottom w:val="nil"/>
            </w:tcBorders>
          </w:tcPr>
          <w:p w:rsidR="00DF17E9" w:rsidRPr="00C12632" w:rsidRDefault="00DF17E9" w:rsidP="00044843">
            <w:pPr>
              <w:rPr>
                <w:color w:val="000000"/>
              </w:rPr>
            </w:pPr>
            <w:r w:rsidRPr="00C12632">
              <w:rPr>
                <w:color w:val="000000"/>
              </w:rPr>
              <w:t xml:space="preserve"> </w:t>
            </w:r>
          </w:p>
        </w:tc>
        <w:tc>
          <w:tcPr>
            <w:tcW w:w="1048"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color w:val="000000"/>
              </w:rPr>
              <w:t>Commonwealth Grants passed on to individuals and organisations</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6" w:space="0" w:color="auto"/>
            </w:tcBorders>
          </w:tcPr>
          <w:p w:rsidR="00DF17E9" w:rsidRPr="00C12632" w:rsidRDefault="00DF17E9" w:rsidP="00044843">
            <w:r w:rsidRPr="00C12632">
              <w:rPr>
                <w:color w:val="000000"/>
              </w:rPr>
              <w:t>115 306</w:t>
            </w:r>
          </w:p>
        </w:tc>
        <w:tc>
          <w:tcPr>
            <w:tcW w:w="104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61 871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Total Commonwealth Government funds</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bottom w:val="single" w:sz="6" w:space="0" w:color="auto"/>
            </w:tcBorders>
          </w:tcPr>
          <w:p w:rsidR="00DF17E9" w:rsidRPr="00C12632" w:rsidRDefault="00DF17E9" w:rsidP="00044843">
            <w:r w:rsidRPr="00C12632">
              <w:rPr>
                <w:b/>
                <w:color w:val="000000"/>
              </w:rPr>
              <w:t>115 306</w:t>
            </w:r>
          </w:p>
        </w:tc>
        <w:tc>
          <w:tcPr>
            <w:tcW w:w="1048"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61 871</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nil"/>
            </w:tcBorders>
          </w:tcPr>
          <w:p w:rsidR="00DF17E9" w:rsidRPr="00C12632" w:rsidRDefault="00DF17E9" w:rsidP="00044843">
            <w:pPr>
              <w:ind w:left="0" w:firstLine="0"/>
              <w:rPr>
                <w:color w:val="000000"/>
              </w:rPr>
            </w:pPr>
            <w:r w:rsidRPr="00C12632">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bottom w:val="nil"/>
            </w:tcBorders>
          </w:tcPr>
          <w:p w:rsidR="00DF17E9" w:rsidRPr="00C12632" w:rsidRDefault="00DF17E9" w:rsidP="00044843">
            <w:pPr>
              <w:rPr>
                <w:color w:val="000000"/>
              </w:rPr>
            </w:pPr>
            <w:r w:rsidRPr="00C12632">
              <w:rPr>
                <w:color w:val="000000"/>
              </w:rPr>
              <w:t xml:space="preserve"> </w:t>
            </w:r>
          </w:p>
        </w:tc>
        <w:tc>
          <w:tcPr>
            <w:tcW w:w="1048"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pPr>
            <w:r w:rsidRPr="00C12632">
              <w:rPr>
                <w:b/>
                <w:color w:val="000000"/>
              </w:rPr>
              <w:t xml:space="preserve">Prizes, scholarships, research and private donations </w:t>
            </w:r>
            <w:r w:rsidRPr="00C12632">
              <w:rPr>
                <w:b/>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6" w:space="0" w:color="auto"/>
            </w:tcBorders>
          </w:tcPr>
          <w:p w:rsidR="00DF17E9" w:rsidRPr="00C12632" w:rsidRDefault="00DF17E9" w:rsidP="00044843">
            <w:r w:rsidRPr="00C12632">
              <w:rPr>
                <w:color w:val="000000"/>
              </w:rPr>
              <w:t>172 049</w:t>
            </w:r>
          </w:p>
        </w:tc>
        <w:tc>
          <w:tcPr>
            <w:tcW w:w="104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196 848</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nil"/>
            </w:tcBorders>
          </w:tcPr>
          <w:p w:rsidR="00DF17E9" w:rsidRPr="00C12632" w:rsidRDefault="00DF17E9" w:rsidP="00044843">
            <w:pPr>
              <w:ind w:left="0" w:firstLine="0"/>
              <w:rPr>
                <w:color w:val="000000"/>
              </w:rPr>
            </w:pPr>
            <w:r w:rsidRPr="00C12632">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48" w:type="dxa"/>
            <w:tcBorders>
              <w:top w:val="single" w:sz="6" w:space="0" w:color="auto"/>
              <w:bottom w:val="nil"/>
            </w:tcBorders>
          </w:tcPr>
          <w:p w:rsidR="00DF17E9" w:rsidRPr="00C12632" w:rsidRDefault="00DF17E9" w:rsidP="00044843">
            <w:pPr>
              <w:rPr>
                <w:color w:val="000000"/>
              </w:rPr>
            </w:pPr>
            <w:r w:rsidRPr="00C12632">
              <w:rPr>
                <w:color w:val="000000"/>
              </w:rPr>
              <w:t xml:space="preserve"> </w:t>
            </w:r>
          </w:p>
        </w:tc>
        <w:tc>
          <w:tcPr>
            <w:tcW w:w="1048"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12" w:space="0" w:color="auto"/>
            </w:tcBorders>
          </w:tcPr>
          <w:p w:rsidR="00DF17E9" w:rsidRPr="00C12632" w:rsidRDefault="00DF17E9" w:rsidP="00044843">
            <w:pPr>
              <w:ind w:left="0" w:firstLine="0"/>
            </w:pPr>
            <w:r w:rsidRPr="00C12632">
              <w:rPr>
                <w:b/>
                <w:color w:val="000000"/>
              </w:rPr>
              <w:t xml:space="preserve">Total trust fund </w:t>
            </w:r>
            <w:r w:rsidRPr="00C12632">
              <w:rPr>
                <w:b/>
                <w:vertAlign w:val="superscript"/>
              </w:rPr>
              <w:t>(a)</w:t>
            </w:r>
          </w:p>
        </w:tc>
        <w:tc>
          <w:tcPr>
            <w:cnfStyle w:val="000010000000" w:firstRow="0" w:lastRow="0" w:firstColumn="0" w:lastColumn="0" w:oddVBand="1" w:evenVBand="0" w:oddHBand="0" w:evenHBand="0" w:firstRowFirstColumn="0" w:firstRowLastColumn="0" w:lastRowFirstColumn="0" w:lastRowLastColumn="0"/>
            <w:tcW w:w="1048" w:type="dxa"/>
            <w:tcBorders>
              <w:bottom w:val="single" w:sz="12" w:space="0" w:color="auto"/>
            </w:tcBorders>
          </w:tcPr>
          <w:p w:rsidR="00DF17E9" w:rsidRPr="00C12632" w:rsidRDefault="00DF17E9" w:rsidP="00044843">
            <w:pPr>
              <w:rPr>
                <w:color w:val="000000"/>
              </w:rPr>
            </w:pPr>
            <w:r w:rsidRPr="00C12632">
              <w:rPr>
                <w:b/>
                <w:color w:val="000000"/>
              </w:rPr>
              <w:t>4 177 577</w:t>
            </w:r>
          </w:p>
        </w:tc>
        <w:tc>
          <w:tcPr>
            <w:tcW w:w="1048"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4 284 411</w:t>
            </w:r>
          </w:p>
        </w:tc>
      </w:tr>
    </w:tbl>
    <w:p w:rsidR="00DF17E9" w:rsidRPr="00274D51" w:rsidRDefault="00DF17E9" w:rsidP="00044843">
      <w:pPr>
        <w:pStyle w:val="Note"/>
      </w:pPr>
      <w:r w:rsidRPr="00274D51">
        <w:t>Note:</w:t>
      </w:r>
    </w:p>
    <w:p w:rsidR="00DF17E9" w:rsidRPr="00274D51" w:rsidRDefault="00DF17E9" w:rsidP="00044843">
      <w:pPr>
        <w:pStyle w:val="Note"/>
      </w:pPr>
      <w:r w:rsidRPr="00274D51">
        <w:t xml:space="preserve">(a) </w:t>
      </w:r>
      <w:r>
        <w:tab/>
      </w:r>
      <w:r w:rsidRPr="00274D51">
        <w:t>June 2015 comparative figures have been restated to reflect more current information.</w:t>
      </w:r>
    </w:p>
    <w:p w:rsidR="00DF17E9" w:rsidRPr="00BF2109" w:rsidRDefault="00DF17E9" w:rsidP="006005C5"/>
    <w:p w:rsidR="00DF17E9" w:rsidRPr="00C12632" w:rsidRDefault="00DF17E9" w:rsidP="00044843">
      <w:pPr>
        <w:pStyle w:val="Heading3"/>
        <w:tabs>
          <w:tab w:val="right" w:pos="14742"/>
        </w:tabs>
        <w:rPr>
          <w:rStyle w:val="TableUnitsChar"/>
          <w:bCs w:val="0"/>
          <w:lang w:val="en-US"/>
        </w:rPr>
      </w:pPr>
      <w:bookmarkStart w:id="78" w:name="_Toc462418832"/>
      <w:r w:rsidRPr="006005C5">
        <w:t>Reconciliation of cash flows to balances held</w:t>
      </w:r>
      <w:r>
        <w:tab/>
      </w:r>
      <w:r w:rsidRPr="00293429">
        <w:rPr>
          <w:rStyle w:val="TableUnitsChar"/>
        </w:rPr>
        <w:t>($</w:t>
      </w:r>
      <w:r>
        <w:rPr>
          <w:rStyle w:val="TableUnitsChar"/>
        </w:rPr>
        <w:t xml:space="preserve"> thousand</w:t>
      </w:r>
      <w:r w:rsidRPr="00293429">
        <w:rPr>
          <w:rStyle w:val="TableUnitsChar"/>
        </w:rPr>
        <w:t>)</w:t>
      </w:r>
      <w:bookmarkEnd w:id="78"/>
    </w:p>
    <w:tbl>
      <w:tblPr>
        <w:tblStyle w:val="TableDTFGeneral"/>
        <w:tblW w:w="9634" w:type="dxa"/>
        <w:tblLayout w:type="fixed"/>
        <w:tblLook w:val="02A0" w:firstRow="1" w:lastRow="0" w:firstColumn="1" w:lastColumn="0" w:noHBand="1" w:noVBand="0"/>
      </w:tblPr>
      <w:tblGrid>
        <w:gridCol w:w="6265"/>
        <w:gridCol w:w="1123"/>
        <w:gridCol w:w="1123"/>
        <w:gridCol w:w="1123"/>
      </w:tblGrid>
      <w:tr w:rsidR="006E44BF" w:rsidRPr="00C12632" w:rsidTr="006E44B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6265" w:type="dxa"/>
          </w:tcPr>
          <w:p w:rsidR="006E44BF" w:rsidRPr="00C12632" w:rsidRDefault="006E44BF" w:rsidP="006E44BF">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123" w:type="dxa"/>
          </w:tcPr>
          <w:p w:rsidR="006E44BF" w:rsidRPr="00C12632" w:rsidRDefault="006E44BF" w:rsidP="00044843">
            <w:pPr>
              <w:rPr>
                <w:i w:val="0"/>
                <w:color w:val="FFFFFF"/>
              </w:rPr>
            </w:pPr>
            <w:r w:rsidRPr="00C12632">
              <w:rPr>
                <w:color w:val="FFFFFF"/>
              </w:rPr>
              <w:t xml:space="preserve">Balances </w:t>
            </w:r>
          </w:p>
          <w:p w:rsidR="006E44BF" w:rsidRPr="00C12632" w:rsidRDefault="006E44BF" w:rsidP="00A432AC">
            <w:pPr>
              <w:rPr>
                <w:color w:val="FFFFFF"/>
              </w:rPr>
            </w:pPr>
            <w:r w:rsidRPr="00C12632">
              <w:rPr>
                <w:color w:val="FFFFFF"/>
              </w:rPr>
              <w:t>held at</w:t>
            </w:r>
            <w:r w:rsidR="00A432AC">
              <w:rPr>
                <w:color w:val="FFFFFF"/>
              </w:rPr>
              <w:t xml:space="preserve"> </w:t>
            </w:r>
            <w:r w:rsidRPr="00C12632">
              <w:rPr>
                <w:color w:val="FFFFFF"/>
              </w:rPr>
              <w:t>30</w:t>
            </w:r>
            <w:r w:rsidR="00A432AC">
              <w:rPr>
                <w:color w:val="FFFFFF"/>
              </w:rPr>
              <w:t> </w:t>
            </w:r>
            <w:r w:rsidRPr="00C12632">
              <w:rPr>
                <w:color w:val="FFFFFF"/>
              </w:rPr>
              <w:t>June 2015</w:t>
            </w:r>
          </w:p>
        </w:tc>
        <w:tc>
          <w:tcPr>
            <w:tcW w:w="1123" w:type="dxa"/>
          </w:tcPr>
          <w:p w:rsidR="006E44BF" w:rsidRPr="00C12632" w:rsidRDefault="006E44BF" w:rsidP="00A432AC">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Net</w:t>
            </w:r>
            <w:r w:rsidR="00A432AC">
              <w:rPr>
                <w:color w:val="FFFFFF"/>
              </w:rPr>
              <w:t xml:space="preserve"> </w:t>
            </w:r>
            <w:r w:rsidRPr="00C12632">
              <w:rPr>
                <w:color w:val="FFFFFF"/>
              </w:rPr>
              <w:t>movement</w:t>
            </w:r>
            <w:r w:rsidR="00A432AC">
              <w:rPr>
                <w:color w:val="FFFFFF"/>
              </w:rPr>
              <w:t xml:space="preserve"> </w:t>
            </w:r>
            <w:r w:rsidRPr="00C12632">
              <w:rPr>
                <w:color w:val="FFFFFF"/>
              </w:rPr>
              <w:t>for year</w:t>
            </w:r>
          </w:p>
        </w:tc>
        <w:tc>
          <w:tcPr>
            <w:cnfStyle w:val="000010000000" w:firstRow="0" w:lastRow="0" w:firstColumn="0" w:lastColumn="0" w:oddVBand="1" w:evenVBand="0" w:oddHBand="0" w:evenHBand="0" w:firstRowFirstColumn="0" w:firstRowLastColumn="0" w:lastRowFirstColumn="0" w:lastRowLastColumn="0"/>
            <w:tcW w:w="1123" w:type="dxa"/>
          </w:tcPr>
          <w:p w:rsidR="006E44BF" w:rsidRPr="00C12632" w:rsidRDefault="006E44BF" w:rsidP="00044843">
            <w:pPr>
              <w:rPr>
                <w:i w:val="0"/>
                <w:color w:val="FFFFFF"/>
              </w:rPr>
            </w:pPr>
            <w:r w:rsidRPr="00C12632">
              <w:rPr>
                <w:color w:val="FFFFFF"/>
              </w:rPr>
              <w:t xml:space="preserve">Balances </w:t>
            </w:r>
          </w:p>
          <w:p w:rsidR="006E44BF" w:rsidRPr="00C12632" w:rsidRDefault="006E44BF" w:rsidP="00A432AC">
            <w:pPr>
              <w:rPr>
                <w:color w:val="FFFFFF"/>
              </w:rPr>
            </w:pPr>
            <w:r w:rsidRPr="00C12632">
              <w:rPr>
                <w:color w:val="FFFFFF"/>
              </w:rPr>
              <w:t>held at</w:t>
            </w:r>
            <w:r w:rsidR="00A432AC">
              <w:rPr>
                <w:color w:val="FFFFFF"/>
              </w:rPr>
              <w:t xml:space="preserve"> </w:t>
            </w:r>
            <w:r w:rsidRPr="00C12632">
              <w:rPr>
                <w:color w:val="FFFFFF"/>
              </w:rPr>
              <w:t>30</w:t>
            </w:r>
            <w:r w:rsidR="00A432AC">
              <w:rPr>
                <w:color w:val="FFFFFF"/>
              </w:rPr>
              <w:t> </w:t>
            </w:r>
            <w:r w:rsidRPr="00C12632">
              <w:rPr>
                <w:color w:val="FFFFFF"/>
              </w:rPr>
              <w:t>June 2016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Pr>
          <w:p w:rsidR="00DF17E9" w:rsidRPr="00C12632" w:rsidRDefault="00DF17E9" w:rsidP="00044843">
            <w:pPr>
              <w:ind w:left="0" w:firstLine="0"/>
              <w:rPr>
                <w:color w:val="000000"/>
              </w:rPr>
            </w:pPr>
            <w:r w:rsidRPr="00C12632">
              <w:rPr>
                <w:b/>
                <w:color w:val="000000"/>
              </w:rPr>
              <w:t>Cash and deposits</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pPr>
              <w:rPr>
                <w:color w:val="000000"/>
              </w:rPr>
            </w:pPr>
            <w:r w:rsidRPr="00C12632">
              <w:rPr>
                <w:color w:val="000000"/>
              </w:rPr>
              <w:t xml:space="preserve"> </w:t>
            </w:r>
          </w:p>
        </w:tc>
        <w:tc>
          <w:tcPr>
            <w:tcW w:w="112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Pr>
          <w:p w:rsidR="00DF17E9" w:rsidRPr="00C12632" w:rsidRDefault="00DF17E9" w:rsidP="00044843">
            <w:pPr>
              <w:ind w:left="0" w:firstLine="0"/>
              <w:rPr>
                <w:color w:val="000000"/>
              </w:rPr>
            </w:pPr>
            <w:r w:rsidRPr="00C12632">
              <w:rPr>
                <w:color w:val="000000"/>
              </w:rPr>
              <w:t>Cash balances outside the Public Account</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r w:rsidRPr="00C12632">
              <w:rPr>
                <w:color w:val="000000"/>
              </w:rPr>
              <w:t>691</w:t>
            </w:r>
          </w:p>
        </w:tc>
        <w:tc>
          <w:tcPr>
            <w:tcW w:w="112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(1 069)</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r w:rsidRPr="00C12632">
              <w:rPr>
                <w:color w:val="000000"/>
              </w:rPr>
              <w:t>(377)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Pr>
          <w:p w:rsidR="00DF17E9" w:rsidRPr="00C12632" w:rsidRDefault="00DF17E9" w:rsidP="006E44BF">
            <w:pPr>
              <w:ind w:left="0" w:firstLine="0"/>
              <w:rPr>
                <w:color w:val="000000"/>
              </w:rPr>
            </w:pPr>
            <w:r w:rsidRPr="00C12632">
              <w:rPr>
                <w:color w:val="000000"/>
              </w:rPr>
              <w:t xml:space="preserve">Deposits held with the Public Account </w:t>
            </w:r>
            <w:r w:rsidR="006E44BF">
              <w:rPr>
                <w:color w:val="000000"/>
              </w:rPr>
              <w:t>–</w:t>
            </w:r>
            <w:r w:rsidRPr="00C12632">
              <w:rPr>
                <w:color w:val="000000"/>
              </w:rPr>
              <w:t xml:space="preserve"> specific trusts</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r w:rsidRPr="00C12632">
              <w:rPr>
                <w:color w:val="000000"/>
              </w:rPr>
              <w:t>806 048</w:t>
            </w:r>
          </w:p>
        </w:tc>
        <w:tc>
          <w:tcPr>
            <w:tcW w:w="112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(30 181)</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r w:rsidRPr="00C12632">
              <w:rPr>
                <w:color w:val="000000"/>
              </w:rPr>
              <w:t>775 866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bottom w:val="nil"/>
            </w:tcBorders>
          </w:tcPr>
          <w:p w:rsidR="00DF17E9" w:rsidRPr="00C12632" w:rsidRDefault="00DF17E9" w:rsidP="006E44BF">
            <w:pPr>
              <w:ind w:left="0" w:firstLine="0"/>
              <w:rPr>
                <w:color w:val="000000"/>
              </w:rPr>
            </w:pPr>
            <w:r w:rsidRPr="00C12632">
              <w:rPr>
                <w:color w:val="000000"/>
              </w:rPr>
              <w:t xml:space="preserve">Deposits held with the Public Account </w:t>
            </w:r>
            <w:r w:rsidR="006E44BF">
              <w:rPr>
                <w:color w:val="000000"/>
              </w:rPr>
              <w:t>–</w:t>
            </w:r>
            <w:r w:rsidRPr="00C12632">
              <w:rPr>
                <w:color w:val="000000"/>
              </w:rPr>
              <w:t xml:space="preserve"> general trusts</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C12632" w:rsidRDefault="00DF17E9" w:rsidP="00044843">
            <w:r w:rsidRPr="00C12632">
              <w:rPr>
                <w:color w:val="000000"/>
              </w:rPr>
              <w:t>13</w:t>
            </w:r>
          </w:p>
        </w:tc>
        <w:tc>
          <w:tcPr>
            <w:tcW w:w="1123"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C12632" w:rsidRDefault="00DF17E9" w:rsidP="00044843">
            <w:r w:rsidRPr="00C12632">
              <w:rPr>
                <w:color w:val="000000"/>
              </w:rPr>
              <w:t>13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bottom w:val="single" w:sz="6" w:space="0" w:color="auto"/>
            </w:tcBorders>
          </w:tcPr>
          <w:p w:rsidR="00DF17E9" w:rsidRPr="00C12632" w:rsidRDefault="00DF17E9" w:rsidP="00044843">
            <w:pPr>
              <w:ind w:left="0" w:firstLine="0"/>
              <w:rPr>
                <w:color w:val="000000"/>
              </w:rPr>
            </w:pPr>
            <w:r w:rsidRPr="00C12632">
              <w:rPr>
                <w:color w:val="000000"/>
              </w:rPr>
              <w:t>Other balances held in the Public Account</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C12632" w:rsidRDefault="00DF17E9" w:rsidP="00044843">
            <w:pPr>
              <w:rPr>
                <w:color w:val="000000"/>
              </w:rPr>
            </w:pPr>
            <w:r w:rsidRPr="00C12632">
              <w:rPr>
                <w:color w:val="000000"/>
              </w:rPr>
              <w:t>3 397 389</w:t>
            </w:r>
          </w:p>
        </w:tc>
        <w:tc>
          <w:tcPr>
            <w:tcW w:w="1123"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(377 986)</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C12632" w:rsidRDefault="00DF17E9" w:rsidP="00044843">
            <w:pPr>
              <w:rPr>
                <w:color w:val="000000"/>
              </w:rPr>
            </w:pPr>
            <w:r w:rsidRPr="00C12632">
              <w:rPr>
                <w:color w:val="000000"/>
              </w:rPr>
              <w:t>3 019 403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top w:val="single" w:sz="6" w:space="0" w:color="auto"/>
            </w:tcBorders>
          </w:tcPr>
          <w:p w:rsidR="00DF17E9" w:rsidRPr="00C12632" w:rsidRDefault="00DF17E9" w:rsidP="00044843">
            <w:pPr>
              <w:ind w:left="0" w:firstLine="0"/>
              <w:rPr>
                <w:color w:val="000000"/>
              </w:rPr>
            </w:pPr>
            <w:r w:rsidRPr="00C12632">
              <w:rPr>
                <w:b/>
                <w:color w:val="000000"/>
              </w:rPr>
              <w:t>Total cash and deposits</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tcBorders>
          </w:tcPr>
          <w:p w:rsidR="00DF17E9" w:rsidRPr="00C12632" w:rsidRDefault="00DF17E9" w:rsidP="00044843">
            <w:pPr>
              <w:rPr>
                <w:color w:val="000000"/>
              </w:rPr>
            </w:pPr>
            <w:r w:rsidRPr="00C12632">
              <w:rPr>
                <w:b/>
                <w:color w:val="000000"/>
              </w:rPr>
              <w:t>4 204 141</w:t>
            </w:r>
          </w:p>
        </w:tc>
        <w:tc>
          <w:tcPr>
            <w:tcW w:w="1123"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(409 236)</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tcBorders>
          </w:tcPr>
          <w:p w:rsidR="00DF17E9" w:rsidRPr="00C12632" w:rsidRDefault="00DF17E9" w:rsidP="00044843">
            <w:pPr>
              <w:rPr>
                <w:color w:val="000000"/>
              </w:rPr>
            </w:pPr>
            <w:r w:rsidRPr="00C12632">
              <w:rPr>
                <w:b/>
                <w:color w:val="000000"/>
              </w:rPr>
              <w:t>3 794 905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Pr>
          <w:p w:rsidR="00DF17E9" w:rsidRPr="00C12632" w:rsidRDefault="00DF17E9" w:rsidP="00044843">
            <w:pPr>
              <w:ind w:left="0" w:firstLine="0"/>
              <w:rPr>
                <w:color w:val="000000"/>
              </w:rPr>
            </w:pPr>
            <w:r w:rsidRPr="00C12632">
              <w:rPr>
                <w:b/>
                <w:color w:val="000000"/>
              </w:rPr>
              <w:t>Investments</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pPr>
              <w:rPr>
                <w:color w:val="000000"/>
              </w:rPr>
            </w:pPr>
            <w:r w:rsidRPr="00C12632">
              <w:rPr>
                <w:color w:val="000000"/>
              </w:rPr>
              <w:t xml:space="preserve"> </w:t>
            </w:r>
          </w:p>
        </w:tc>
        <w:tc>
          <w:tcPr>
            <w:tcW w:w="112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pPr>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bottom w:val="nil"/>
            </w:tcBorders>
          </w:tcPr>
          <w:p w:rsidR="00DF17E9" w:rsidRPr="00C12632" w:rsidRDefault="00DF17E9" w:rsidP="00044843">
            <w:pPr>
              <w:ind w:left="0" w:firstLine="0"/>
              <w:rPr>
                <w:color w:val="000000"/>
              </w:rPr>
            </w:pPr>
            <w:r w:rsidRPr="00C12632">
              <w:rPr>
                <w:color w:val="000000"/>
              </w:rPr>
              <w:t>Investments held with the Public Account – specific trusts</w:t>
            </w:r>
            <w:r w:rsidRPr="00C12632">
              <w:rPr>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C12632" w:rsidRDefault="00DF17E9" w:rsidP="00044843">
            <w:r w:rsidRPr="00C12632">
              <w:rPr>
                <w:color w:val="000000"/>
              </w:rPr>
              <w:t>719 380</w:t>
            </w:r>
          </w:p>
        </w:tc>
        <w:tc>
          <w:tcPr>
            <w:tcW w:w="1123"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183 807</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C12632" w:rsidRDefault="00DF17E9" w:rsidP="00044843">
            <w:r w:rsidRPr="00C12632">
              <w:rPr>
                <w:color w:val="000000"/>
              </w:rPr>
              <w:t>903 188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bottom w:val="single" w:sz="6" w:space="0" w:color="auto"/>
            </w:tcBorders>
          </w:tcPr>
          <w:p w:rsidR="00DF17E9" w:rsidRPr="00C12632" w:rsidRDefault="00DF17E9" w:rsidP="00044843">
            <w:pPr>
              <w:ind w:left="0" w:firstLine="0"/>
              <w:rPr>
                <w:color w:val="000000"/>
              </w:rPr>
            </w:pPr>
            <w:r w:rsidRPr="00C12632">
              <w:rPr>
                <w:b/>
                <w:color w:val="000000"/>
              </w:rPr>
              <w:t>Total investments</w:t>
            </w:r>
            <w:r w:rsidRPr="00C12632">
              <w:rPr>
                <w:b/>
                <w:color w:val="00000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C12632" w:rsidRDefault="00DF17E9" w:rsidP="00044843">
            <w:r w:rsidRPr="00C12632">
              <w:rPr>
                <w:b/>
                <w:color w:val="000000"/>
              </w:rPr>
              <w:t>719 380</w:t>
            </w:r>
          </w:p>
        </w:tc>
        <w:tc>
          <w:tcPr>
            <w:tcW w:w="1123"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183 807</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C12632" w:rsidRDefault="00DF17E9" w:rsidP="00044843">
            <w:r w:rsidRPr="00C12632">
              <w:rPr>
                <w:b/>
                <w:color w:val="000000"/>
              </w:rPr>
              <w:t>903 188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top w:val="single" w:sz="6" w:space="0" w:color="auto"/>
            </w:tcBorders>
          </w:tcPr>
          <w:p w:rsidR="00DF17E9" w:rsidRPr="00C12632" w:rsidRDefault="00DF17E9" w:rsidP="00044843">
            <w:pPr>
              <w:ind w:left="0" w:firstLine="0"/>
              <w:rPr>
                <w:color w:val="000000"/>
              </w:rPr>
            </w:pPr>
            <w:r w:rsidRPr="00C12632">
              <w:rPr>
                <w:b/>
                <w:color w:val="000000"/>
              </w:rPr>
              <w:t>Total fund balances</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tcBorders>
          </w:tcPr>
          <w:p w:rsidR="00DF17E9" w:rsidRPr="00C12632" w:rsidRDefault="00DF17E9" w:rsidP="00044843">
            <w:pPr>
              <w:rPr>
                <w:color w:val="000000"/>
              </w:rPr>
            </w:pPr>
            <w:r w:rsidRPr="00C12632">
              <w:rPr>
                <w:b/>
                <w:color w:val="000000"/>
              </w:rPr>
              <w:t>4 923 521</w:t>
            </w:r>
          </w:p>
        </w:tc>
        <w:tc>
          <w:tcPr>
            <w:tcW w:w="1123"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(225 429)</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tcBorders>
          </w:tcPr>
          <w:p w:rsidR="00DF17E9" w:rsidRPr="00C12632" w:rsidRDefault="00DF17E9" w:rsidP="00044843">
            <w:pPr>
              <w:rPr>
                <w:color w:val="000000"/>
              </w:rPr>
            </w:pPr>
            <w:r w:rsidRPr="00C12632">
              <w:rPr>
                <w:b/>
                <w:color w:val="000000"/>
              </w:rPr>
              <w:t>4 698 093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Pr>
          <w:p w:rsidR="00DF17E9" w:rsidRPr="00C12632" w:rsidRDefault="00DF17E9" w:rsidP="00044843">
            <w:pPr>
              <w:ind w:left="0" w:firstLine="0"/>
              <w:rPr>
                <w:color w:val="000000"/>
              </w:rPr>
            </w:pPr>
            <w:r w:rsidRPr="00C12632">
              <w:rPr>
                <w:b/>
                <w:color w:val="000000"/>
              </w:rPr>
              <w:t>Less funds held outside the Public Account</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pPr>
              <w:rPr>
                <w:color w:val="000000"/>
              </w:rPr>
            </w:pPr>
            <w:r w:rsidRPr="00C12632">
              <w:rPr>
                <w:color w:val="000000"/>
              </w:rPr>
              <w:t xml:space="preserve"> </w:t>
            </w:r>
          </w:p>
        </w:tc>
        <w:tc>
          <w:tcPr>
            <w:tcW w:w="112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23" w:type="dxa"/>
          </w:tcPr>
          <w:p w:rsidR="00DF17E9" w:rsidRPr="00C12632" w:rsidRDefault="00DF17E9" w:rsidP="00044843">
            <w:pPr>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bottom w:val="nil"/>
            </w:tcBorders>
          </w:tcPr>
          <w:p w:rsidR="00DF17E9" w:rsidRPr="00C12632" w:rsidRDefault="00DF17E9" w:rsidP="00044843">
            <w:pPr>
              <w:ind w:left="0" w:firstLine="0"/>
              <w:rPr>
                <w:color w:val="000000"/>
              </w:rPr>
            </w:pPr>
            <w:r w:rsidRPr="00C12632">
              <w:rPr>
                <w:color w:val="000000"/>
              </w:rPr>
              <w:t>Cash</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C12632" w:rsidRDefault="00DF17E9" w:rsidP="00044843">
            <w:r w:rsidRPr="00C12632">
              <w:rPr>
                <w:color w:val="000000"/>
              </w:rPr>
              <w:t>691</w:t>
            </w:r>
          </w:p>
        </w:tc>
        <w:tc>
          <w:tcPr>
            <w:tcW w:w="1123"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(1 069)</w:t>
            </w:r>
          </w:p>
        </w:tc>
        <w:tc>
          <w:tcPr>
            <w:cnfStyle w:val="000010000000" w:firstRow="0" w:lastRow="0" w:firstColumn="0" w:lastColumn="0" w:oddVBand="1" w:evenVBand="0" w:oddHBand="0" w:evenHBand="0" w:firstRowFirstColumn="0" w:firstRowLastColumn="0" w:lastRowFirstColumn="0" w:lastRowLastColumn="0"/>
            <w:tcW w:w="1123" w:type="dxa"/>
            <w:tcBorders>
              <w:bottom w:val="nil"/>
            </w:tcBorders>
          </w:tcPr>
          <w:p w:rsidR="00DF17E9" w:rsidRPr="00C12632" w:rsidRDefault="00DF17E9" w:rsidP="00044843">
            <w:r w:rsidRPr="00C12632">
              <w:rPr>
                <w:color w:val="000000"/>
              </w:rPr>
              <w:t>(377)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bottom w:val="single" w:sz="6" w:space="0" w:color="auto"/>
            </w:tcBorders>
          </w:tcPr>
          <w:p w:rsidR="00DF17E9" w:rsidRPr="00C12632" w:rsidRDefault="00DF17E9" w:rsidP="00044843">
            <w:pPr>
              <w:ind w:left="0" w:firstLine="0"/>
              <w:rPr>
                <w:color w:val="000000"/>
              </w:rPr>
            </w:pPr>
            <w:r w:rsidRPr="00C12632">
              <w:rPr>
                <w:b/>
                <w:color w:val="000000"/>
              </w:rPr>
              <w:t>Total fund balances held outside the Public Account</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C12632" w:rsidRDefault="00DF17E9" w:rsidP="00044843">
            <w:r w:rsidRPr="00C12632">
              <w:rPr>
                <w:b/>
                <w:color w:val="000000"/>
              </w:rPr>
              <w:t>691</w:t>
            </w:r>
          </w:p>
        </w:tc>
        <w:tc>
          <w:tcPr>
            <w:tcW w:w="1123"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(1 069)</w:t>
            </w:r>
          </w:p>
        </w:tc>
        <w:tc>
          <w:tcPr>
            <w:cnfStyle w:val="000010000000" w:firstRow="0" w:lastRow="0" w:firstColumn="0" w:lastColumn="0" w:oddVBand="1" w:evenVBand="0" w:oddHBand="0" w:evenHBand="0" w:firstRowFirstColumn="0" w:firstRowLastColumn="0" w:lastRowFirstColumn="0" w:lastRowLastColumn="0"/>
            <w:tcW w:w="1123" w:type="dxa"/>
            <w:tcBorders>
              <w:bottom w:val="single" w:sz="6" w:space="0" w:color="auto"/>
            </w:tcBorders>
          </w:tcPr>
          <w:p w:rsidR="00DF17E9" w:rsidRPr="00C12632" w:rsidRDefault="00DF17E9" w:rsidP="00044843">
            <w:r w:rsidRPr="00C12632">
              <w:rPr>
                <w:b/>
                <w:color w:val="000000"/>
              </w:rPr>
              <w:t>(377)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6265" w:type="dxa"/>
            <w:tcBorders>
              <w:top w:val="single" w:sz="6" w:space="0" w:color="auto"/>
              <w:bottom w:val="single" w:sz="12" w:space="0" w:color="auto"/>
            </w:tcBorders>
          </w:tcPr>
          <w:p w:rsidR="00DF17E9" w:rsidRPr="00C12632" w:rsidRDefault="00DF17E9" w:rsidP="00044843">
            <w:pPr>
              <w:ind w:left="0" w:firstLine="0"/>
            </w:pPr>
            <w:r w:rsidRPr="00C12632">
              <w:rPr>
                <w:b/>
                <w:color w:val="000000"/>
              </w:rPr>
              <w:t>Total funds held in the Public Account</w:t>
            </w:r>
            <w:r w:rsidRPr="00C12632">
              <w:rPr>
                <w:b/>
                <w:color w:val="000000"/>
                <w:vertAlign w:val="superscript"/>
              </w:rPr>
              <w:t xml:space="preserve"> (a)(</w:t>
            </w:r>
            <w:r w:rsidRPr="00C12632">
              <w:rPr>
                <w:b/>
                <w:vertAlign w:val="superscript"/>
              </w:rPr>
              <w:t>b)</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4 922 830</w:t>
            </w:r>
          </w:p>
        </w:tc>
        <w:tc>
          <w:tcPr>
            <w:tcW w:w="1123"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(224 360)</w:t>
            </w:r>
          </w:p>
        </w:tc>
        <w:tc>
          <w:tcPr>
            <w:cnfStyle w:val="000010000000" w:firstRow="0" w:lastRow="0" w:firstColumn="0" w:lastColumn="0" w:oddVBand="1" w:evenVBand="0" w:oddHBand="0" w:evenHBand="0" w:firstRowFirstColumn="0" w:firstRowLastColumn="0" w:lastRowFirstColumn="0" w:lastRowLastColumn="0"/>
            <w:tcW w:w="1123"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4 698 470</w:t>
            </w:r>
          </w:p>
        </w:tc>
      </w:tr>
    </w:tbl>
    <w:p w:rsidR="00DF17E9" w:rsidRPr="00274D51" w:rsidRDefault="00DF17E9" w:rsidP="00044843">
      <w:pPr>
        <w:pStyle w:val="Note"/>
      </w:pPr>
      <w:r w:rsidRPr="00274D51">
        <w:t>Note</w:t>
      </w:r>
      <w:r>
        <w:t>s</w:t>
      </w:r>
      <w:r w:rsidRPr="00274D51">
        <w:t>:</w:t>
      </w:r>
    </w:p>
    <w:p w:rsidR="00DF17E9" w:rsidRPr="00274D51" w:rsidRDefault="00DF17E9" w:rsidP="00044843">
      <w:pPr>
        <w:pStyle w:val="Note"/>
      </w:pPr>
      <w:r w:rsidRPr="00274D51">
        <w:t xml:space="preserve">(a) </w:t>
      </w:r>
      <w:r>
        <w:tab/>
      </w:r>
      <w:r w:rsidRPr="00274D51">
        <w:t>June 2015 comparative figures have been restated to reflect more current information.</w:t>
      </w:r>
    </w:p>
    <w:p w:rsidR="00DF17E9" w:rsidRPr="007636C9" w:rsidRDefault="00DF17E9" w:rsidP="00044843">
      <w:pPr>
        <w:pStyle w:val="Note"/>
      </w:pPr>
      <w:r w:rsidRPr="007636C9">
        <w:t>(b)</w:t>
      </w:r>
      <w:r w:rsidRPr="004B0378">
        <w:t xml:space="preserve"> </w:t>
      </w:r>
      <w:r>
        <w:tab/>
      </w:r>
      <w:r w:rsidRPr="007636C9">
        <w:t xml:space="preserve">See Note </w:t>
      </w:r>
      <w:r>
        <w:t>8.2.6</w:t>
      </w:r>
      <w:r w:rsidRPr="007636C9">
        <w:t xml:space="preserve"> for details of securities and investments including amounts held in the Public Account on behalf of trust accounts on behalf of trust accounts.</w:t>
      </w:r>
    </w:p>
    <w:p w:rsidR="00DF17E9" w:rsidRDefault="00DF17E9">
      <w:pPr>
        <w:rPr>
          <w:rFonts w:asciiTheme="majorHAnsi" w:eastAsiaTheme="majorEastAsia" w:hAnsiTheme="majorHAnsi" w:cstheme="majorBidi"/>
          <w:b/>
          <w:bCs/>
          <w:spacing w:val="-2"/>
          <w:szCs w:val="26"/>
        </w:rPr>
      </w:pPr>
      <w:r>
        <w:br w:type="page"/>
      </w:r>
    </w:p>
    <w:p w:rsidR="00DF17E9" w:rsidRPr="00C12632" w:rsidRDefault="00DF17E9" w:rsidP="00044843">
      <w:pPr>
        <w:pStyle w:val="Heading3"/>
        <w:tabs>
          <w:tab w:val="right" w:pos="14742"/>
        </w:tabs>
        <w:rPr>
          <w:rStyle w:val="TableUnitsChar"/>
          <w:lang w:val="en-US"/>
        </w:rPr>
      </w:pPr>
      <w:bookmarkStart w:id="79" w:name="_Toc462418833"/>
      <w:r w:rsidRPr="004737F3">
        <w:lastRenderedPageBreak/>
        <w:t>Details of securities held and included in the balances at 30</w:t>
      </w:r>
      <w:r>
        <w:t> </w:t>
      </w:r>
      <w:r w:rsidRPr="004737F3">
        <w:t>June</w:t>
      </w:r>
      <w:r w:rsidRPr="003611A0">
        <w:rPr>
          <w:vertAlign w:val="superscript"/>
        </w:rPr>
        <w:t>(a)</w:t>
      </w:r>
      <w:r w:rsidRPr="004737F3">
        <w:tab/>
      </w:r>
      <w:r w:rsidRPr="00670B14">
        <w:rPr>
          <w:sz w:val="19"/>
          <w:szCs w:val="19"/>
        </w:rPr>
        <w:t xml:space="preserve">($ </w:t>
      </w:r>
      <w:r w:rsidRPr="00670B14">
        <w:rPr>
          <w:rStyle w:val="TableUnitsChar"/>
          <w:szCs w:val="19"/>
        </w:rPr>
        <w:t>thousand</w:t>
      </w:r>
      <w:r w:rsidRPr="00670B14">
        <w:rPr>
          <w:sz w:val="19"/>
          <w:szCs w:val="19"/>
        </w:rPr>
        <w:t>)</w:t>
      </w:r>
      <w:bookmarkEnd w:id="79"/>
    </w:p>
    <w:tbl>
      <w:tblPr>
        <w:tblStyle w:val="TableDTFGeneral"/>
        <w:tblW w:w="9632" w:type="dxa"/>
        <w:tblLayout w:type="fixed"/>
        <w:tblLook w:val="02A0" w:firstRow="1" w:lastRow="0" w:firstColumn="1" w:lastColumn="0" w:noHBand="1" w:noVBand="0"/>
      </w:tblPr>
      <w:tblGrid>
        <w:gridCol w:w="7542"/>
        <w:gridCol w:w="992"/>
        <w:gridCol w:w="1098"/>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FFFFFF"/>
              </w:rPr>
            </w:pPr>
            <w:r w:rsidRPr="00C12632">
              <w:rPr>
                <w:color w:val="FFFFFF"/>
              </w:rPr>
              <w:t>2016</w:t>
            </w:r>
          </w:p>
        </w:tc>
        <w:tc>
          <w:tcPr>
            <w:tcW w:w="1098"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b/>
                <w:color w:val="000000"/>
              </w:rPr>
              <w:t>Funds held at 30 June</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109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b/>
                <w:color w:val="000000"/>
              </w:rPr>
              <w:t>Trust accounts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109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color w:val="000000"/>
              </w:rPr>
              <w:t>Amounts invested on behalf of specific trust accounts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1 679 054</w:t>
            </w:r>
          </w:p>
        </w:tc>
        <w:tc>
          <w:tcPr>
            <w:tcW w:w="109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1 525 428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nil"/>
            </w:tcBorders>
          </w:tcPr>
          <w:p w:rsidR="00DF17E9" w:rsidRPr="00C12632" w:rsidRDefault="00DF17E9" w:rsidP="00044843">
            <w:pPr>
              <w:ind w:left="0" w:firstLine="0"/>
              <w:rPr>
                <w:color w:val="000000"/>
              </w:rPr>
            </w:pPr>
            <w:r w:rsidRPr="00C12632">
              <w:rPr>
                <w:color w:val="000000"/>
              </w:rPr>
              <w:t>Amounts invested on behalf of general trust accounts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r w:rsidRPr="00C12632">
              <w:rPr>
                <w:color w:val="000000"/>
              </w:rPr>
              <w:t>13</w:t>
            </w:r>
          </w:p>
        </w:tc>
        <w:tc>
          <w:tcPr>
            <w:tcW w:w="1098"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color w:val="000000"/>
              </w:rPr>
              <w:t>General account balances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2 498 887</w:t>
            </w:r>
          </w:p>
        </w:tc>
        <w:tc>
          <w:tcPr>
            <w:tcW w:w="109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2 758 279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nil"/>
            </w:tcBorders>
          </w:tcPr>
          <w:p w:rsidR="00DF17E9" w:rsidRPr="00C12632" w:rsidRDefault="00DF17E9" w:rsidP="00044843">
            <w:pPr>
              <w:ind w:left="0" w:firstLine="0"/>
              <w:rPr>
                <w:color w:val="000000"/>
              </w:rPr>
            </w:pPr>
            <w:r w:rsidRPr="00C12632">
              <w:rPr>
                <w:b/>
                <w:color w:val="000000"/>
              </w:rPr>
              <w:t>Total trust accounts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tcPr>
          <w:p w:rsidR="00DF17E9" w:rsidRPr="00C12632" w:rsidRDefault="00DF17E9" w:rsidP="00044843">
            <w:pPr>
              <w:rPr>
                <w:color w:val="000000"/>
              </w:rPr>
            </w:pPr>
            <w:r w:rsidRPr="00C12632">
              <w:rPr>
                <w:b/>
                <w:color w:val="000000"/>
              </w:rPr>
              <w:t>4 177 954</w:t>
            </w:r>
          </w:p>
        </w:tc>
        <w:tc>
          <w:tcPr>
            <w:tcW w:w="1098"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4 283 720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b/>
                <w:color w:val="000000"/>
              </w:rPr>
              <w:t>Consolidated fund account balance</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b/>
                <w:color w:val="000000"/>
              </w:rPr>
              <w:t>520 516</w:t>
            </w:r>
          </w:p>
        </w:tc>
        <w:tc>
          <w:tcPr>
            <w:tcW w:w="109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639 110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b/>
                <w:color w:val="000000"/>
              </w:rPr>
              <w:t>Total funds held in the public account</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4 698 470</w:t>
            </w:r>
          </w:p>
        </w:tc>
        <w:tc>
          <w:tcPr>
            <w:tcW w:w="1098"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4 922 830</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tcBorders>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color w:val="000000"/>
              </w:rPr>
              <w:t xml:space="preserve"> </w:t>
            </w:r>
          </w:p>
        </w:tc>
        <w:tc>
          <w:tcPr>
            <w:tcW w:w="1098"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b/>
                <w:color w:val="000000"/>
              </w:rPr>
              <w:t>Represented by:</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b/>
                <w:color w:val="000000"/>
              </w:rPr>
              <w:t xml:space="preserve"> </w:t>
            </w:r>
          </w:p>
        </w:tc>
        <w:tc>
          <w:tcPr>
            <w:tcW w:w="109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b/>
                <w:color w:val="000000"/>
              </w:rPr>
              <w:t>Stocks and securities held with/in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 xml:space="preserve"> </w:t>
            </w:r>
          </w:p>
        </w:tc>
        <w:tc>
          <w:tcPr>
            <w:tcW w:w="109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nil"/>
            </w:tcBorders>
          </w:tcPr>
          <w:p w:rsidR="00DF17E9" w:rsidRPr="00C12632" w:rsidRDefault="00DF17E9" w:rsidP="00044843">
            <w:pPr>
              <w:ind w:left="0" w:firstLine="0"/>
              <w:rPr>
                <w:color w:val="000000"/>
              </w:rPr>
            </w:pPr>
            <w:r w:rsidRPr="00C12632">
              <w:rPr>
                <w:color w:val="000000"/>
              </w:rPr>
              <w:t xml:space="preserve">Managed Investments </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r w:rsidRPr="00C12632">
              <w:rPr>
                <w:color w:val="000000"/>
              </w:rPr>
              <w:t>775 394</w:t>
            </w:r>
          </w:p>
        </w:tc>
        <w:tc>
          <w:tcPr>
            <w:tcW w:w="1098"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617 574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color w:val="000000"/>
              </w:rPr>
              <w:t>Treasury Corporation of Victoria</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903 673</w:t>
            </w:r>
          </w:p>
        </w:tc>
        <w:tc>
          <w:tcPr>
            <w:tcW w:w="109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907 867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tcBorders>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tcPr>
          <w:p w:rsidR="00DF17E9" w:rsidRPr="00C12632" w:rsidRDefault="00DF17E9" w:rsidP="00044843">
            <w:pPr>
              <w:rPr>
                <w:color w:val="000000"/>
              </w:rPr>
            </w:pPr>
            <w:r w:rsidRPr="00C12632">
              <w:rPr>
                <w:b/>
                <w:color w:val="000000"/>
              </w:rPr>
              <w:t>1 679 067</w:t>
            </w:r>
          </w:p>
        </w:tc>
        <w:tc>
          <w:tcPr>
            <w:tcW w:w="1098"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1 525 441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Pr>
          <w:p w:rsidR="00DF17E9" w:rsidRPr="00C12632" w:rsidRDefault="00DF17E9" w:rsidP="00044843">
            <w:pPr>
              <w:ind w:left="0" w:firstLine="0"/>
              <w:rPr>
                <w:color w:val="000000"/>
              </w:rPr>
            </w:pPr>
            <w:r w:rsidRPr="00C12632">
              <w:rPr>
                <w:b/>
                <w:color w:val="000000"/>
              </w:rPr>
              <w:t>Cash and investments held with/in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 xml:space="preserve"> </w:t>
            </w:r>
          </w:p>
        </w:tc>
        <w:tc>
          <w:tcPr>
            <w:tcW w:w="1098"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nil"/>
            </w:tcBorders>
          </w:tcPr>
          <w:p w:rsidR="00DF17E9" w:rsidRPr="00C12632" w:rsidRDefault="00DF17E9" w:rsidP="00044843">
            <w:pPr>
              <w:ind w:left="0" w:firstLine="0"/>
              <w:rPr>
                <w:color w:val="000000"/>
              </w:rPr>
            </w:pPr>
            <w:r w:rsidRPr="00C12632">
              <w:rPr>
                <w:color w:val="000000"/>
              </w:rPr>
              <w:t xml:space="preserve">Treasury Corporation of Victoria </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1 415 000</w:t>
            </w:r>
          </w:p>
        </w:tc>
        <w:tc>
          <w:tcPr>
            <w:tcW w:w="1098"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1 915 820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color w:val="000000"/>
              </w:rPr>
              <w:t>Cash at bank balances held in Australia</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r w:rsidRPr="00C12632">
              <w:rPr>
                <w:color w:val="000000"/>
              </w:rPr>
              <w:t>256 735</w:t>
            </w:r>
          </w:p>
        </w:tc>
        <w:tc>
          <w:tcPr>
            <w:tcW w:w="109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171 431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single" w:sz="6" w:space="0" w:color="auto"/>
            </w:tcBorders>
          </w:tcPr>
          <w:p w:rsidR="00DF17E9" w:rsidRPr="00C12632" w:rsidRDefault="00DF17E9" w:rsidP="00044843">
            <w:pPr>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1 671 735</w:t>
            </w:r>
          </w:p>
        </w:tc>
        <w:tc>
          <w:tcPr>
            <w:tcW w:w="1098"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2 087 251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nil"/>
            </w:tcBorders>
          </w:tcPr>
          <w:p w:rsidR="00DF17E9" w:rsidRPr="00C12632" w:rsidRDefault="00DF17E9" w:rsidP="00044843">
            <w:pPr>
              <w:ind w:left="0" w:firstLine="0"/>
              <w:rPr>
                <w:color w:val="000000"/>
              </w:rPr>
            </w:pPr>
            <w:r w:rsidRPr="00C12632">
              <w:rPr>
                <w:b/>
                <w:color w:val="000000"/>
              </w:rPr>
              <w:t>Total stock, securities, cash and investments</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tcPr>
          <w:p w:rsidR="00DF17E9" w:rsidRPr="00C12632" w:rsidRDefault="00DF17E9" w:rsidP="00044843">
            <w:pPr>
              <w:rPr>
                <w:color w:val="000000"/>
              </w:rPr>
            </w:pPr>
            <w:r w:rsidRPr="00C12632">
              <w:rPr>
                <w:b/>
                <w:color w:val="000000"/>
              </w:rPr>
              <w:t>3 350 802</w:t>
            </w:r>
          </w:p>
        </w:tc>
        <w:tc>
          <w:tcPr>
            <w:tcW w:w="1098" w:type="dxa"/>
            <w:tcBorders>
              <w:top w:val="single" w:sz="6" w:space="0" w:color="auto"/>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3 612 692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rsidR="00DF17E9" w:rsidRPr="00C12632" w:rsidRDefault="00DF17E9" w:rsidP="00044843">
            <w:pPr>
              <w:ind w:left="0" w:firstLine="0"/>
              <w:rPr>
                <w:color w:val="000000"/>
              </w:rPr>
            </w:pPr>
            <w:r w:rsidRPr="00C12632">
              <w:rPr>
                <w:color w:val="000000"/>
              </w:rPr>
              <w:t xml:space="preserve">Add cash advanced pursuant to Sections 36 and 37 of the </w:t>
            </w:r>
            <w:r w:rsidRPr="00C12632">
              <w:rPr>
                <w:i/>
                <w:color w:val="000000"/>
              </w:rPr>
              <w:t>Financial Management Act, No. 18 of 1994</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1 347 668</w:t>
            </w:r>
          </w:p>
        </w:tc>
        <w:tc>
          <w:tcPr>
            <w:tcW w:w="1098"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1 310 138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Total funds held in the public account</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4 698 470</w:t>
            </w:r>
          </w:p>
        </w:tc>
        <w:tc>
          <w:tcPr>
            <w:tcW w:w="1098"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4 922 830</w:t>
            </w:r>
          </w:p>
        </w:tc>
      </w:tr>
    </w:tbl>
    <w:p w:rsidR="00DF17E9" w:rsidRPr="00274D51" w:rsidRDefault="00DF17E9" w:rsidP="00044843">
      <w:pPr>
        <w:pStyle w:val="Note"/>
      </w:pPr>
      <w:r w:rsidRPr="00274D51">
        <w:t>Note:</w:t>
      </w:r>
    </w:p>
    <w:p w:rsidR="00DF17E9" w:rsidRDefault="00DF17E9" w:rsidP="00044843">
      <w:pPr>
        <w:pStyle w:val="Note"/>
      </w:pPr>
      <w:r w:rsidRPr="00550B01">
        <w:t xml:space="preserve">(a) </w:t>
      </w:r>
      <w:r>
        <w:tab/>
      </w:r>
      <w:r w:rsidRPr="00550B01">
        <w:t>June 2015 comparative figures have been restated to reflect more current information.</w:t>
      </w:r>
    </w:p>
    <w:p w:rsidR="00DF17E9" w:rsidRPr="00550B01" w:rsidRDefault="00DF17E9" w:rsidP="00044843"/>
    <w:p w:rsidR="009A7483" w:rsidRDefault="009A7483">
      <w:pPr>
        <w:rPr>
          <w:rFonts w:asciiTheme="majorHAnsi" w:eastAsiaTheme="majorEastAsia" w:hAnsiTheme="majorHAnsi" w:cstheme="majorBidi"/>
          <w:b/>
          <w:bCs/>
          <w:spacing w:val="-2"/>
          <w:szCs w:val="26"/>
        </w:rPr>
      </w:pPr>
      <w:bookmarkStart w:id="80" w:name="_Toc462418834"/>
      <w:r>
        <w:br w:type="page"/>
      </w:r>
    </w:p>
    <w:p w:rsidR="00DF17E9" w:rsidRPr="00C12632" w:rsidRDefault="00DF17E9" w:rsidP="00044843">
      <w:pPr>
        <w:pStyle w:val="Heading3"/>
        <w:tabs>
          <w:tab w:val="right" w:pos="14742"/>
        </w:tabs>
        <w:rPr>
          <w:sz w:val="19"/>
        </w:rPr>
      </w:pPr>
      <w:r w:rsidRPr="005C192A">
        <w:lastRenderedPageBreak/>
        <w:t>Consolidated Fund payments: special appropriations</w:t>
      </w:r>
      <w:r w:rsidRPr="00EF1FD2">
        <w:rPr>
          <w:vertAlign w:val="superscript"/>
        </w:rPr>
        <w:t>(a)</w:t>
      </w:r>
      <w:r>
        <w:tab/>
      </w:r>
      <w:r w:rsidRPr="00255CB9">
        <w:rPr>
          <w:rStyle w:val="TableUnitsChar"/>
        </w:rPr>
        <w:t xml:space="preserve">($ </w:t>
      </w:r>
      <w:r>
        <w:rPr>
          <w:rStyle w:val="TableUnitsChar"/>
        </w:rPr>
        <w:t>thousand</w:t>
      </w:r>
      <w:r w:rsidRPr="00255CB9">
        <w:rPr>
          <w:rStyle w:val="TableUnitsChar"/>
        </w:rPr>
        <w:t>)</w:t>
      </w:r>
      <w:bookmarkEnd w:id="80"/>
    </w:p>
    <w:tbl>
      <w:tblPr>
        <w:tblStyle w:val="TableDTFGeneral"/>
        <w:tblW w:w="9638" w:type="dxa"/>
        <w:tblLayout w:type="fixed"/>
        <w:tblLook w:val="02A0" w:firstRow="1" w:lastRow="0" w:firstColumn="1" w:lastColumn="0" w:noHBand="1" w:noVBand="0"/>
      </w:tblPr>
      <w:tblGrid>
        <w:gridCol w:w="7540"/>
        <w:gridCol w:w="992"/>
        <w:gridCol w:w="1106"/>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pStyle w:val="Note"/>
              <w:jc w:val="right"/>
              <w:rPr>
                <w:rFonts w:ascii="Calibri" w:eastAsiaTheme="minorEastAsia" w:hAnsi="Calibri" w:cs="Calibri"/>
                <w:iCs/>
                <w:color w:val="FFFFFF"/>
                <w:sz w:val="17"/>
                <w:szCs w:val="20"/>
                <w:lang w:eastAsia="en-AU"/>
              </w:rPr>
            </w:pPr>
            <w:r w:rsidRPr="00C12632">
              <w:rPr>
                <w:rFonts w:ascii="Calibri" w:eastAsiaTheme="minorEastAsia" w:hAnsi="Calibri" w:cs="Calibri"/>
                <w:iCs/>
                <w:color w:val="FFFFFF"/>
                <w:sz w:val="17"/>
                <w:szCs w:val="20"/>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rPr>
                <w:rFonts w:ascii="Calibri" w:eastAsiaTheme="minorEastAsia" w:hAnsi="Calibri" w:cs="Calibri"/>
                <w:i w:val="0"/>
                <w:iCs/>
                <w:color w:val="FFFFFF"/>
                <w:szCs w:val="20"/>
                <w:lang w:eastAsia="en-AU"/>
              </w:rPr>
            </w:pPr>
            <w:r w:rsidRPr="00C12632">
              <w:rPr>
                <w:rFonts w:ascii="Calibri" w:eastAsiaTheme="minorEastAsia" w:hAnsi="Calibri" w:cs="Calibri"/>
                <w:iCs/>
                <w:color w:val="FFFFFF"/>
                <w:szCs w:val="20"/>
                <w:lang w:eastAsia="en-AU"/>
              </w:rPr>
              <w:t xml:space="preserve">2016 </w:t>
            </w:r>
          </w:p>
        </w:tc>
        <w:tc>
          <w:tcPr>
            <w:tcW w:w="1106" w:type="dxa"/>
          </w:tcPr>
          <w:p w:rsidR="00DF17E9" w:rsidRPr="00C12632" w:rsidRDefault="00DF17E9" w:rsidP="00044843">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i w:val="0"/>
                <w:iCs/>
                <w:color w:val="FFFFFF"/>
                <w:szCs w:val="20"/>
                <w:lang w:eastAsia="en-AU"/>
              </w:rPr>
            </w:pPr>
            <w:r w:rsidRPr="00C12632">
              <w:rPr>
                <w:rFonts w:ascii="Calibri" w:eastAsiaTheme="minorEastAsia" w:hAnsi="Calibri" w:cs="Calibri"/>
                <w:iCs/>
                <w:color w:val="FFFFFF"/>
                <w:szCs w:val="20"/>
                <w:lang w:eastAsia="en-AU"/>
              </w:rPr>
              <w:t xml:space="preserve">2015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155 337</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9 123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Education and Training</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59 658</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173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Environment, Land, Water and Planning</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131 700</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116 822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Health and Human Services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1 434 529</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1 404 504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Justice and Regulation</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21 929</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98 481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Premier and Cabinet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52 742</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39 369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Parliament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33 554</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33 746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 xml:space="preserve">Courts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pPr>
            <w:r w:rsidRPr="00C12632">
              <w:rPr>
                <w:rFonts w:ascii="Calibri" w:eastAsiaTheme="minorEastAsia" w:hAnsi="Calibri" w:cs="Calibri"/>
                <w:color w:val="000000"/>
                <w:szCs w:val="20"/>
                <w:lang w:eastAsia="en-AU"/>
              </w:rPr>
              <w:t>164 636</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155 886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 xml:space="preserve">Treasury and Finance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2 191 629</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1 281 704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Human Services</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autoSpaceDE w:val="0"/>
              <w:autoSpaceDN w:val="0"/>
              <w:adjustRightInd w:val="0"/>
              <w:spacing w:after="0"/>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w:t>
            </w:r>
          </w:p>
        </w:tc>
        <w:tc>
          <w:tcPr>
            <w:tcW w:w="1106" w:type="dxa"/>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31 968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Borders>
              <w:bottom w:val="single" w:sz="4" w:space="0" w:color="auto"/>
            </w:tcBorders>
          </w:tcPr>
          <w:p w:rsidR="00DF17E9" w:rsidRPr="00C12632" w:rsidRDefault="00DF17E9" w:rsidP="00044843">
            <w:pPr>
              <w:autoSpaceDE w:val="0"/>
              <w:autoSpaceDN w:val="0"/>
              <w:adjustRightInd w:val="0"/>
              <w:spacing w:after="0"/>
              <w:ind w:left="227" w:hanging="227"/>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 xml:space="preserve">Transport, Planning, Land and Infrastructure </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tcPr>
          <w:p w:rsidR="00DF17E9" w:rsidRPr="00C12632" w:rsidRDefault="00DF17E9" w:rsidP="00044843">
            <w:pPr>
              <w:autoSpaceDE w:val="0"/>
              <w:autoSpaceDN w:val="0"/>
              <w:adjustRightInd w:val="0"/>
              <w:spacing w:after="0"/>
              <w:rPr>
                <w:rFonts w:ascii="Calibri" w:eastAsiaTheme="minorEastAsia" w:hAnsi="Calibri" w:cs="Calibri"/>
                <w:color w:val="000000"/>
                <w:szCs w:val="20"/>
                <w:lang w:eastAsia="en-AU"/>
              </w:rPr>
            </w:pPr>
            <w:r w:rsidRPr="00C12632">
              <w:rPr>
                <w:rFonts w:ascii="Calibri" w:eastAsiaTheme="minorEastAsia" w:hAnsi="Calibri" w:cs="Calibri"/>
                <w:color w:val="000000"/>
                <w:szCs w:val="20"/>
                <w:lang w:eastAsia="en-AU"/>
              </w:rPr>
              <w:t>..</w:t>
            </w:r>
          </w:p>
        </w:tc>
        <w:tc>
          <w:tcPr>
            <w:tcW w:w="1106" w:type="dxa"/>
            <w:tcBorders>
              <w:bottom w:val="single" w:sz="4" w:space="0" w:color="auto"/>
            </w:tcBorders>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C12632">
              <w:rPr>
                <w:rFonts w:ascii="Calibri" w:eastAsiaTheme="minorEastAsia" w:hAnsi="Calibri" w:cs="Calibri"/>
                <w:color w:val="000000"/>
                <w:szCs w:val="20"/>
                <w:lang w:eastAsia="en-AU"/>
              </w:rPr>
              <w:t>9 809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540" w:type="dxa"/>
            <w:tcBorders>
              <w:top w:val="single" w:sz="4" w:space="0" w:color="auto"/>
              <w:bottom w:val="single" w:sz="12" w:space="0" w:color="auto"/>
            </w:tcBorders>
          </w:tcPr>
          <w:p w:rsidR="00DF17E9" w:rsidRPr="00C12632" w:rsidRDefault="00DF17E9" w:rsidP="00044843">
            <w:pPr>
              <w:autoSpaceDE w:val="0"/>
              <w:autoSpaceDN w:val="0"/>
              <w:adjustRightInd w:val="0"/>
              <w:spacing w:after="0"/>
              <w:ind w:left="227" w:hanging="227"/>
              <w:rPr>
                <w:rFonts w:ascii="Calibri" w:eastAsiaTheme="minorEastAsia" w:hAnsi="Calibri" w:cs="Calibri"/>
                <w:b/>
                <w:bCs/>
                <w:color w:val="000000"/>
                <w:szCs w:val="20"/>
                <w:lang w:eastAsia="en-AU"/>
              </w:rPr>
            </w:pPr>
            <w:r w:rsidRPr="00C12632">
              <w:rPr>
                <w:rFonts w:ascii="Calibri" w:eastAsiaTheme="minorEastAsia" w:hAnsi="Calibri" w:cs="Calibri"/>
                <w:b/>
                <w:bCs/>
                <w:color w:val="000000"/>
                <w:szCs w:val="20"/>
                <w:lang w:eastAsia="en-AU"/>
              </w:rPr>
              <w:t>Total special appropriations</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bottom w:val="single" w:sz="12" w:space="0" w:color="auto"/>
            </w:tcBorders>
          </w:tcPr>
          <w:p w:rsidR="00DF17E9" w:rsidRPr="00C12632" w:rsidRDefault="00DF17E9" w:rsidP="00044843">
            <w:pPr>
              <w:autoSpaceDE w:val="0"/>
              <w:autoSpaceDN w:val="0"/>
              <w:adjustRightInd w:val="0"/>
              <w:spacing w:after="0"/>
              <w:rPr>
                <w:rFonts w:ascii="Calibri" w:eastAsiaTheme="minorEastAsia" w:hAnsi="Calibri" w:cs="Calibri"/>
                <w:b/>
                <w:color w:val="000000"/>
                <w:szCs w:val="20"/>
                <w:lang w:eastAsia="en-AU"/>
              </w:rPr>
            </w:pPr>
            <w:r w:rsidRPr="00C12632">
              <w:rPr>
                <w:rFonts w:ascii="Calibri" w:eastAsiaTheme="minorEastAsia" w:hAnsi="Calibri" w:cs="Calibri"/>
                <w:b/>
                <w:color w:val="000000"/>
                <w:szCs w:val="20"/>
                <w:lang w:eastAsia="en-AU"/>
              </w:rPr>
              <w:t>4 245 714</w:t>
            </w:r>
          </w:p>
        </w:tc>
        <w:tc>
          <w:tcPr>
            <w:tcW w:w="1106" w:type="dxa"/>
            <w:tcBorders>
              <w:top w:val="single" w:sz="4" w:space="0" w:color="auto"/>
              <w:bottom w:val="single" w:sz="12" w:space="0" w:color="auto"/>
            </w:tcBorders>
          </w:tcPr>
          <w:p w:rsidR="00DF17E9" w:rsidRPr="00C12632" w:rsidRDefault="00DF17E9" w:rsidP="0004484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color w:val="000000"/>
                <w:szCs w:val="20"/>
                <w:lang w:eastAsia="en-AU"/>
              </w:rPr>
            </w:pPr>
            <w:r w:rsidRPr="00C12632">
              <w:rPr>
                <w:rFonts w:ascii="Calibri" w:eastAsiaTheme="minorEastAsia" w:hAnsi="Calibri" w:cs="Calibri"/>
                <w:b/>
                <w:color w:val="000000"/>
                <w:szCs w:val="20"/>
                <w:lang w:eastAsia="en-AU"/>
              </w:rPr>
              <w:t>3 181 586</w:t>
            </w:r>
          </w:p>
        </w:tc>
      </w:tr>
    </w:tbl>
    <w:p w:rsidR="00DF17E9" w:rsidRPr="0064203B" w:rsidRDefault="00DF17E9" w:rsidP="00044843">
      <w:pPr>
        <w:pStyle w:val="Note"/>
      </w:pPr>
      <w:r>
        <w:t>Note</w:t>
      </w:r>
      <w:r w:rsidRPr="0064203B">
        <w:t>:</w:t>
      </w:r>
    </w:p>
    <w:p w:rsidR="00DF17E9" w:rsidRPr="0064203B" w:rsidRDefault="00DF17E9" w:rsidP="00044843">
      <w:pPr>
        <w:pStyle w:val="Note"/>
      </w:pPr>
      <w:r>
        <w:t>(a)</w:t>
      </w:r>
      <w:r>
        <w:tab/>
      </w:r>
      <w:r w:rsidRPr="0064203B">
        <w:t xml:space="preserve">Effective 1 January 2015 several departments were renamed </w:t>
      </w:r>
      <w:r>
        <w:t xml:space="preserve">or abolished </w:t>
      </w:r>
      <w:r w:rsidRPr="0064203B">
        <w:t>due to machinery of government changes:</w:t>
      </w:r>
    </w:p>
    <w:p w:rsidR="00DF17E9" w:rsidRPr="0064203B" w:rsidRDefault="00DF17E9" w:rsidP="00044843">
      <w:pPr>
        <w:pStyle w:val="NoteDash"/>
        <w:ind w:left="720" w:hanging="323"/>
      </w:pPr>
      <w:r w:rsidRPr="0064203B">
        <w:t>the Department of Education and Early Childhood Development was renamed the Department of Education and Training;</w:t>
      </w:r>
    </w:p>
    <w:p w:rsidR="00DF17E9" w:rsidRPr="0064203B" w:rsidRDefault="00DF17E9" w:rsidP="00044843">
      <w:pPr>
        <w:pStyle w:val="NoteDash"/>
        <w:ind w:left="720" w:hanging="323"/>
      </w:pPr>
      <w:r w:rsidRPr="0064203B">
        <w:t>the Department of Environment and Primary Industries was renamed the Department of Environment, Land, Water and Planning;</w:t>
      </w:r>
    </w:p>
    <w:p w:rsidR="00DF17E9" w:rsidRPr="0064203B" w:rsidRDefault="00DF17E9" w:rsidP="00044843">
      <w:pPr>
        <w:pStyle w:val="NoteDash"/>
        <w:ind w:left="720" w:hanging="323"/>
      </w:pPr>
      <w:r w:rsidRPr="0064203B">
        <w:t>the Department of Health was renamed the Department of Health and Human Services;</w:t>
      </w:r>
    </w:p>
    <w:p w:rsidR="00DF17E9" w:rsidRPr="0064203B" w:rsidRDefault="00DF17E9" w:rsidP="00044843">
      <w:pPr>
        <w:pStyle w:val="NoteDash"/>
        <w:ind w:left="720" w:hanging="323"/>
      </w:pPr>
      <w:r w:rsidRPr="0064203B">
        <w:t>the Department of Justice was renamed the Department of Justice and Regulation;</w:t>
      </w:r>
    </w:p>
    <w:p w:rsidR="00DF17E9" w:rsidRPr="0064203B" w:rsidRDefault="00DF17E9" w:rsidP="00044843">
      <w:pPr>
        <w:pStyle w:val="NoteDash"/>
        <w:ind w:left="720" w:hanging="323"/>
      </w:pPr>
      <w:r w:rsidRPr="0064203B">
        <w:t>the Department of State Development, Business and Innovation was renamed the Department of Economic Development, Jobs,</w:t>
      </w:r>
      <w:r>
        <w:t xml:space="preserve"> </w:t>
      </w:r>
      <w:r w:rsidRPr="0064203B">
        <w:t>Transport and Resources;</w:t>
      </w:r>
    </w:p>
    <w:p w:rsidR="00DF17E9" w:rsidRPr="0064203B" w:rsidRDefault="00DF17E9" w:rsidP="00044843">
      <w:pPr>
        <w:pStyle w:val="NoteDash"/>
        <w:ind w:left="720" w:hanging="323"/>
      </w:pPr>
      <w:r w:rsidRPr="0064203B">
        <w:t>the Department of Human Services was abolished; and</w:t>
      </w:r>
    </w:p>
    <w:p w:rsidR="00DF17E9" w:rsidRPr="0064203B" w:rsidRDefault="00DF17E9" w:rsidP="00044843">
      <w:pPr>
        <w:pStyle w:val="NoteDash"/>
        <w:ind w:left="720" w:hanging="323"/>
      </w:pPr>
      <w:r w:rsidRPr="0064203B">
        <w:t>the Department of Transport, Planning and Local Infrastructure was abolished.</w:t>
      </w:r>
    </w:p>
    <w:p w:rsidR="00DF17E9" w:rsidRPr="0064203B" w:rsidRDefault="00DF17E9" w:rsidP="00044843">
      <w:pPr>
        <w:pStyle w:val="Note"/>
      </w:pPr>
      <w:r>
        <w:tab/>
      </w:r>
      <w:r w:rsidRPr="00BD22A5">
        <w:t>The two abolished departments had their functions and operations transferred to other Victorian government departments. Accordingly, care needs to be taken in interpret</w:t>
      </w:r>
      <w:r>
        <w:t xml:space="preserve">ing the figures in this table. </w:t>
      </w:r>
      <w:r w:rsidRPr="0064203B">
        <w:t>Functions and</w:t>
      </w:r>
      <w:r>
        <w:t xml:space="preserve"> </w:t>
      </w:r>
      <w:r w:rsidRPr="0064203B">
        <w:t>operations of the Department of Human Services were transferred to the Department of Health and Human Services and to the Department</w:t>
      </w:r>
      <w:r>
        <w:t xml:space="preserve"> </w:t>
      </w:r>
      <w:r w:rsidRPr="0064203B">
        <w:t>of Premier and Cabinet. Functions and operations of the Department of Transport, Planning and Local Infrastructure were transferred to the</w:t>
      </w:r>
      <w:r>
        <w:t xml:space="preserve"> </w:t>
      </w:r>
      <w:r w:rsidRPr="0064203B">
        <w:t>Department of Environment, Land, Water and Planning, the Department of Health and Humans Services and to the Department of Economic</w:t>
      </w:r>
      <w:r>
        <w:t xml:space="preserve"> </w:t>
      </w:r>
      <w:r w:rsidRPr="0064203B">
        <w:t>Development, Jobs, Transport and Resources. Certain functions and operations of continuing Victorian government departments were also</w:t>
      </w:r>
      <w:r>
        <w:t xml:space="preserve"> </w:t>
      </w:r>
      <w:r w:rsidRPr="0064203B">
        <w:t>transferred among departments as part of the machinery of government changes. Controlled entities which have been transferred as part</w:t>
      </w:r>
      <w:r>
        <w:t xml:space="preserve"> </w:t>
      </w:r>
      <w:r w:rsidRPr="0064203B">
        <w:t>of the machinery of government changes are listed under their new portfolio departments.</w:t>
      </w:r>
    </w:p>
    <w:p w:rsidR="00DF17E9" w:rsidRDefault="00DF17E9" w:rsidP="00044843"/>
    <w:p w:rsidR="00DF17E9" w:rsidRDefault="00DF17E9">
      <w:pPr>
        <w:rPr>
          <w:rFonts w:asciiTheme="majorHAnsi" w:eastAsiaTheme="majorEastAsia" w:hAnsiTheme="majorHAnsi" w:cstheme="majorBidi"/>
          <w:b/>
          <w:bCs/>
          <w:spacing w:val="-2"/>
          <w:szCs w:val="26"/>
        </w:rPr>
      </w:pPr>
      <w:r>
        <w:br w:type="page"/>
      </w:r>
    </w:p>
    <w:p w:rsidR="00DF17E9" w:rsidRPr="00C12632" w:rsidRDefault="00DF17E9" w:rsidP="00044843">
      <w:pPr>
        <w:pStyle w:val="Heading3"/>
        <w:tabs>
          <w:tab w:val="right" w:pos="14742"/>
        </w:tabs>
        <w:rPr>
          <w:lang w:val="en-US"/>
        </w:rPr>
      </w:pPr>
      <w:bookmarkStart w:id="81" w:name="_Toc462418835"/>
      <w:r w:rsidRPr="005C192A">
        <w:lastRenderedPageBreak/>
        <w:t>Consolidated Fund payments: annual appropriations</w:t>
      </w:r>
      <w:r w:rsidRPr="00610049">
        <w:rPr>
          <w:vertAlign w:val="superscript"/>
        </w:rPr>
        <w:t>(a)</w:t>
      </w:r>
      <w:r>
        <w:tab/>
      </w:r>
      <w:r w:rsidRPr="00255CB9">
        <w:rPr>
          <w:rStyle w:val="TableUnitsChar"/>
        </w:rPr>
        <w:t>($ thousand)</w:t>
      </w:r>
      <w:bookmarkEnd w:id="81"/>
    </w:p>
    <w:tbl>
      <w:tblPr>
        <w:tblStyle w:val="TableDTFGeneral"/>
        <w:tblW w:w="9637" w:type="dxa"/>
        <w:tblLayout w:type="fixed"/>
        <w:tblLook w:val="02A0" w:firstRow="1" w:lastRow="0" w:firstColumn="1" w:lastColumn="0" w:noHBand="1" w:noVBand="0"/>
      </w:tblPr>
      <w:tblGrid>
        <w:gridCol w:w="4849"/>
        <w:gridCol w:w="1134"/>
        <w:gridCol w:w="1115"/>
        <w:gridCol w:w="1436"/>
        <w:gridCol w:w="1103"/>
      </w:tblGrid>
      <w:tr w:rsidR="006E44BF" w:rsidRPr="00C12632" w:rsidTr="00A432AC">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4849" w:type="dxa"/>
          </w:tcPr>
          <w:p w:rsidR="006E44BF" w:rsidRPr="00C12632" w:rsidRDefault="006E44BF" w:rsidP="006E44BF">
            <w:pPr>
              <w:ind w:left="0" w:firstLine="0"/>
              <w:rPr>
                <w:color w:val="FFFFFF"/>
              </w:rPr>
            </w:pPr>
            <w:r w:rsidRPr="00C12632">
              <w:rPr>
                <w:color w:val="FFFFFF"/>
              </w:rPr>
              <w:t>2016</w:t>
            </w:r>
          </w:p>
        </w:tc>
        <w:tc>
          <w:tcPr>
            <w:cnfStyle w:val="000010000000" w:firstRow="0" w:lastRow="0" w:firstColumn="0" w:lastColumn="0" w:oddVBand="1" w:evenVBand="0" w:oddHBand="0" w:evenHBand="0" w:firstRowFirstColumn="0" w:firstRowLastColumn="0" w:lastRowFirstColumn="0" w:lastRowLastColumn="0"/>
            <w:tcW w:w="1134" w:type="dxa"/>
          </w:tcPr>
          <w:p w:rsidR="006E44BF" w:rsidRPr="00C12632" w:rsidRDefault="006E44BF" w:rsidP="00A432AC">
            <w:pPr>
              <w:rPr>
                <w:color w:val="FFFFFF"/>
              </w:rPr>
            </w:pPr>
            <w:r w:rsidRPr="00C12632">
              <w:rPr>
                <w:color w:val="FFFFFF"/>
              </w:rPr>
              <w:t xml:space="preserve">Provision </w:t>
            </w:r>
            <w:r w:rsidR="00A432AC">
              <w:rPr>
                <w:color w:val="FFFFFF"/>
              </w:rPr>
              <w:br/>
            </w:r>
            <w:r w:rsidRPr="00C12632">
              <w:rPr>
                <w:color w:val="FFFFFF"/>
              </w:rPr>
              <w:t>of outputs</w:t>
            </w:r>
          </w:p>
        </w:tc>
        <w:tc>
          <w:tcPr>
            <w:tcW w:w="1115" w:type="dxa"/>
          </w:tcPr>
          <w:p w:rsidR="006E44BF" w:rsidRPr="00C12632" w:rsidRDefault="006E44BF" w:rsidP="00044843">
            <w:pPr>
              <w:cnfStyle w:val="100000000000" w:firstRow="1" w:lastRow="0" w:firstColumn="0" w:lastColumn="0" w:oddVBand="0" w:evenVBand="0" w:oddHBand="0" w:evenHBand="0" w:firstRowFirstColumn="0" w:firstRowLastColumn="0" w:lastRowFirstColumn="0" w:lastRowLastColumn="0"/>
              <w:rPr>
                <w:i w:val="0"/>
                <w:color w:val="FFFFFF"/>
              </w:rPr>
            </w:pPr>
            <w:r w:rsidRPr="00C12632">
              <w:rPr>
                <w:color w:val="FFFFFF"/>
              </w:rPr>
              <w:t xml:space="preserve">Additions </w:t>
            </w:r>
          </w:p>
          <w:p w:rsidR="006E44BF" w:rsidRPr="00C12632" w:rsidRDefault="006E44BF" w:rsidP="00A432AC">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to net asset </w:t>
            </w:r>
            <w:r w:rsidR="00A432AC">
              <w:rPr>
                <w:color w:val="FFFFFF"/>
              </w:rPr>
              <w:t>b</w:t>
            </w:r>
            <w:r w:rsidRPr="00C12632">
              <w:rPr>
                <w:color w:val="FFFFFF"/>
              </w:rPr>
              <w:t>ase</w:t>
            </w:r>
          </w:p>
        </w:tc>
        <w:tc>
          <w:tcPr>
            <w:cnfStyle w:val="000010000000" w:firstRow="0" w:lastRow="0" w:firstColumn="0" w:lastColumn="0" w:oddVBand="1" w:evenVBand="0" w:oddHBand="0" w:evenHBand="0" w:firstRowFirstColumn="0" w:firstRowLastColumn="0" w:lastRowFirstColumn="0" w:lastRowLastColumn="0"/>
            <w:tcW w:w="1436" w:type="dxa"/>
          </w:tcPr>
          <w:p w:rsidR="006E44BF" w:rsidRPr="00C12632" w:rsidRDefault="006E44BF" w:rsidP="006E44BF">
            <w:pPr>
              <w:rPr>
                <w:color w:val="FFFFFF"/>
              </w:rPr>
            </w:pPr>
            <w:r w:rsidRPr="00C12632">
              <w:rPr>
                <w:color w:val="FFFFFF"/>
              </w:rPr>
              <w:t xml:space="preserve">Payments </w:t>
            </w:r>
            <w:r>
              <w:rPr>
                <w:color w:val="FFFFFF"/>
              </w:rPr>
              <w:br/>
            </w:r>
            <w:r w:rsidRPr="00C12632">
              <w:rPr>
                <w:color w:val="FFFFFF"/>
              </w:rPr>
              <w:t xml:space="preserve">made on behalf </w:t>
            </w:r>
            <w:r w:rsidR="00A432AC">
              <w:rPr>
                <w:color w:val="FFFFFF"/>
              </w:rPr>
              <w:br/>
            </w:r>
            <w:r w:rsidRPr="00C12632">
              <w:rPr>
                <w:color w:val="FFFFFF"/>
              </w:rPr>
              <w:t>of the State</w:t>
            </w:r>
          </w:p>
        </w:tc>
        <w:tc>
          <w:tcPr>
            <w:tcW w:w="1103" w:type="dxa"/>
          </w:tcPr>
          <w:p w:rsidR="006E44BF" w:rsidRPr="00C12632" w:rsidRDefault="006E44BF"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Total </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6 087 982</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1 618 492</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63 091</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7 769 565</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10 198 541</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10 198 541</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Environment, Land, Water and Planning</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892 171</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25 187</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613 345</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1 530 703</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11 789 172</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20 989</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11 810 161</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5 028 943</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3 566</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28 905</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5 061 414</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274 270</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1 100</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275 370</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229 677</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1 738 662</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1 968 339</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Borders>
              <w:bottom w:val="nil"/>
            </w:tcBorders>
          </w:tcPr>
          <w:p w:rsidR="00DF17E9" w:rsidRPr="00C12632" w:rsidRDefault="00DF17E9" w:rsidP="00044843">
            <w:pPr>
              <w:ind w:left="0" w:firstLine="0"/>
              <w:rPr>
                <w:color w:val="000000"/>
              </w:rPr>
            </w:pPr>
            <w:r w:rsidRPr="00C12632">
              <w:rPr>
                <w:color w:val="000000"/>
              </w:rPr>
              <w:t>Parliament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C12632" w:rsidRDefault="00DF17E9" w:rsidP="00044843">
            <w:r w:rsidRPr="00C12632">
              <w:rPr>
                <w:color w:val="000000"/>
              </w:rPr>
              <w:t>113 891</w:t>
            </w:r>
          </w:p>
        </w:tc>
        <w:tc>
          <w:tcPr>
            <w:tcW w:w="111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Borders>
              <w:bottom w:val="nil"/>
            </w:tcBorders>
          </w:tcPr>
          <w:p w:rsidR="00DF17E9" w:rsidRPr="00C12632" w:rsidRDefault="00DF17E9" w:rsidP="00044843">
            <w:pPr>
              <w:rPr>
                <w:color w:val="000000"/>
              </w:rPr>
            </w:pPr>
            <w:r w:rsidRPr="00C12632">
              <w:rPr>
                <w:color w:val="000000"/>
              </w:rPr>
              <w:t>..</w:t>
            </w:r>
          </w:p>
        </w:tc>
        <w:tc>
          <w:tcPr>
            <w:tcW w:w="1103"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113 891</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rsidR="00DF17E9" w:rsidRPr="00C12632" w:rsidRDefault="00DF17E9" w:rsidP="00044843">
            <w:pPr>
              <w:ind w:left="0" w:firstLine="0"/>
              <w:rPr>
                <w:color w:val="000000"/>
              </w:rPr>
            </w:pPr>
            <w:r w:rsidRPr="00C12632">
              <w:rPr>
                <w:color w:val="000000"/>
              </w:rPr>
              <w:t xml:space="preserve">Courts </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C12632" w:rsidRDefault="00DF17E9" w:rsidP="00044843">
            <w:r w:rsidRPr="00C12632">
              <w:rPr>
                <w:color w:val="000000"/>
              </w:rPr>
              <w:t>237 372</w:t>
            </w:r>
          </w:p>
        </w:tc>
        <w:tc>
          <w:tcPr>
            <w:tcW w:w="111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Borders>
              <w:bottom w:val="single" w:sz="6" w:space="0" w:color="auto"/>
            </w:tcBorders>
          </w:tcPr>
          <w:p w:rsidR="00DF17E9" w:rsidRPr="00C12632" w:rsidRDefault="00DF17E9" w:rsidP="00044843">
            <w:pPr>
              <w:rPr>
                <w:color w:val="000000"/>
              </w:rPr>
            </w:pPr>
            <w:r w:rsidRPr="00C12632">
              <w:rPr>
                <w:color w:val="000000"/>
              </w:rPr>
              <w:t>..</w:t>
            </w:r>
          </w:p>
        </w:tc>
        <w:tc>
          <w:tcPr>
            <w:tcW w:w="1103"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237 372</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 xml:space="preserve">Total annual appropriations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34 852 019</w:t>
            </w:r>
          </w:p>
        </w:tc>
        <w:tc>
          <w:tcPr>
            <w:tcW w:w="1115"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1 669 334</w:t>
            </w:r>
          </w:p>
        </w:tc>
        <w:tc>
          <w:tcPr>
            <w:cnfStyle w:val="000010000000" w:firstRow="0" w:lastRow="0" w:firstColumn="0" w:lastColumn="0" w:oddVBand="1" w:evenVBand="0" w:oddHBand="0" w:evenHBand="0" w:firstRowFirstColumn="0" w:firstRowLastColumn="0" w:lastRowFirstColumn="0" w:lastRowLastColumn="0"/>
            <w:tcW w:w="143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2 444 003</w:t>
            </w:r>
          </w:p>
        </w:tc>
        <w:tc>
          <w:tcPr>
            <w:tcW w:w="1103"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38 965 357</w:t>
            </w:r>
          </w:p>
        </w:tc>
      </w:tr>
    </w:tbl>
    <w:p w:rsidR="00DF17E9" w:rsidRPr="00C12632" w:rsidRDefault="00DF17E9" w:rsidP="00044843">
      <w:pPr>
        <w:rPr>
          <w:b/>
          <w:bCs/>
          <w:lang w:val="en-US"/>
        </w:rPr>
      </w:pPr>
    </w:p>
    <w:tbl>
      <w:tblPr>
        <w:tblStyle w:val="TableDTFGeneral"/>
        <w:tblW w:w="9637" w:type="dxa"/>
        <w:tblLayout w:type="fixed"/>
        <w:tblLook w:val="02A0" w:firstRow="1" w:lastRow="0" w:firstColumn="1" w:lastColumn="0" w:noHBand="1" w:noVBand="0"/>
      </w:tblPr>
      <w:tblGrid>
        <w:gridCol w:w="4849"/>
        <w:gridCol w:w="1134"/>
        <w:gridCol w:w="1115"/>
        <w:gridCol w:w="1436"/>
        <w:gridCol w:w="1103"/>
      </w:tblGrid>
      <w:tr w:rsidR="00DF17E9" w:rsidRPr="00C12632" w:rsidTr="00A432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FFFFFF"/>
              </w:rPr>
            </w:pPr>
          </w:p>
        </w:tc>
        <w:tc>
          <w:tcPr>
            <w:tcW w:w="1115"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FFFFFF"/>
              </w:rPr>
            </w:pPr>
          </w:p>
        </w:tc>
        <w:tc>
          <w:tcPr>
            <w:tcW w:w="1103"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3 243 409</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720 828</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61 143</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4 025 380</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9 857 218</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9 857 218</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Environment, Land, Water and Planning</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927 496</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18 954</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606 786</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1 553 236</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9 028 140</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41 402</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9 069 542</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pPr>
              <w:rPr>
                <w:color w:val="000000"/>
              </w:rPr>
            </w:pPr>
            <w:r w:rsidRPr="00C12632">
              <w:rPr>
                <w:color w:val="000000"/>
              </w:rPr>
              <w:t>4 785 262</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455 435</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28 871</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5 269 569</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413 794</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2 902</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r w:rsidRPr="00C12632">
              <w:rPr>
                <w:color w:val="000000"/>
              </w:rPr>
              <w:t>1 634</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418 330</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219 382</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5 000</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1 743 968</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1 968 350</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Parliament</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112 865</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112 865</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 xml:space="preserve">Courts </w:t>
            </w:r>
          </w:p>
        </w:tc>
        <w:tc>
          <w:tcPr>
            <w:cnfStyle w:val="000010000000" w:firstRow="0" w:lastRow="0" w:firstColumn="0" w:lastColumn="0" w:oddVBand="1" w:evenVBand="0" w:oddHBand="0" w:evenHBand="0" w:firstRowFirstColumn="0" w:firstRowLastColumn="0" w:lastRowFirstColumn="0" w:lastRowLastColumn="0"/>
            <w:tcW w:w="1134" w:type="dxa"/>
          </w:tcPr>
          <w:p w:rsidR="00DF17E9" w:rsidRPr="00C12632" w:rsidRDefault="00DF17E9" w:rsidP="00044843">
            <w:r w:rsidRPr="00C12632">
              <w:rPr>
                <w:color w:val="000000"/>
              </w:rPr>
              <w:t>226 627</w:t>
            </w:r>
          </w:p>
        </w:tc>
        <w:tc>
          <w:tcPr>
            <w:tcW w:w="11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36" w:type="dxa"/>
          </w:tcPr>
          <w:p w:rsidR="00DF17E9" w:rsidRPr="00C12632" w:rsidRDefault="00DF17E9" w:rsidP="00044843">
            <w:pPr>
              <w:rPr>
                <w:color w:val="000000"/>
              </w:rPr>
            </w:pPr>
            <w:r w:rsidRPr="00C12632">
              <w:rPr>
                <w:color w:val="000000"/>
              </w:rPr>
              <w:t>..</w:t>
            </w:r>
          </w:p>
        </w:tc>
        <w:tc>
          <w:tcPr>
            <w:tcW w:w="1103"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226 627</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Borders>
              <w:bottom w:val="nil"/>
            </w:tcBorders>
          </w:tcPr>
          <w:p w:rsidR="00DF17E9" w:rsidRPr="00C12632" w:rsidRDefault="00DF17E9" w:rsidP="00044843">
            <w:pPr>
              <w:ind w:left="0" w:firstLine="0"/>
              <w:rPr>
                <w:color w:val="000000"/>
              </w:rPr>
            </w:pPr>
            <w:r w:rsidRPr="00C12632">
              <w:rPr>
                <w:rFonts w:ascii="Calibri" w:eastAsiaTheme="minorEastAsia" w:hAnsi="Calibri" w:cs="Calibri"/>
                <w:color w:val="000000"/>
                <w:szCs w:val="20"/>
                <w:lang w:eastAsia="en-AU"/>
              </w:rPr>
              <w:t>Human Services</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DF17E9" w:rsidRPr="00C12632" w:rsidRDefault="00DF17E9" w:rsidP="00044843">
            <w:pPr>
              <w:rPr>
                <w:color w:val="000000"/>
              </w:rPr>
            </w:pPr>
            <w:r w:rsidRPr="00C12632">
              <w:rPr>
                <w:color w:val="000000"/>
              </w:rPr>
              <w:t>1 942 494</w:t>
            </w:r>
          </w:p>
        </w:tc>
        <w:tc>
          <w:tcPr>
            <w:tcW w:w="111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2 700</w:t>
            </w:r>
          </w:p>
        </w:tc>
        <w:tc>
          <w:tcPr>
            <w:cnfStyle w:val="000010000000" w:firstRow="0" w:lastRow="0" w:firstColumn="0" w:lastColumn="0" w:oddVBand="1" w:evenVBand="0" w:oddHBand="0" w:evenHBand="0" w:firstRowFirstColumn="0" w:firstRowLastColumn="0" w:lastRowFirstColumn="0" w:lastRowLastColumn="0"/>
            <w:tcW w:w="1436" w:type="dxa"/>
            <w:tcBorders>
              <w:bottom w:val="nil"/>
            </w:tcBorders>
          </w:tcPr>
          <w:p w:rsidR="00DF17E9" w:rsidRPr="00C12632" w:rsidRDefault="00DF17E9" w:rsidP="00044843">
            <w:pPr>
              <w:rPr>
                <w:color w:val="000000"/>
              </w:rPr>
            </w:pPr>
            <w:r w:rsidRPr="00C12632">
              <w:rPr>
                <w:color w:val="000000"/>
              </w:rPr>
              <w:t>..</w:t>
            </w:r>
          </w:p>
        </w:tc>
        <w:tc>
          <w:tcPr>
            <w:tcW w:w="1103"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1 945 194</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rsidR="00DF17E9" w:rsidRPr="00C12632" w:rsidRDefault="00DF17E9" w:rsidP="00044843">
            <w:pPr>
              <w:ind w:left="0" w:firstLine="0"/>
              <w:rPr>
                <w:color w:val="000000"/>
              </w:rPr>
            </w:pPr>
            <w:r w:rsidRPr="00C12632">
              <w:rPr>
                <w:color w:val="000000"/>
              </w:rPr>
              <w:t>Transport, Planning, Land and Infrastructure</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DF17E9" w:rsidRPr="00C12632" w:rsidRDefault="00DF17E9" w:rsidP="00044843">
            <w:pPr>
              <w:rPr>
                <w:color w:val="000000"/>
              </w:rPr>
            </w:pPr>
            <w:r w:rsidRPr="00C12632">
              <w:rPr>
                <w:color w:val="000000"/>
              </w:rPr>
              <w:t>2 745 892</w:t>
            </w:r>
          </w:p>
        </w:tc>
        <w:tc>
          <w:tcPr>
            <w:tcW w:w="111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578 249</w:t>
            </w:r>
          </w:p>
        </w:tc>
        <w:tc>
          <w:tcPr>
            <w:cnfStyle w:val="000010000000" w:firstRow="0" w:lastRow="0" w:firstColumn="0" w:lastColumn="0" w:oddVBand="1" w:evenVBand="0" w:oddHBand="0" w:evenHBand="0" w:firstRowFirstColumn="0" w:firstRowLastColumn="0" w:lastRowFirstColumn="0" w:lastRowLastColumn="0"/>
            <w:tcW w:w="1436" w:type="dxa"/>
            <w:tcBorders>
              <w:bottom w:val="single" w:sz="6" w:space="0" w:color="auto"/>
            </w:tcBorders>
          </w:tcPr>
          <w:p w:rsidR="00DF17E9" w:rsidRPr="00C12632" w:rsidRDefault="00DF17E9" w:rsidP="00044843">
            <w:pPr>
              <w:rPr>
                <w:color w:val="000000"/>
              </w:rPr>
            </w:pPr>
            <w:r w:rsidRPr="00C12632">
              <w:rPr>
                <w:color w:val="000000"/>
              </w:rPr>
              <w:t>..</w:t>
            </w:r>
          </w:p>
        </w:tc>
        <w:tc>
          <w:tcPr>
            <w:tcW w:w="1103"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3 324 141</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 xml:space="preserve">Total annual appropriations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33 502 578</w:t>
            </w:r>
          </w:p>
        </w:tc>
        <w:tc>
          <w:tcPr>
            <w:tcW w:w="1115"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1 825 471</w:t>
            </w:r>
          </w:p>
        </w:tc>
        <w:tc>
          <w:tcPr>
            <w:cnfStyle w:val="000010000000" w:firstRow="0" w:lastRow="0" w:firstColumn="0" w:lastColumn="0" w:oddVBand="1" w:evenVBand="0" w:oddHBand="0" w:evenHBand="0" w:firstRowFirstColumn="0" w:firstRowLastColumn="0" w:lastRowFirstColumn="0" w:lastRowLastColumn="0"/>
            <w:tcW w:w="143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2 442 402</w:t>
            </w:r>
          </w:p>
        </w:tc>
        <w:tc>
          <w:tcPr>
            <w:tcW w:w="1103"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37 770 451</w:t>
            </w:r>
          </w:p>
        </w:tc>
      </w:tr>
    </w:tbl>
    <w:p w:rsidR="00DF17E9" w:rsidRPr="0064203B" w:rsidRDefault="00DF17E9" w:rsidP="00044843">
      <w:pPr>
        <w:pStyle w:val="Note"/>
      </w:pPr>
      <w:r>
        <w:t>Note</w:t>
      </w:r>
      <w:r w:rsidRPr="0064203B">
        <w:t>:</w:t>
      </w:r>
    </w:p>
    <w:p w:rsidR="00DF17E9" w:rsidRPr="0064203B" w:rsidRDefault="00DF17E9" w:rsidP="00044843">
      <w:pPr>
        <w:pStyle w:val="Note"/>
      </w:pPr>
      <w:r>
        <w:t>(a)</w:t>
      </w:r>
      <w:r>
        <w:tab/>
      </w:r>
      <w:r w:rsidRPr="0064203B">
        <w:t xml:space="preserve">Effective 1 January 2015 several departments were renamed </w:t>
      </w:r>
      <w:r>
        <w:t xml:space="preserve">or abolished </w:t>
      </w:r>
      <w:r w:rsidRPr="0064203B">
        <w:t>due to machinery of government changes:</w:t>
      </w:r>
    </w:p>
    <w:p w:rsidR="00DF17E9" w:rsidRPr="0064203B" w:rsidRDefault="00DF17E9" w:rsidP="00044843">
      <w:pPr>
        <w:pStyle w:val="NoteDash"/>
        <w:ind w:left="720" w:hanging="323"/>
      </w:pPr>
      <w:r w:rsidRPr="0064203B">
        <w:t>the Department of Education and Early Childhood Development was renamed the Department of Education and Training;</w:t>
      </w:r>
    </w:p>
    <w:p w:rsidR="00DF17E9" w:rsidRPr="0064203B" w:rsidRDefault="00DF17E9" w:rsidP="00044843">
      <w:pPr>
        <w:pStyle w:val="NoteDash"/>
        <w:ind w:left="720" w:hanging="323"/>
      </w:pPr>
      <w:r w:rsidRPr="0064203B">
        <w:t>the Department of Environment and Primary Industries was renamed the Department of Environment, Land, Water and Planning;</w:t>
      </w:r>
    </w:p>
    <w:p w:rsidR="00DF17E9" w:rsidRPr="0064203B" w:rsidRDefault="00DF17E9" w:rsidP="00044843">
      <w:pPr>
        <w:pStyle w:val="NoteDash"/>
        <w:ind w:left="720" w:hanging="323"/>
      </w:pPr>
      <w:r w:rsidRPr="0064203B">
        <w:t>the Department of Health was renamed the Department of Health and Human Services;</w:t>
      </w:r>
    </w:p>
    <w:p w:rsidR="00DF17E9" w:rsidRPr="0064203B" w:rsidRDefault="00DF17E9" w:rsidP="00044843">
      <w:pPr>
        <w:pStyle w:val="NoteDash"/>
        <w:ind w:left="720" w:hanging="323"/>
      </w:pPr>
      <w:r w:rsidRPr="0064203B">
        <w:t>the Department of Justice was renamed the Department of Justice and Regulation;</w:t>
      </w:r>
    </w:p>
    <w:p w:rsidR="00DF17E9" w:rsidRPr="0064203B" w:rsidRDefault="00DF17E9" w:rsidP="00044843">
      <w:pPr>
        <w:pStyle w:val="NoteDash"/>
        <w:ind w:left="720" w:hanging="323"/>
      </w:pPr>
      <w:r w:rsidRPr="0064203B">
        <w:t>the Department of State Development, Business and Innovation was renamed the Department of Economic Development, Jobs,</w:t>
      </w:r>
      <w:r>
        <w:t xml:space="preserve"> </w:t>
      </w:r>
      <w:r w:rsidRPr="0064203B">
        <w:t>Transport and Resources;</w:t>
      </w:r>
    </w:p>
    <w:p w:rsidR="00DF17E9" w:rsidRPr="0064203B" w:rsidRDefault="00DF17E9" w:rsidP="00044843">
      <w:pPr>
        <w:pStyle w:val="NoteDash"/>
        <w:ind w:left="720" w:hanging="323"/>
      </w:pPr>
      <w:r w:rsidRPr="0064203B">
        <w:t>the Department of Human Services was abolished; and</w:t>
      </w:r>
    </w:p>
    <w:p w:rsidR="00DF17E9" w:rsidRPr="0064203B" w:rsidRDefault="00DF17E9" w:rsidP="00044843">
      <w:pPr>
        <w:pStyle w:val="NoteDash"/>
        <w:ind w:left="720" w:hanging="323"/>
      </w:pPr>
      <w:r w:rsidRPr="0064203B">
        <w:t>the Department of Transport, Planning and Local Infrastructure was abolished.</w:t>
      </w:r>
    </w:p>
    <w:p w:rsidR="00DF17E9" w:rsidRPr="0064203B" w:rsidRDefault="00DF17E9" w:rsidP="00044843">
      <w:pPr>
        <w:pStyle w:val="Note"/>
      </w:pPr>
      <w:r>
        <w:tab/>
      </w:r>
      <w:r w:rsidRPr="00BD22A5">
        <w:t>The two abolished departments had their functions and operations transferred to other Victorian government departments. Accordingly, care needs to be taken in interpret</w:t>
      </w:r>
      <w:r>
        <w:t xml:space="preserve">ing the figures in this table. </w:t>
      </w:r>
      <w:r w:rsidRPr="0064203B">
        <w:t>Functions and</w:t>
      </w:r>
      <w:r>
        <w:t xml:space="preserve"> </w:t>
      </w:r>
      <w:r w:rsidRPr="0064203B">
        <w:t>operations of the Department of Human Services were transferred to the Department of Health and Human Services and to the Department</w:t>
      </w:r>
      <w:r>
        <w:t xml:space="preserve"> </w:t>
      </w:r>
      <w:r w:rsidRPr="0064203B">
        <w:t>of Premier and Cabinet. Functions and operations of the Department of Transport, Planning and Local Infrastructure were transferred to the</w:t>
      </w:r>
      <w:r>
        <w:t xml:space="preserve"> </w:t>
      </w:r>
      <w:r w:rsidRPr="0064203B">
        <w:t>Department of Environment, Land, Water and Planning, the Department of Health and Humans Services and to the Department of Economic</w:t>
      </w:r>
      <w:r>
        <w:t xml:space="preserve"> </w:t>
      </w:r>
      <w:r w:rsidRPr="0064203B">
        <w:t>Development, Jobs, Transport and Resources. Certain functions and operations of continuing Victorian government departments were also</w:t>
      </w:r>
      <w:r>
        <w:t xml:space="preserve"> </w:t>
      </w:r>
      <w:r w:rsidRPr="0064203B">
        <w:t>transferred among departments as part of the machinery of government changes. Controlled entities which have been transferred as part</w:t>
      </w:r>
      <w:r>
        <w:t xml:space="preserve"> </w:t>
      </w:r>
      <w:r w:rsidRPr="0064203B">
        <w:t>of the machinery of government changes are listed under their new portfolio departments.</w:t>
      </w:r>
    </w:p>
    <w:p w:rsidR="00DF17E9" w:rsidRDefault="00DF17E9" w:rsidP="00044843"/>
    <w:p w:rsidR="00DF17E9" w:rsidRPr="00C12632" w:rsidRDefault="00DF17E9" w:rsidP="00044843">
      <w:pPr>
        <w:pStyle w:val="Heading3"/>
        <w:tabs>
          <w:tab w:val="right" w:pos="14742"/>
        </w:tabs>
        <w:rPr>
          <w:lang w:val="en-US"/>
        </w:rPr>
      </w:pPr>
      <w:bookmarkStart w:id="82" w:name="_Toc462418836"/>
      <w:r w:rsidRPr="007C5D19">
        <w:t xml:space="preserve">Amounts paid into working accounts pursuant to Section 23 of the </w:t>
      </w:r>
      <w:r w:rsidRPr="003351B5">
        <w:rPr>
          <w:i/>
        </w:rPr>
        <w:t>Financial Management Act 1994</w:t>
      </w:r>
      <w:r w:rsidRPr="007C5D19">
        <w:t xml:space="preserve"> for the year ended 30</w:t>
      </w:r>
      <w:r>
        <w:t> </w:t>
      </w:r>
      <w:r w:rsidRPr="007C5D19">
        <w:t>June</w:t>
      </w:r>
      <w:r w:rsidRPr="007C5D19">
        <w:tab/>
      </w:r>
      <w:r w:rsidRPr="007C5D19">
        <w:rPr>
          <w:rStyle w:val="TableUnitsChar"/>
        </w:rPr>
        <w:t>($</w:t>
      </w:r>
      <w:r>
        <w:rPr>
          <w:rStyle w:val="TableUnitsChar"/>
        </w:rPr>
        <w:t xml:space="preserve"> thousand</w:t>
      </w:r>
      <w:r w:rsidRPr="007C5D19">
        <w:rPr>
          <w:rStyle w:val="TableUnitsChar"/>
        </w:rPr>
        <w:t>)</w:t>
      </w:r>
      <w:bookmarkEnd w:id="82"/>
    </w:p>
    <w:tbl>
      <w:tblPr>
        <w:tblStyle w:val="TableDTFGeneral"/>
        <w:tblW w:w="9638" w:type="dxa"/>
        <w:tblLayout w:type="fixed"/>
        <w:tblLook w:val="02A0" w:firstRow="1" w:lastRow="0" w:firstColumn="1" w:lastColumn="0" w:noHBand="1" w:noVBand="0"/>
      </w:tblPr>
      <w:tblGrid>
        <w:gridCol w:w="7824"/>
        <w:gridCol w:w="907"/>
        <w:gridCol w:w="907"/>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FFFFFF"/>
              </w:rPr>
            </w:pPr>
            <w:r w:rsidRPr="00C12632">
              <w:rPr>
                <w:color w:val="FFFFFF"/>
              </w:rPr>
              <w:t>2016</w:t>
            </w:r>
          </w:p>
        </w:tc>
        <w:tc>
          <w:tcPr>
            <w:tcW w:w="907"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C12632" w:rsidRDefault="00DF17E9" w:rsidP="00044843">
            <w:pPr>
              <w:ind w:left="0" w:firstLine="0"/>
              <w:rPr>
                <w:color w:val="000000"/>
              </w:rPr>
            </w:pPr>
            <w:r w:rsidRPr="00C12632">
              <w:rPr>
                <w:color w:val="000000"/>
              </w:rPr>
              <w:t>Appropriation transfer equivalent to consolidated fund receipts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C12632" w:rsidRDefault="00DF17E9" w:rsidP="00044843">
            <w:r w:rsidRPr="00C12632">
              <w:rPr>
                <w:color w:val="000000"/>
              </w:rPr>
              <w:t>12 423</w:t>
            </w:r>
          </w:p>
        </w:tc>
        <w:tc>
          <w:tcPr>
            <w:tcW w:w="907"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11 456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C12632" w:rsidRDefault="00DF17E9" w:rsidP="00044843">
            <w:pPr>
              <w:ind w:left="0" w:firstLine="0"/>
              <w:rPr>
                <w:color w:val="000000"/>
              </w:rPr>
            </w:pPr>
            <w:r w:rsidRPr="00C12632">
              <w:rPr>
                <w:color w:val="000000"/>
              </w:rPr>
              <w:t>Interest received on credit balances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C12632" w:rsidRDefault="00DF17E9" w:rsidP="00044843">
            <w:r w:rsidRPr="00C12632">
              <w:rPr>
                <w:color w:val="000000"/>
              </w:rPr>
              <w:t>143</w:t>
            </w:r>
          </w:p>
        </w:tc>
        <w:tc>
          <w:tcPr>
            <w:tcW w:w="907"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160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Total amounts paid into working accounts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C12632" w:rsidRDefault="00DF17E9" w:rsidP="00044843">
            <w:r w:rsidRPr="00C12632">
              <w:rPr>
                <w:b/>
                <w:color w:val="000000"/>
              </w:rPr>
              <w:t>12 566</w:t>
            </w:r>
          </w:p>
        </w:tc>
        <w:tc>
          <w:tcPr>
            <w:tcW w:w="907"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11 615</w:t>
            </w:r>
          </w:p>
        </w:tc>
      </w:tr>
    </w:tbl>
    <w:p w:rsidR="00DF17E9" w:rsidRDefault="00DF17E9" w:rsidP="005348D0">
      <w:pPr>
        <w:rPr>
          <w:lang w:val="en-US"/>
        </w:rPr>
      </w:pPr>
    </w:p>
    <w:p w:rsidR="00DF17E9" w:rsidRDefault="00DF17E9" w:rsidP="005348D0">
      <w:pPr>
        <w:rPr>
          <w:lang w:val="en-US"/>
        </w:rPr>
      </w:pPr>
    </w:p>
    <w:p w:rsidR="00A432AC" w:rsidRDefault="00A432AC">
      <w:pPr>
        <w:rPr>
          <w:rFonts w:asciiTheme="majorHAnsi" w:eastAsiaTheme="majorEastAsia" w:hAnsiTheme="majorHAnsi" w:cstheme="majorBidi"/>
          <w:b/>
          <w:bCs/>
          <w:spacing w:val="-2"/>
          <w:szCs w:val="26"/>
        </w:rPr>
      </w:pPr>
      <w:bookmarkStart w:id="83" w:name="_Toc462418837"/>
      <w:r>
        <w:br w:type="page"/>
      </w:r>
    </w:p>
    <w:p w:rsidR="00DF17E9" w:rsidRDefault="00DF17E9" w:rsidP="00044843">
      <w:pPr>
        <w:pStyle w:val="Heading3"/>
        <w:tabs>
          <w:tab w:val="right" w:pos="14742"/>
        </w:tabs>
        <w:sectPr w:rsidR="00DF17E9" w:rsidSect="007A0115">
          <w:headerReference w:type="default" r:id="rId251"/>
          <w:footerReference w:type="default" r:id="rId252"/>
          <w:type w:val="continuous"/>
          <w:pgSz w:w="11906" w:h="16838" w:code="9"/>
          <w:pgMar w:top="1134" w:right="1134" w:bottom="1134" w:left="1134" w:header="624" w:footer="567" w:gutter="0"/>
          <w:cols w:space="708"/>
          <w:docGrid w:linePitch="360"/>
        </w:sectPr>
      </w:pPr>
      <w:r w:rsidRPr="006005C5">
        <w:lastRenderedPageBreak/>
        <w:t xml:space="preserve">Allocations pursuant to Section 28 of the </w:t>
      </w:r>
      <w:r w:rsidRPr="003351B5">
        <w:rPr>
          <w:i/>
        </w:rPr>
        <w:t>Financial Management Act 1994</w:t>
      </w:r>
      <w:r w:rsidRPr="006005C5">
        <w:t xml:space="preserve"> for the financial year ended 30</w:t>
      </w:r>
      <w:r>
        <w:t> </w:t>
      </w:r>
      <w:r w:rsidRPr="006005C5">
        <w:t>June</w:t>
      </w:r>
      <w:bookmarkEnd w:id="83"/>
    </w:p>
    <w:p w:rsidR="00DF17E9" w:rsidRDefault="00DF17E9" w:rsidP="00044843">
      <w:r w:rsidRPr="00FD58C8">
        <w:lastRenderedPageBreak/>
        <w:t>There have been no</w:t>
      </w:r>
      <w:r>
        <w:t xml:space="preserve"> amounts drawn down in 2015</w:t>
      </w:r>
      <w:r>
        <w:noBreakHyphen/>
        <w:t>16 and 2014-15 under Section 28</w:t>
      </w:r>
      <w:r w:rsidRPr="00FD58C8">
        <w:t xml:space="preserve"> of the </w:t>
      </w:r>
      <w:r w:rsidRPr="00FD58C8">
        <w:rPr>
          <w:i/>
        </w:rPr>
        <w:t>Fin</w:t>
      </w:r>
      <w:r>
        <w:rPr>
          <w:i/>
        </w:rPr>
        <w:t>ancial Management Act, No.</w:t>
      </w:r>
      <w:r w:rsidRPr="00FD58C8">
        <w:rPr>
          <w:i/>
        </w:rPr>
        <w:t xml:space="preserve"> 1994</w:t>
      </w:r>
      <w:r>
        <w:t>.</w:t>
      </w:r>
    </w:p>
    <w:p w:rsidR="00DF17E9" w:rsidRDefault="00DF17E9" w:rsidP="006005C5">
      <w:pPr>
        <w:sectPr w:rsidR="00DF17E9" w:rsidSect="00044843">
          <w:type w:val="continuous"/>
          <w:pgSz w:w="11906" w:h="16838" w:code="9"/>
          <w:pgMar w:top="1134" w:right="1134" w:bottom="1134" w:left="1134" w:header="624" w:footer="567" w:gutter="0"/>
          <w:cols w:num="2" w:space="708"/>
          <w:docGrid w:linePitch="360"/>
        </w:sectPr>
      </w:pPr>
    </w:p>
    <w:p w:rsidR="00DF17E9" w:rsidRDefault="00DF17E9">
      <w:pPr>
        <w:rPr>
          <w:rFonts w:asciiTheme="majorHAnsi" w:eastAsiaTheme="majorEastAsia" w:hAnsiTheme="majorHAnsi" w:cstheme="majorBidi"/>
          <w:b/>
          <w:bCs/>
          <w:spacing w:val="-2"/>
          <w:szCs w:val="26"/>
        </w:rPr>
      </w:pPr>
    </w:p>
    <w:p w:rsidR="00DF17E9" w:rsidRPr="00C12632" w:rsidRDefault="00DF17E9" w:rsidP="00044843">
      <w:pPr>
        <w:pStyle w:val="Heading3"/>
        <w:tabs>
          <w:tab w:val="right" w:pos="14742"/>
        </w:tabs>
        <w:rPr>
          <w:rStyle w:val="TableUnitsChar"/>
          <w:lang w:val="en-US"/>
        </w:rPr>
      </w:pPr>
      <w:bookmarkStart w:id="84" w:name="_Toc462418838"/>
      <w:r w:rsidRPr="006005C5">
        <w:t xml:space="preserve">Transfers pursuant to Sections 30 and 31 of the </w:t>
      </w:r>
      <w:r w:rsidRPr="003351B5">
        <w:rPr>
          <w:i/>
        </w:rPr>
        <w:t>Financial Management Act 1994</w:t>
      </w:r>
      <w:r w:rsidRPr="006005C5">
        <w:t xml:space="preserve"> for the financial year ended 30 June</w:t>
      </w:r>
      <w:r>
        <w:t xml:space="preserve"> 2016</w:t>
      </w:r>
      <w:r>
        <w:tab/>
      </w:r>
      <w:r w:rsidRPr="00293429">
        <w:rPr>
          <w:rStyle w:val="TableUnitsChar"/>
        </w:rPr>
        <w:t>($</w:t>
      </w:r>
      <w:r>
        <w:rPr>
          <w:rStyle w:val="TableUnitsChar"/>
        </w:rPr>
        <w:t xml:space="preserve"> thousand</w:t>
      </w:r>
      <w:r w:rsidRPr="00293429">
        <w:rPr>
          <w:rStyle w:val="TableUnitsChar"/>
        </w:rPr>
        <w:t>)</w:t>
      </w:r>
      <w:bookmarkEnd w:id="84"/>
    </w:p>
    <w:tbl>
      <w:tblPr>
        <w:tblStyle w:val="TableDTFGeneral"/>
        <w:tblW w:w="9638" w:type="dxa"/>
        <w:tblLayout w:type="fixed"/>
        <w:tblLook w:val="02A0" w:firstRow="1" w:lastRow="0" w:firstColumn="1" w:lastColumn="0" w:noHBand="1" w:noVBand="0"/>
      </w:tblPr>
      <w:tblGrid>
        <w:gridCol w:w="7824"/>
        <w:gridCol w:w="907"/>
        <w:gridCol w:w="907"/>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FFFFFF"/>
              </w:rPr>
            </w:pPr>
            <w:r w:rsidRPr="00C12632">
              <w:rPr>
                <w:color w:val="FFFFFF"/>
              </w:rPr>
              <w:t>Decrease</w:t>
            </w:r>
          </w:p>
        </w:tc>
        <w:tc>
          <w:tcPr>
            <w:tcW w:w="907"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Increase</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 xml:space="preserve">Section 30 and 31 transfers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r w:rsidRPr="00C12632">
              <w:rPr>
                <w:color w:val="000000"/>
              </w:rPr>
              <w:t xml:space="preserve"> </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(Transfers between items of departmental appropriations)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r w:rsidRPr="00C12632">
              <w:rPr>
                <w:color w:val="000000"/>
              </w:rPr>
              <w:t xml:space="preserve"> </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Department of 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r w:rsidRPr="00C12632">
              <w:rPr>
                <w:color w:val="000000"/>
              </w:rPr>
              <w:t xml:space="preserve"> </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Provision of outputs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r w:rsidRPr="00C12632">
              <w:rPr>
                <w:color w:val="000000"/>
              </w:rPr>
              <w:t>18 574</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Additions to the net asset base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18 574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Department of Education and Training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Provision of outputs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4 017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Additions to the net asset base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r w:rsidRPr="00C12632">
              <w:rPr>
                <w:color w:val="000000"/>
              </w:rPr>
              <w:t>4 017</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Department of Environment, Land, Water and Planning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 xml:space="preserve">Provision of outputs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r w:rsidRPr="00C12632">
              <w:rPr>
                <w:color w:val="000000"/>
              </w:rPr>
              <w:t>15 223</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 xml:space="preserve">Additions to the net asset base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15 223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Department of Health and Human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 xml:space="preserve">Provision of outputs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105 250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Additions to the net asset base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r w:rsidRPr="00C12632">
              <w:rPr>
                <w:color w:val="000000"/>
              </w:rPr>
              <w:t>105 250</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Department of Justice and Regulation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Provision of outputs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62 729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Additions to the net asset base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r w:rsidRPr="00C12632">
              <w:rPr>
                <w:color w:val="000000"/>
              </w:rPr>
              <w:t>62 729</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Department of Premier and Cabinet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Provision of outputs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2 428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color w:val="000000"/>
              </w:rPr>
              <w:t>Additions to the net asset base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r w:rsidRPr="00C12632">
              <w:rPr>
                <w:color w:val="000000"/>
              </w:rPr>
              <w:t>2 428</w:t>
            </w: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C12632" w:rsidRDefault="00DF17E9" w:rsidP="00044843">
            <w:pPr>
              <w:ind w:left="0" w:firstLine="0"/>
              <w:rPr>
                <w:color w:val="000000"/>
              </w:rPr>
            </w:pPr>
            <w:r w:rsidRPr="00C12632">
              <w:rPr>
                <w:b/>
                <w:color w:val="000000"/>
              </w:rPr>
              <w:t>Courts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C12632" w:rsidRDefault="00DF17E9" w:rsidP="00044843">
            <w:pPr>
              <w:rPr>
                <w:color w:val="000000"/>
              </w:rPr>
            </w:pPr>
          </w:p>
        </w:tc>
        <w:tc>
          <w:tcPr>
            <w:tcW w:w="90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C12632" w:rsidRDefault="00DF17E9" w:rsidP="00044843">
            <w:pPr>
              <w:ind w:left="0" w:firstLine="0"/>
              <w:rPr>
                <w:color w:val="000000"/>
              </w:rPr>
            </w:pPr>
            <w:r w:rsidRPr="00C12632">
              <w:rPr>
                <w:color w:val="000000"/>
              </w:rPr>
              <w:t>Provision of outputs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C12632" w:rsidRDefault="00DF17E9" w:rsidP="00044843">
            <w:r w:rsidRPr="00C12632">
              <w:rPr>
                <w:color w:val="000000"/>
              </w:rPr>
              <w:t>420</w:t>
            </w:r>
          </w:p>
        </w:tc>
        <w:tc>
          <w:tcPr>
            <w:tcW w:w="907"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C12632" w:rsidRDefault="00DF17E9" w:rsidP="00044843">
            <w:pPr>
              <w:ind w:left="0" w:firstLine="0"/>
              <w:rPr>
                <w:color w:val="000000"/>
              </w:rPr>
            </w:pPr>
            <w:r w:rsidRPr="00C12632">
              <w:rPr>
                <w:color w:val="000000"/>
              </w:rPr>
              <w:t>Additions to the net asset base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C12632" w:rsidRDefault="00DF17E9" w:rsidP="00044843">
            <w:pPr>
              <w:rPr>
                <w:color w:val="000000"/>
              </w:rPr>
            </w:pPr>
          </w:p>
        </w:tc>
        <w:tc>
          <w:tcPr>
            <w:tcW w:w="907"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Total Section 30 and 31 transfers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C12632" w:rsidRDefault="00DF17E9" w:rsidP="00044843">
            <w:r w:rsidRPr="00C12632">
              <w:rPr>
                <w:b/>
                <w:color w:val="000000"/>
              </w:rPr>
              <w:t>208 641</w:t>
            </w:r>
          </w:p>
        </w:tc>
        <w:tc>
          <w:tcPr>
            <w:tcW w:w="907"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208 641</w:t>
            </w:r>
          </w:p>
        </w:tc>
      </w:tr>
    </w:tbl>
    <w:p w:rsidR="00DF17E9" w:rsidRDefault="00DF17E9" w:rsidP="006005C5"/>
    <w:p w:rsidR="00DF17E9" w:rsidRPr="00C12632" w:rsidRDefault="00DF17E9" w:rsidP="00044843">
      <w:pPr>
        <w:pStyle w:val="Heading3"/>
        <w:tabs>
          <w:tab w:val="right" w:pos="14742"/>
        </w:tabs>
        <w:rPr>
          <w:lang w:val="en-US"/>
        </w:rPr>
      </w:pPr>
      <w:bookmarkStart w:id="85" w:name="_Toc462418839"/>
      <w:r w:rsidRPr="0025724D">
        <w:t xml:space="preserve">Appropriation of revenue and asset sale proceeds pursuant to Section 29 of the </w:t>
      </w:r>
      <w:r w:rsidRPr="003611A0">
        <w:rPr>
          <w:i/>
        </w:rPr>
        <w:t>Financial Management Act 1994</w:t>
      </w:r>
      <w:r w:rsidRPr="0025724D">
        <w:t xml:space="preserve"> for the financial year ended 30 June</w:t>
      </w:r>
      <w:r>
        <w:t xml:space="preserve"> 2016</w:t>
      </w:r>
      <w:r w:rsidRPr="004737F3">
        <w:tab/>
      </w:r>
      <w:r w:rsidRPr="00A66E48">
        <w:rPr>
          <w:rStyle w:val="TableUnitsChar"/>
        </w:rPr>
        <w:t>($ thousand)</w:t>
      </w:r>
      <w:bookmarkEnd w:id="85"/>
    </w:p>
    <w:tbl>
      <w:tblPr>
        <w:tblStyle w:val="TableDTFGeneral"/>
        <w:tblW w:w="9637" w:type="dxa"/>
        <w:tblLayout w:type="fixed"/>
        <w:tblLook w:val="02A0" w:firstRow="1" w:lastRow="0" w:firstColumn="1" w:lastColumn="0" w:noHBand="1" w:noVBand="0"/>
      </w:tblPr>
      <w:tblGrid>
        <w:gridCol w:w="5274"/>
        <w:gridCol w:w="990"/>
        <w:gridCol w:w="1417"/>
        <w:gridCol w:w="992"/>
        <w:gridCol w:w="964"/>
      </w:tblGrid>
      <w:tr w:rsidR="00A432AC" w:rsidRPr="00C12632" w:rsidTr="00A432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vMerge w:val="restart"/>
          </w:tcPr>
          <w:p w:rsidR="00A432AC" w:rsidRPr="00C12632" w:rsidRDefault="00A432AC" w:rsidP="00A432AC">
            <w:pPr>
              <w:ind w:left="0" w:firstLine="0"/>
              <w:rPr>
                <w:color w:val="FFFFFF"/>
              </w:rPr>
            </w:pPr>
            <w:r w:rsidRPr="00C12632">
              <w:rPr>
                <w:color w:val="FFFFFF"/>
              </w:rPr>
              <w:t>Department</w:t>
            </w:r>
          </w:p>
        </w:tc>
        <w:tc>
          <w:tcPr>
            <w:cnfStyle w:val="000010000000" w:firstRow="0" w:lastRow="0" w:firstColumn="0" w:lastColumn="0" w:oddVBand="1" w:evenVBand="0" w:oddHBand="0" w:evenHBand="0" w:firstRowFirstColumn="0" w:firstRowLastColumn="0" w:lastRowFirstColumn="0" w:lastRowLastColumn="0"/>
            <w:tcW w:w="990" w:type="dxa"/>
            <w:vMerge w:val="restart"/>
          </w:tcPr>
          <w:p w:rsidR="00A432AC" w:rsidRPr="00C12632" w:rsidRDefault="00A432AC" w:rsidP="00044843">
            <w:pPr>
              <w:rPr>
                <w:color w:val="FFFFFF"/>
              </w:rPr>
            </w:pPr>
            <w:r w:rsidRPr="00C12632">
              <w:rPr>
                <w:color w:val="FFFFFF"/>
              </w:rPr>
              <w:t>Outputs</w:t>
            </w:r>
          </w:p>
        </w:tc>
        <w:tc>
          <w:tcPr>
            <w:tcW w:w="2409" w:type="dxa"/>
            <w:gridSpan w:val="2"/>
          </w:tcPr>
          <w:p w:rsidR="00A432AC" w:rsidRPr="00C12632" w:rsidRDefault="00A432AC"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Source</w:t>
            </w:r>
          </w:p>
        </w:tc>
        <w:tc>
          <w:tcPr>
            <w:cnfStyle w:val="000010000000" w:firstRow="0" w:lastRow="0" w:firstColumn="0" w:lastColumn="0" w:oddVBand="1" w:evenVBand="0" w:oddHBand="0" w:evenHBand="0" w:firstRowFirstColumn="0" w:firstRowLastColumn="0" w:lastRowFirstColumn="0" w:lastRowLastColumn="0"/>
            <w:tcW w:w="964" w:type="dxa"/>
            <w:vMerge w:val="restart"/>
          </w:tcPr>
          <w:p w:rsidR="00A432AC" w:rsidRPr="00C12632" w:rsidRDefault="00A432AC" w:rsidP="00044843">
            <w:pPr>
              <w:rPr>
                <w:color w:val="FFFFFF"/>
              </w:rPr>
            </w:pPr>
            <w:r w:rsidRPr="00C12632">
              <w:rPr>
                <w:color w:val="FFFFFF"/>
              </w:rPr>
              <w:t xml:space="preserve">Total </w:t>
            </w:r>
          </w:p>
        </w:tc>
      </w:tr>
      <w:tr w:rsidR="00A432AC" w:rsidRPr="00C12632" w:rsidTr="00A432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vMerge/>
          </w:tcPr>
          <w:p w:rsidR="00A432AC" w:rsidRPr="00C12632" w:rsidRDefault="00A432AC"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990" w:type="dxa"/>
            <w:vMerge/>
          </w:tcPr>
          <w:p w:rsidR="00A432AC" w:rsidRPr="00C12632" w:rsidRDefault="00A432AC" w:rsidP="00044843">
            <w:pPr>
              <w:rPr>
                <w:color w:val="FFFFFF"/>
              </w:rPr>
            </w:pPr>
          </w:p>
        </w:tc>
        <w:tc>
          <w:tcPr>
            <w:tcW w:w="1417" w:type="dxa"/>
          </w:tcPr>
          <w:p w:rsidR="00A432AC" w:rsidRPr="00C12632" w:rsidRDefault="00A432AC"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Commonwealth</w:t>
            </w:r>
          </w:p>
        </w:tc>
        <w:tc>
          <w:tcPr>
            <w:cnfStyle w:val="000010000000" w:firstRow="0" w:lastRow="0" w:firstColumn="0" w:lastColumn="0" w:oddVBand="1" w:evenVBand="0" w:oddHBand="0" w:evenHBand="0" w:firstRowFirstColumn="0" w:firstRowLastColumn="0" w:lastRowFirstColumn="0" w:lastRowLastColumn="0"/>
            <w:tcW w:w="992" w:type="dxa"/>
          </w:tcPr>
          <w:p w:rsidR="00A432AC" w:rsidRPr="00C12632" w:rsidRDefault="00A432AC" w:rsidP="00044843">
            <w:pPr>
              <w:rPr>
                <w:color w:val="FFFFFF"/>
              </w:rPr>
            </w:pPr>
            <w:r w:rsidRPr="00C12632">
              <w:rPr>
                <w:color w:val="FFFFFF"/>
              </w:rPr>
              <w:t xml:space="preserve">Other </w:t>
            </w:r>
          </w:p>
        </w:tc>
        <w:tc>
          <w:tcPr>
            <w:tcW w:w="964" w:type="dxa"/>
            <w:vMerge/>
          </w:tcPr>
          <w:p w:rsidR="00A432AC" w:rsidRPr="00C12632" w:rsidRDefault="00A432AC" w:rsidP="00044843">
            <w:pPr>
              <w:cnfStyle w:val="100000000000" w:firstRow="1" w:lastRow="0" w:firstColumn="0" w:lastColumn="0" w:oddVBand="0" w:evenVBand="0" w:oddHBand="0" w:evenHBand="0" w:firstRowFirstColumn="0" w:firstRowLastColumn="0" w:lastRowFirstColumn="0" w:lastRowLastColumn="0"/>
              <w:rPr>
                <w:color w:val="FFFFFF"/>
              </w:rPr>
            </w:pP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47 208</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295 918</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343 127</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1 138</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489 632</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599</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491 368</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Environment, Land, Water and Planning</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62 880</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54 845</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117 725</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320 769</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637 338</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1 444</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959 551</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167 008</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63 570</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r w:rsidRPr="00C12632">
              <w:rPr>
                <w:color w:val="000000"/>
              </w:rPr>
              <w:t>1 491</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232 069</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599</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599</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ind w:left="0" w:firstLine="0"/>
              <w:rPr>
                <w:color w:val="000000"/>
              </w:rPr>
            </w:pPr>
            <w:r w:rsidRPr="00C12632">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990" w:type="dxa"/>
          </w:tcPr>
          <w:p w:rsidR="00DF17E9" w:rsidRPr="00C12632" w:rsidRDefault="00DF17E9" w:rsidP="00044843">
            <w:r w:rsidRPr="00C12632">
              <w:rPr>
                <w:color w:val="000000"/>
              </w:rPr>
              <w:t>7 793</w:t>
            </w:r>
          </w:p>
        </w:tc>
        <w:tc>
          <w:tcPr>
            <w:tcW w:w="141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C12632" w:rsidRDefault="00DF17E9" w:rsidP="00044843">
            <w:pPr>
              <w:rPr>
                <w:color w:val="000000"/>
              </w:rPr>
            </w:pPr>
            <w:r w:rsidRPr="00C12632">
              <w:rPr>
                <w:color w:val="000000"/>
              </w:rPr>
              <w:t>..</w:t>
            </w:r>
          </w:p>
        </w:tc>
        <w:tc>
          <w:tcPr>
            <w:tcW w:w="96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7 793</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ind w:left="0" w:firstLine="0"/>
              <w:rPr>
                <w:color w:val="000000"/>
              </w:rPr>
            </w:pPr>
            <w:r w:rsidRPr="00C12632">
              <w:rPr>
                <w:color w:val="000000"/>
              </w:rPr>
              <w:t>Parliament</w:t>
            </w:r>
          </w:p>
        </w:tc>
        <w:tc>
          <w:tcPr>
            <w:cnfStyle w:val="000010000000" w:firstRow="0" w:lastRow="0" w:firstColumn="0" w:lastColumn="0" w:oddVBand="1" w:evenVBand="0" w:oddHBand="0" w:evenHBand="0" w:firstRowFirstColumn="0" w:firstRowLastColumn="0" w:lastRowFirstColumn="0" w:lastRowLastColumn="0"/>
            <w:tcW w:w="990" w:type="dxa"/>
            <w:tcBorders>
              <w:bottom w:val="nil"/>
            </w:tcBorders>
          </w:tcPr>
          <w:p w:rsidR="00DF17E9" w:rsidRPr="00C12632" w:rsidRDefault="00DF17E9" w:rsidP="00044843">
            <w:r w:rsidRPr="00C12632">
              <w:rPr>
                <w:color w:val="000000"/>
              </w:rPr>
              <w:t>24 974</w:t>
            </w:r>
          </w:p>
        </w:tc>
        <w:tc>
          <w:tcPr>
            <w:tcW w:w="1417"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w:t>
            </w:r>
            <w:r w:rsidRPr="00C12632">
              <w:t>.</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C12632" w:rsidRDefault="00DF17E9" w:rsidP="00044843">
            <w:pPr>
              <w:rPr>
                <w:color w:val="000000"/>
              </w:rPr>
            </w:pPr>
            <w:r w:rsidRPr="00C12632">
              <w:rPr>
                <w:color w:val="000000"/>
              </w:rPr>
              <w:t>..</w:t>
            </w:r>
          </w:p>
        </w:tc>
        <w:tc>
          <w:tcPr>
            <w:tcW w:w="96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24 974</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ind w:left="0" w:firstLine="0"/>
              <w:rPr>
                <w:color w:val="000000"/>
              </w:rPr>
            </w:pPr>
            <w:r w:rsidRPr="00C12632">
              <w:rPr>
                <w:color w:val="000000"/>
              </w:rPr>
              <w:t>Courts</w:t>
            </w:r>
          </w:p>
        </w:tc>
        <w:tc>
          <w:tcPr>
            <w:cnfStyle w:val="000010000000" w:firstRow="0" w:lastRow="0" w:firstColumn="0" w:lastColumn="0" w:oddVBand="1" w:evenVBand="0" w:oddHBand="0" w:evenHBand="0" w:firstRowFirstColumn="0" w:firstRowLastColumn="0" w:lastRowFirstColumn="0" w:lastRowLastColumn="0"/>
            <w:tcW w:w="990" w:type="dxa"/>
            <w:tcBorders>
              <w:bottom w:val="single" w:sz="6" w:space="0" w:color="auto"/>
            </w:tcBorders>
          </w:tcPr>
          <w:p w:rsidR="00DF17E9" w:rsidRPr="00C12632" w:rsidRDefault="00DF17E9" w:rsidP="00044843">
            <w:r w:rsidRPr="00C12632">
              <w:rPr>
                <w:color w:val="000000"/>
              </w:rPr>
              <w:t>66 437</w:t>
            </w:r>
          </w:p>
        </w:tc>
        <w:tc>
          <w:tcPr>
            <w:tcW w:w="1417"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C12632" w:rsidRDefault="00DF17E9" w:rsidP="00044843">
            <w:pPr>
              <w:rPr>
                <w:color w:val="000000"/>
              </w:rPr>
            </w:pPr>
            <w:r w:rsidRPr="00C12632">
              <w:rPr>
                <w:color w:val="000000"/>
              </w:rPr>
              <w:t>..</w:t>
            </w:r>
          </w:p>
        </w:tc>
        <w:tc>
          <w:tcPr>
            <w:tcW w:w="96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66 437</w:t>
            </w:r>
          </w:p>
        </w:tc>
      </w:tr>
      <w:tr w:rsidR="00DF17E9" w:rsidRPr="00C12632" w:rsidTr="00A432AC">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rsidR="00DF17E9" w:rsidRPr="00C12632" w:rsidRDefault="00DF17E9" w:rsidP="00044843">
            <w:pPr>
              <w:ind w:left="0" w:firstLine="0"/>
              <w:rPr>
                <w:b/>
                <w:color w:val="000000"/>
              </w:rPr>
            </w:pPr>
            <w:r w:rsidRPr="00C12632">
              <w:rPr>
                <w:b/>
                <w:color w:val="000000"/>
              </w:rPr>
              <w:t>Total appropriation</w:t>
            </w:r>
          </w:p>
        </w:tc>
        <w:tc>
          <w:tcPr>
            <w:cnfStyle w:val="000010000000" w:firstRow="0" w:lastRow="0" w:firstColumn="0" w:lastColumn="0" w:oddVBand="1" w:evenVBand="0" w:oddHBand="0" w:evenHBand="0" w:firstRowFirstColumn="0" w:firstRowLastColumn="0" w:lastRowFirstColumn="0" w:lastRowLastColumn="0"/>
            <w:tcW w:w="990" w:type="dxa"/>
            <w:tcBorders>
              <w:top w:val="single" w:sz="6" w:space="0" w:color="auto"/>
              <w:bottom w:val="single" w:sz="12" w:space="0" w:color="auto"/>
            </w:tcBorders>
          </w:tcPr>
          <w:p w:rsidR="00DF17E9" w:rsidRPr="00C12632" w:rsidRDefault="00DF17E9" w:rsidP="00044843">
            <w:r w:rsidRPr="00C12632">
              <w:rPr>
                <w:b/>
                <w:color w:val="000000"/>
              </w:rPr>
              <w:t>698 806</w:t>
            </w:r>
          </w:p>
        </w:tc>
        <w:tc>
          <w:tcPr>
            <w:tcW w:w="1417"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 xml:space="preserve">1 541 </w:t>
            </w:r>
            <w:r w:rsidRPr="00C12632">
              <w:rPr>
                <w:b/>
              </w:rPr>
              <w:t>302</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C12632" w:rsidRDefault="00DF17E9" w:rsidP="00044843">
            <w:r w:rsidRPr="00C12632">
              <w:rPr>
                <w:b/>
                <w:color w:val="000000"/>
              </w:rPr>
              <w:t>3 534</w:t>
            </w:r>
          </w:p>
        </w:tc>
        <w:tc>
          <w:tcPr>
            <w:tcW w:w="96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2 243 642</w:t>
            </w:r>
          </w:p>
        </w:tc>
      </w:tr>
    </w:tbl>
    <w:p w:rsidR="00DF17E9" w:rsidRPr="00BF2109" w:rsidRDefault="00DF17E9" w:rsidP="006005C5"/>
    <w:p w:rsidR="00DF17E9" w:rsidRDefault="00DF17E9">
      <w:pPr>
        <w:rPr>
          <w:rFonts w:asciiTheme="majorHAnsi" w:eastAsiaTheme="majorEastAsia" w:hAnsiTheme="majorHAnsi" w:cstheme="majorBidi"/>
          <w:b/>
          <w:bCs/>
          <w:spacing w:val="-2"/>
          <w:szCs w:val="26"/>
        </w:rPr>
      </w:pPr>
      <w:r>
        <w:br w:type="page"/>
      </w:r>
    </w:p>
    <w:p w:rsidR="00DF17E9" w:rsidRPr="00157821" w:rsidRDefault="00DF17E9" w:rsidP="00044843">
      <w:pPr>
        <w:pStyle w:val="Heading3"/>
        <w:tabs>
          <w:tab w:val="right" w:pos="14742"/>
        </w:tabs>
        <w:rPr>
          <w:lang w:val="en-US"/>
        </w:rPr>
      </w:pPr>
      <w:bookmarkStart w:id="86" w:name="_Toc462418840"/>
      <w:r w:rsidRPr="006005C5">
        <w:lastRenderedPageBreak/>
        <w:t xml:space="preserve">Section 32 carryovers </w:t>
      </w:r>
      <w:r>
        <w:t>–</w:t>
      </w:r>
      <w:r w:rsidRPr="006005C5">
        <w:t xml:space="preserve"> </w:t>
      </w:r>
      <w:r w:rsidRPr="009F455E">
        <w:rPr>
          <w:i/>
        </w:rPr>
        <w:t>Financial Management Act 1994</w:t>
      </w:r>
      <w:r w:rsidRPr="006005C5">
        <w:t xml:space="preserve"> for the financial year ended 30 June</w:t>
      </w:r>
      <w:bookmarkEnd w:id="86"/>
    </w:p>
    <w:p w:rsidR="00DF17E9" w:rsidRPr="00C12632" w:rsidRDefault="00DF17E9" w:rsidP="00044843">
      <w:pPr>
        <w:pStyle w:val="Subheading"/>
        <w:rPr>
          <w:bCs/>
          <w:lang w:val="en-US"/>
        </w:rPr>
      </w:pPr>
      <w:r w:rsidRPr="00157821">
        <w:t xml:space="preserve">Amounts approved for carryover to 2015-16 pursuant to </w:t>
      </w:r>
      <w:r w:rsidRPr="00DF5C4E">
        <w:t>Section 32 of the</w:t>
      </w:r>
      <w:r w:rsidRPr="00E17881">
        <w:rPr>
          <w:i/>
        </w:rPr>
        <w:t xml:space="preserve"> Financial Management Act 1994</w:t>
      </w:r>
      <w:r>
        <w:tab/>
      </w:r>
      <w:r w:rsidRPr="00293429">
        <w:rPr>
          <w:rStyle w:val="TableUnitsChar"/>
        </w:rPr>
        <w:t>($</w:t>
      </w:r>
      <w:r>
        <w:rPr>
          <w:rStyle w:val="TableUnitsChar"/>
        </w:rPr>
        <w:t xml:space="preserve"> thousand</w:t>
      </w:r>
      <w:r w:rsidRPr="00293429">
        <w:rPr>
          <w:rStyle w:val="TableUnitsChar"/>
        </w:rPr>
        <w:t>)</w:t>
      </w:r>
    </w:p>
    <w:tbl>
      <w:tblPr>
        <w:tblStyle w:val="TableDTFGeneral"/>
        <w:tblW w:w="9630" w:type="dxa"/>
        <w:tblLayout w:type="fixed"/>
        <w:tblLook w:val="02A0" w:firstRow="1" w:lastRow="0" w:firstColumn="1" w:lastColumn="0" w:noHBand="1" w:noVBand="0"/>
      </w:tblPr>
      <w:tblGrid>
        <w:gridCol w:w="4849"/>
        <w:gridCol w:w="1195"/>
        <w:gridCol w:w="1215"/>
        <w:gridCol w:w="1417"/>
        <w:gridCol w:w="954"/>
      </w:tblGrid>
      <w:tr w:rsidR="00DF17E9" w:rsidRPr="00C12632" w:rsidTr="00A442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A432AC" w:rsidP="00044843">
            <w:pPr>
              <w:ind w:left="0" w:firstLine="0"/>
              <w:rPr>
                <w:color w:val="FFFFFF"/>
              </w:rPr>
            </w:pPr>
            <w:r>
              <w:rPr>
                <w:color w:val="FFFFFF"/>
              </w:rPr>
              <w:t>Department</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pPr>
              <w:rPr>
                <w:color w:val="FFFFFF"/>
              </w:rPr>
            </w:pPr>
            <w:r w:rsidRPr="00C12632">
              <w:rPr>
                <w:color w:val="FFFFFF"/>
              </w:rPr>
              <w:t>Provision of outputs</w:t>
            </w:r>
          </w:p>
        </w:tc>
        <w:tc>
          <w:tcPr>
            <w:tcW w:w="1215"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Additions to net assets</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A44201">
            <w:pPr>
              <w:rPr>
                <w:color w:val="FFFFFF"/>
              </w:rPr>
            </w:pPr>
            <w:r w:rsidRPr="00C12632">
              <w:rPr>
                <w:color w:val="FFFFFF"/>
              </w:rPr>
              <w:t>Payments made on behalf of State</w:t>
            </w:r>
          </w:p>
        </w:tc>
        <w:tc>
          <w:tcPr>
            <w:tcW w:w="95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Total carryover</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134 122</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84 200</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2 736</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221 058</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325 064</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325 064</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Environment, Land, Water and Planning</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78 990</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27 189</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8 712</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114 890</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158 918</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3 000</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161 918</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99 468</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119 608</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219 076</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22 502</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22 502</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1195" w:type="dxa"/>
          </w:tcPr>
          <w:p w:rsidR="00DF17E9" w:rsidRPr="00C12632" w:rsidRDefault="00DF17E9" w:rsidP="00044843">
            <w:r w:rsidRPr="00C12632">
              <w:rPr>
                <w:color w:val="000000"/>
              </w:rPr>
              <w:t>2 202</w:t>
            </w:r>
          </w:p>
        </w:tc>
        <w:tc>
          <w:tcPr>
            <w:tcW w:w="121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398</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9 255</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11 855</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Borders>
              <w:bottom w:val="nil"/>
            </w:tcBorders>
          </w:tcPr>
          <w:p w:rsidR="00DF17E9" w:rsidRPr="00C12632" w:rsidRDefault="00DF17E9" w:rsidP="00044843">
            <w:pPr>
              <w:ind w:left="0" w:firstLine="0"/>
              <w:rPr>
                <w:color w:val="000000"/>
              </w:rPr>
            </w:pPr>
            <w:r w:rsidRPr="00C12632">
              <w:rPr>
                <w:color w:val="000000"/>
              </w:rPr>
              <w:t>Parliament</w:t>
            </w:r>
          </w:p>
        </w:tc>
        <w:tc>
          <w:tcPr>
            <w:cnfStyle w:val="000010000000" w:firstRow="0" w:lastRow="0" w:firstColumn="0" w:lastColumn="0" w:oddVBand="1" w:evenVBand="0" w:oddHBand="0" w:evenHBand="0" w:firstRowFirstColumn="0" w:firstRowLastColumn="0" w:lastRowFirstColumn="0" w:lastRowLastColumn="0"/>
            <w:tcW w:w="1195" w:type="dxa"/>
            <w:tcBorders>
              <w:bottom w:val="nil"/>
            </w:tcBorders>
          </w:tcPr>
          <w:p w:rsidR="00DF17E9" w:rsidRPr="00C12632" w:rsidRDefault="00DF17E9" w:rsidP="00044843">
            <w:r w:rsidRPr="00C12632">
              <w:rPr>
                <w:color w:val="000000"/>
              </w:rPr>
              <w:t>2 872</w:t>
            </w:r>
          </w:p>
        </w:tc>
        <w:tc>
          <w:tcPr>
            <w:tcW w:w="121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C12632" w:rsidRDefault="00DF17E9" w:rsidP="00044843">
            <w:pPr>
              <w:rPr>
                <w:color w:val="000000"/>
              </w:rPr>
            </w:pPr>
            <w:r w:rsidRPr="00C12632">
              <w:rPr>
                <w:color w:val="000000"/>
              </w:rPr>
              <w:t>..</w:t>
            </w:r>
          </w:p>
        </w:tc>
        <w:tc>
          <w:tcPr>
            <w:tcW w:w="95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2 872</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rsidR="00DF17E9" w:rsidRPr="00C12632" w:rsidRDefault="00DF17E9" w:rsidP="00044843">
            <w:pPr>
              <w:ind w:left="0" w:firstLine="0"/>
              <w:rPr>
                <w:color w:val="000000"/>
              </w:rPr>
            </w:pPr>
            <w:r w:rsidRPr="00C12632">
              <w:rPr>
                <w:color w:val="000000"/>
              </w:rPr>
              <w:t>Courts</w:t>
            </w:r>
          </w:p>
        </w:tc>
        <w:tc>
          <w:tcPr>
            <w:cnfStyle w:val="000010000000" w:firstRow="0" w:lastRow="0" w:firstColumn="0" w:lastColumn="0" w:oddVBand="1" w:evenVBand="0" w:oddHBand="0" w:evenHBand="0" w:firstRowFirstColumn="0" w:firstRowLastColumn="0" w:lastRowFirstColumn="0" w:lastRowLastColumn="0"/>
            <w:tcW w:w="1195" w:type="dxa"/>
            <w:tcBorders>
              <w:bottom w:val="single" w:sz="6" w:space="0" w:color="auto"/>
            </w:tcBorders>
          </w:tcPr>
          <w:p w:rsidR="00DF17E9" w:rsidRPr="00C12632" w:rsidRDefault="00DF17E9" w:rsidP="00044843">
            <w:r w:rsidRPr="00C12632">
              <w:rPr>
                <w:color w:val="000000"/>
              </w:rPr>
              <w:t>4 803</w:t>
            </w:r>
          </w:p>
        </w:tc>
        <w:tc>
          <w:tcPr>
            <w:tcW w:w="121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5 235</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C12632" w:rsidRDefault="00DF17E9" w:rsidP="00044843">
            <w:pPr>
              <w:rPr>
                <w:color w:val="000000"/>
              </w:rPr>
            </w:pPr>
            <w:r w:rsidRPr="00C12632">
              <w:rPr>
                <w:color w:val="000000"/>
              </w:rPr>
              <w:t>..</w:t>
            </w:r>
          </w:p>
        </w:tc>
        <w:tc>
          <w:tcPr>
            <w:tcW w:w="95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10 038</w:t>
            </w:r>
          </w:p>
        </w:tc>
      </w:tr>
      <w:tr w:rsidR="00DF17E9" w:rsidRPr="00C12632" w:rsidTr="00A44201">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Total carryovers by department</w:t>
            </w:r>
          </w:p>
        </w:tc>
        <w:tc>
          <w:tcPr>
            <w:cnfStyle w:val="000010000000" w:firstRow="0" w:lastRow="0" w:firstColumn="0" w:lastColumn="0" w:oddVBand="1" w:evenVBand="0" w:oddHBand="0" w:evenHBand="0" w:firstRowFirstColumn="0" w:firstRowLastColumn="0" w:lastRowFirstColumn="0" w:lastRowLastColumn="0"/>
            <w:tcW w:w="1195" w:type="dxa"/>
            <w:tcBorders>
              <w:top w:val="single" w:sz="6" w:space="0" w:color="auto"/>
              <w:bottom w:val="single" w:sz="12" w:space="0" w:color="auto"/>
            </w:tcBorders>
          </w:tcPr>
          <w:p w:rsidR="00DF17E9" w:rsidRPr="00C12632" w:rsidRDefault="00DF17E9" w:rsidP="00044843">
            <w:r w:rsidRPr="00C12632">
              <w:rPr>
                <w:b/>
                <w:color w:val="000000"/>
              </w:rPr>
              <w:t>828 941</w:t>
            </w:r>
          </w:p>
        </w:tc>
        <w:tc>
          <w:tcPr>
            <w:tcW w:w="1215"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239 629</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C12632" w:rsidRDefault="00DF17E9" w:rsidP="00044843">
            <w:r w:rsidRPr="00C12632">
              <w:rPr>
                <w:b/>
                <w:color w:val="000000"/>
              </w:rPr>
              <w:t>20 703</w:t>
            </w:r>
          </w:p>
        </w:tc>
        <w:tc>
          <w:tcPr>
            <w:tcW w:w="95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1 089 273</w:t>
            </w:r>
          </w:p>
        </w:tc>
      </w:tr>
    </w:tbl>
    <w:p w:rsidR="00DF17E9" w:rsidRDefault="00DF17E9" w:rsidP="00044843"/>
    <w:p w:rsidR="00DF17E9" w:rsidRPr="00C12632" w:rsidRDefault="00DF17E9" w:rsidP="00044843">
      <w:pPr>
        <w:pStyle w:val="Subheading"/>
        <w:rPr>
          <w:bCs/>
          <w:color w:val="000000"/>
          <w:spacing w:val="4"/>
          <w:sz w:val="17"/>
          <w:lang w:val="en-US"/>
        </w:rPr>
      </w:pPr>
      <w:r w:rsidRPr="00157821">
        <w:t xml:space="preserve">Amounts applied against carryover of appropriations in 2015-16 pursuant to </w:t>
      </w:r>
      <w:r w:rsidRPr="00DF5C4E">
        <w:t>Section 32 of the</w:t>
      </w:r>
      <w:r w:rsidRPr="00E17881">
        <w:rPr>
          <w:i/>
        </w:rPr>
        <w:t xml:space="preserve"> Financial Management Act 1994</w:t>
      </w:r>
      <w:r>
        <w:tab/>
      </w:r>
      <w:r w:rsidRPr="007C5D19">
        <w:rPr>
          <w:rStyle w:val="TableUnitsChar"/>
        </w:rPr>
        <w:t>($</w:t>
      </w:r>
      <w:r>
        <w:rPr>
          <w:rStyle w:val="TableUnitsChar"/>
        </w:rPr>
        <w:t xml:space="preserve"> thousand</w:t>
      </w:r>
      <w:r w:rsidRPr="007C5D19">
        <w:rPr>
          <w:rStyle w:val="TableUnitsChar"/>
        </w:rPr>
        <w:t>)</w:t>
      </w:r>
    </w:p>
    <w:tbl>
      <w:tblPr>
        <w:tblStyle w:val="TableDTFGeneral"/>
        <w:tblW w:w="9630" w:type="dxa"/>
        <w:tblLayout w:type="fixed"/>
        <w:tblLook w:val="02A0" w:firstRow="1" w:lastRow="0" w:firstColumn="1" w:lastColumn="0" w:noHBand="1" w:noVBand="0"/>
      </w:tblPr>
      <w:tblGrid>
        <w:gridCol w:w="4849"/>
        <w:gridCol w:w="1199"/>
        <w:gridCol w:w="1211"/>
        <w:gridCol w:w="1417"/>
        <w:gridCol w:w="954"/>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FFFFFF"/>
              </w:rPr>
            </w:pPr>
            <w:r w:rsidRPr="00C12632">
              <w:rPr>
                <w:color w:val="FFFFFF"/>
              </w:rPr>
              <w:t xml:space="preserve">Department </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pPr>
              <w:rPr>
                <w:color w:val="FFFFFF"/>
              </w:rPr>
            </w:pPr>
            <w:r w:rsidRPr="00C12632">
              <w:rPr>
                <w:color w:val="FFFFFF"/>
              </w:rPr>
              <w:t>Provision of outputs</w:t>
            </w:r>
          </w:p>
        </w:tc>
        <w:tc>
          <w:tcPr>
            <w:tcW w:w="1211"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Additions to net assets</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FFFFFF"/>
              </w:rPr>
            </w:pPr>
            <w:r w:rsidRPr="00C12632">
              <w:rPr>
                <w:color w:val="FFFFFF"/>
              </w:rPr>
              <w:t>Payments made on behalf of State</w:t>
            </w:r>
          </w:p>
        </w:tc>
        <w:tc>
          <w:tcPr>
            <w:tcW w:w="95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Total carryover</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130 572</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42 467</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2 736</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175 775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307 956</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307 956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Environment, Land, Water and Planning</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78 990</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25 806</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104 795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158 918</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65</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158 983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99 468</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119 607</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219 075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22 502</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000000"/>
              </w:rPr>
            </w:pPr>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22 502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1199" w:type="dxa"/>
          </w:tcPr>
          <w:p w:rsidR="00DF17E9" w:rsidRPr="00C12632" w:rsidRDefault="00DF17E9" w:rsidP="00044843">
            <w:r w:rsidRPr="00C12632">
              <w:rPr>
                <w:color w:val="000000"/>
              </w:rPr>
              <w:t>2 202</w:t>
            </w:r>
          </w:p>
        </w:tc>
        <w:tc>
          <w:tcPr>
            <w:tcW w:w="1211"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9 255</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11 457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Borders>
              <w:bottom w:val="nil"/>
            </w:tcBorders>
          </w:tcPr>
          <w:p w:rsidR="00DF17E9" w:rsidRPr="00C12632" w:rsidRDefault="00DF17E9" w:rsidP="00044843">
            <w:pPr>
              <w:ind w:left="0" w:firstLine="0"/>
              <w:rPr>
                <w:color w:val="000000"/>
              </w:rPr>
            </w:pPr>
            <w:r w:rsidRPr="00C12632">
              <w:rPr>
                <w:color w:val="000000"/>
              </w:rPr>
              <w:t>Parliament</w:t>
            </w:r>
          </w:p>
        </w:tc>
        <w:tc>
          <w:tcPr>
            <w:cnfStyle w:val="000010000000" w:firstRow="0" w:lastRow="0" w:firstColumn="0" w:lastColumn="0" w:oddVBand="1" w:evenVBand="0" w:oddHBand="0" w:evenHBand="0" w:firstRowFirstColumn="0" w:firstRowLastColumn="0" w:lastRowFirstColumn="0" w:lastRowLastColumn="0"/>
            <w:tcW w:w="1199" w:type="dxa"/>
            <w:tcBorders>
              <w:bottom w:val="nil"/>
            </w:tcBorders>
          </w:tcPr>
          <w:p w:rsidR="00DF17E9" w:rsidRPr="00C12632" w:rsidRDefault="00DF17E9" w:rsidP="00044843">
            <w:r w:rsidRPr="00C12632">
              <w:rPr>
                <w:color w:val="000000"/>
              </w:rPr>
              <w:t>2 870</w:t>
            </w:r>
          </w:p>
        </w:tc>
        <w:tc>
          <w:tcPr>
            <w:tcW w:w="1211"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C12632" w:rsidRDefault="00DF17E9" w:rsidP="00044843">
            <w:pPr>
              <w:rPr>
                <w:color w:val="000000"/>
              </w:rPr>
            </w:pPr>
            <w:r w:rsidRPr="00C12632">
              <w:rPr>
                <w:color w:val="000000"/>
              </w:rPr>
              <w:t>..</w:t>
            </w:r>
          </w:p>
        </w:tc>
        <w:tc>
          <w:tcPr>
            <w:tcW w:w="95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2 870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rsidR="00DF17E9" w:rsidRPr="00C12632" w:rsidRDefault="00DF17E9" w:rsidP="00044843">
            <w:pPr>
              <w:ind w:left="0" w:firstLine="0"/>
              <w:rPr>
                <w:color w:val="000000"/>
              </w:rPr>
            </w:pPr>
            <w:r w:rsidRPr="00C12632">
              <w:rPr>
                <w:color w:val="000000"/>
              </w:rPr>
              <w:t>Courts</w:t>
            </w:r>
          </w:p>
        </w:tc>
        <w:tc>
          <w:tcPr>
            <w:cnfStyle w:val="000010000000" w:firstRow="0" w:lastRow="0" w:firstColumn="0" w:lastColumn="0" w:oddVBand="1" w:evenVBand="0" w:oddHBand="0" w:evenHBand="0" w:firstRowFirstColumn="0" w:firstRowLastColumn="0" w:lastRowFirstColumn="0" w:lastRowLastColumn="0"/>
            <w:tcW w:w="1199" w:type="dxa"/>
            <w:tcBorders>
              <w:bottom w:val="single" w:sz="6" w:space="0" w:color="auto"/>
            </w:tcBorders>
          </w:tcPr>
          <w:p w:rsidR="00DF17E9" w:rsidRPr="00C12632" w:rsidRDefault="00DF17E9" w:rsidP="00044843">
            <w:r w:rsidRPr="00C12632">
              <w:rPr>
                <w:color w:val="000000"/>
              </w:rPr>
              <w:t>4 803</w:t>
            </w:r>
          </w:p>
        </w:tc>
        <w:tc>
          <w:tcPr>
            <w:tcW w:w="1211"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4 981</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C12632" w:rsidRDefault="00DF17E9" w:rsidP="00044843">
            <w:pPr>
              <w:rPr>
                <w:color w:val="000000"/>
              </w:rPr>
            </w:pPr>
            <w:r w:rsidRPr="00C12632">
              <w:rPr>
                <w:color w:val="000000"/>
              </w:rPr>
              <w:t>..</w:t>
            </w:r>
          </w:p>
        </w:tc>
        <w:tc>
          <w:tcPr>
            <w:tcW w:w="95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9 784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Total carryovers by department</w:t>
            </w:r>
          </w:p>
        </w:tc>
        <w:tc>
          <w:tcPr>
            <w:cnfStyle w:val="000010000000" w:firstRow="0" w:lastRow="0" w:firstColumn="0" w:lastColumn="0" w:oddVBand="1" w:evenVBand="0" w:oddHBand="0" w:evenHBand="0" w:firstRowFirstColumn="0" w:firstRowLastColumn="0" w:lastRowFirstColumn="0" w:lastRowLastColumn="0"/>
            <w:tcW w:w="1199" w:type="dxa"/>
            <w:tcBorders>
              <w:top w:val="single" w:sz="6" w:space="0" w:color="auto"/>
              <w:bottom w:val="single" w:sz="12" w:space="0" w:color="auto"/>
            </w:tcBorders>
          </w:tcPr>
          <w:p w:rsidR="00DF17E9" w:rsidRPr="00C12632" w:rsidRDefault="00DF17E9" w:rsidP="00044843">
            <w:r w:rsidRPr="00C12632">
              <w:rPr>
                <w:b/>
                <w:color w:val="000000"/>
              </w:rPr>
              <w:t>808 281</w:t>
            </w:r>
          </w:p>
        </w:tc>
        <w:tc>
          <w:tcPr>
            <w:tcW w:w="1211"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192 926</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C12632" w:rsidRDefault="00DF17E9" w:rsidP="00044843">
            <w:r w:rsidRPr="00C12632">
              <w:rPr>
                <w:b/>
                <w:color w:val="000000"/>
              </w:rPr>
              <w:t>11 991</w:t>
            </w:r>
          </w:p>
        </w:tc>
        <w:tc>
          <w:tcPr>
            <w:tcW w:w="95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1 013 198</w:t>
            </w:r>
          </w:p>
        </w:tc>
      </w:tr>
    </w:tbl>
    <w:p w:rsidR="00DF17E9" w:rsidRPr="006F54DC" w:rsidRDefault="00DF17E9" w:rsidP="00044843"/>
    <w:p w:rsidR="00DF17E9" w:rsidRPr="00C12632" w:rsidRDefault="00DF17E9" w:rsidP="00044843">
      <w:pPr>
        <w:pStyle w:val="Subheading"/>
        <w:rPr>
          <w:bCs/>
          <w:lang w:val="en-US"/>
        </w:rPr>
      </w:pPr>
      <w:r w:rsidRPr="00157821">
        <w:rPr>
          <w:rFonts w:eastAsiaTheme="majorEastAsia" w:cstheme="majorBidi"/>
          <w:bCs/>
          <w:szCs w:val="26"/>
        </w:rPr>
        <w:t xml:space="preserve">Amounts approved for carryover to 2016-17 pursuant to </w:t>
      </w:r>
      <w:r w:rsidRPr="00DF5C4E">
        <w:rPr>
          <w:rFonts w:eastAsiaTheme="majorEastAsia" w:cstheme="majorBidi"/>
          <w:bCs/>
          <w:szCs w:val="26"/>
        </w:rPr>
        <w:t xml:space="preserve">Section 32 of the </w:t>
      </w:r>
      <w:r w:rsidRPr="00E17881">
        <w:rPr>
          <w:rFonts w:eastAsiaTheme="majorEastAsia" w:cstheme="majorBidi"/>
          <w:bCs/>
          <w:i/>
          <w:szCs w:val="26"/>
        </w:rPr>
        <w:t>Financial Management Act 1994</w:t>
      </w:r>
      <w:r>
        <w:rPr>
          <w:rFonts w:eastAsiaTheme="majorEastAsia" w:cstheme="majorBidi"/>
          <w:bCs/>
          <w:i/>
          <w:szCs w:val="26"/>
        </w:rPr>
        <w:br/>
      </w:r>
      <w:r>
        <w:rPr>
          <w:rFonts w:eastAsiaTheme="majorEastAsia" w:cstheme="majorBidi"/>
          <w:bCs/>
          <w:i/>
          <w:szCs w:val="26"/>
        </w:rPr>
        <w:tab/>
      </w:r>
      <w:r w:rsidRPr="007C5D19">
        <w:rPr>
          <w:rStyle w:val="TableUnitsChar"/>
        </w:rPr>
        <w:t>($</w:t>
      </w:r>
      <w:r>
        <w:rPr>
          <w:rStyle w:val="TableUnitsChar"/>
        </w:rPr>
        <w:t xml:space="preserve"> thousand</w:t>
      </w:r>
      <w:r w:rsidRPr="007C5D19">
        <w:rPr>
          <w:rStyle w:val="TableUnitsChar"/>
        </w:rPr>
        <w:t>)</w:t>
      </w:r>
    </w:p>
    <w:tbl>
      <w:tblPr>
        <w:tblStyle w:val="TableDTFGeneral"/>
        <w:tblW w:w="9630" w:type="dxa"/>
        <w:tblLayout w:type="fixed"/>
        <w:tblLook w:val="02A0" w:firstRow="1" w:lastRow="0" w:firstColumn="1" w:lastColumn="0" w:noHBand="1" w:noVBand="0"/>
      </w:tblPr>
      <w:tblGrid>
        <w:gridCol w:w="4849"/>
        <w:gridCol w:w="1185"/>
        <w:gridCol w:w="1225"/>
        <w:gridCol w:w="1417"/>
        <w:gridCol w:w="954"/>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FFFFFF"/>
              </w:rPr>
            </w:pPr>
            <w:r w:rsidRPr="00C12632">
              <w:rPr>
                <w:color w:val="FFFFFF"/>
              </w:rPr>
              <w:t xml:space="preserve">Department </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pPr>
              <w:rPr>
                <w:color w:val="FFFFFF"/>
              </w:rPr>
            </w:pPr>
            <w:r w:rsidRPr="00C12632">
              <w:rPr>
                <w:color w:val="FFFFFF"/>
              </w:rPr>
              <w:t>Provision of outputs</w:t>
            </w:r>
          </w:p>
        </w:tc>
        <w:tc>
          <w:tcPr>
            <w:tcW w:w="1225"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Additions to net assets</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pPr>
              <w:rPr>
                <w:color w:val="FFFFFF"/>
              </w:rPr>
            </w:pPr>
            <w:r w:rsidRPr="00C12632">
              <w:rPr>
                <w:color w:val="FFFFFF"/>
              </w:rPr>
              <w:t>Payments made on behalf of State</w:t>
            </w:r>
          </w:p>
        </w:tc>
        <w:tc>
          <w:tcPr>
            <w:tcW w:w="95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Total carryover</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Economic Development, Jobs, Transport and Resources</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110 757</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94 595</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947</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206 299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246 047</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17 995</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264 042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Environment, Land, Water and Planning</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98 325</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22 500</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13 599</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134 424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Health and Human Services</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198 496</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198 496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Justice and Regulation</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144 707</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205 607</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350 314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Premier and Cabinet</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31 322</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407</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31 729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Pr>
          <w:p w:rsidR="00DF17E9" w:rsidRPr="00C12632" w:rsidRDefault="00DF17E9" w:rsidP="00044843">
            <w:pPr>
              <w:ind w:left="0" w:firstLine="0"/>
              <w:rPr>
                <w:color w:val="000000"/>
              </w:rPr>
            </w:pPr>
            <w:r w:rsidRPr="00C12632">
              <w:rPr>
                <w:color w:val="000000"/>
              </w:rPr>
              <w:t>Treasury and Finance</w:t>
            </w:r>
          </w:p>
        </w:tc>
        <w:tc>
          <w:tcPr>
            <w:cnfStyle w:val="000010000000" w:firstRow="0" w:lastRow="0" w:firstColumn="0" w:lastColumn="0" w:oddVBand="1" w:evenVBand="0" w:oddHBand="0" w:evenHBand="0" w:firstRowFirstColumn="0" w:firstRowLastColumn="0" w:lastRowFirstColumn="0" w:lastRowLastColumn="0"/>
            <w:tcW w:w="1185" w:type="dxa"/>
          </w:tcPr>
          <w:p w:rsidR="00DF17E9" w:rsidRPr="00C12632" w:rsidRDefault="00DF17E9" w:rsidP="00044843">
            <w:r w:rsidRPr="00C12632">
              <w:rPr>
                <w:color w:val="000000"/>
              </w:rPr>
              <w:t>3 914</w:t>
            </w:r>
          </w:p>
        </w:tc>
        <w:tc>
          <w:tcPr>
            <w:tcW w:w="1225"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Pr>
          <w:p w:rsidR="00DF17E9" w:rsidRPr="00C12632" w:rsidRDefault="00DF17E9" w:rsidP="00044843">
            <w:r w:rsidRPr="00C12632">
              <w:rPr>
                <w:color w:val="000000"/>
              </w:rPr>
              <w:t>..</w:t>
            </w:r>
          </w:p>
        </w:tc>
        <w:tc>
          <w:tcPr>
            <w:tcW w:w="95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3 914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Borders>
              <w:bottom w:val="nil"/>
            </w:tcBorders>
          </w:tcPr>
          <w:p w:rsidR="00DF17E9" w:rsidRPr="00C12632" w:rsidRDefault="00DF17E9" w:rsidP="00044843">
            <w:pPr>
              <w:ind w:left="0" w:firstLine="0"/>
              <w:rPr>
                <w:color w:val="000000"/>
              </w:rPr>
            </w:pPr>
            <w:r w:rsidRPr="00C12632">
              <w:rPr>
                <w:color w:val="000000"/>
              </w:rPr>
              <w:t>Parliament</w:t>
            </w:r>
          </w:p>
        </w:tc>
        <w:tc>
          <w:tcPr>
            <w:cnfStyle w:val="000010000000" w:firstRow="0" w:lastRow="0" w:firstColumn="0" w:lastColumn="0" w:oddVBand="1" w:evenVBand="0" w:oddHBand="0" w:evenHBand="0" w:firstRowFirstColumn="0" w:firstRowLastColumn="0" w:lastRowFirstColumn="0" w:lastRowLastColumn="0"/>
            <w:tcW w:w="1185" w:type="dxa"/>
            <w:tcBorders>
              <w:bottom w:val="nil"/>
            </w:tcBorders>
          </w:tcPr>
          <w:p w:rsidR="00DF17E9" w:rsidRPr="00C12632" w:rsidRDefault="00DF17E9" w:rsidP="00044843">
            <w:r w:rsidRPr="00C12632">
              <w:rPr>
                <w:color w:val="000000"/>
              </w:rPr>
              <w:t>3 527</w:t>
            </w:r>
          </w:p>
        </w:tc>
        <w:tc>
          <w:tcPr>
            <w:tcW w:w="1225"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417" w:type="dxa"/>
            <w:tcBorders>
              <w:bottom w:val="nil"/>
            </w:tcBorders>
          </w:tcPr>
          <w:p w:rsidR="00DF17E9" w:rsidRPr="00C12632" w:rsidRDefault="00DF17E9" w:rsidP="00044843">
            <w:r w:rsidRPr="00C12632">
              <w:rPr>
                <w:color w:val="000000"/>
              </w:rPr>
              <w:t>..</w:t>
            </w:r>
          </w:p>
        </w:tc>
        <w:tc>
          <w:tcPr>
            <w:tcW w:w="95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3 527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rsidR="00DF17E9" w:rsidRPr="00C12632" w:rsidRDefault="00DF17E9" w:rsidP="00044843">
            <w:pPr>
              <w:ind w:left="0" w:firstLine="0"/>
              <w:rPr>
                <w:color w:val="000000"/>
              </w:rPr>
            </w:pPr>
            <w:r w:rsidRPr="00C12632">
              <w:rPr>
                <w:color w:val="000000"/>
              </w:rPr>
              <w:t>Courts</w:t>
            </w:r>
          </w:p>
        </w:tc>
        <w:tc>
          <w:tcPr>
            <w:cnfStyle w:val="000010000000" w:firstRow="0" w:lastRow="0" w:firstColumn="0" w:lastColumn="0" w:oddVBand="1" w:evenVBand="0" w:oddHBand="0" w:evenHBand="0" w:firstRowFirstColumn="0" w:firstRowLastColumn="0" w:lastRowFirstColumn="0" w:lastRowLastColumn="0"/>
            <w:tcW w:w="1185" w:type="dxa"/>
            <w:tcBorders>
              <w:bottom w:val="single" w:sz="6" w:space="0" w:color="auto"/>
            </w:tcBorders>
          </w:tcPr>
          <w:p w:rsidR="00DF17E9" w:rsidRPr="00C12632" w:rsidRDefault="00DF17E9" w:rsidP="00044843">
            <w:r w:rsidRPr="00C12632">
              <w:rPr>
                <w:color w:val="000000"/>
              </w:rPr>
              <w:t>9 840</w:t>
            </w:r>
          </w:p>
        </w:tc>
        <w:tc>
          <w:tcPr>
            <w:tcW w:w="1225"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18 196</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6" w:space="0" w:color="auto"/>
            </w:tcBorders>
          </w:tcPr>
          <w:p w:rsidR="00DF17E9" w:rsidRPr="00C12632" w:rsidRDefault="00DF17E9" w:rsidP="00044843">
            <w:r w:rsidRPr="00C12632">
              <w:rPr>
                <w:color w:val="000000"/>
              </w:rPr>
              <w:t>..</w:t>
            </w:r>
          </w:p>
        </w:tc>
        <w:tc>
          <w:tcPr>
            <w:tcW w:w="95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28 036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rsidR="00DF17E9" w:rsidRPr="00C12632" w:rsidRDefault="00DF17E9" w:rsidP="00044843">
            <w:pPr>
              <w:ind w:left="0" w:firstLine="0"/>
              <w:rPr>
                <w:color w:val="000000"/>
              </w:rPr>
            </w:pPr>
            <w:r w:rsidRPr="00C12632">
              <w:rPr>
                <w:b/>
                <w:color w:val="000000"/>
              </w:rPr>
              <w:t>Total carryovers by department</w:t>
            </w:r>
          </w:p>
        </w:tc>
        <w:tc>
          <w:tcPr>
            <w:cnfStyle w:val="000010000000" w:firstRow="0" w:lastRow="0" w:firstColumn="0" w:lastColumn="0" w:oddVBand="1" w:evenVBand="0" w:oddHBand="0" w:evenHBand="0" w:firstRowFirstColumn="0" w:firstRowLastColumn="0" w:lastRowFirstColumn="0" w:lastRowLastColumn="0"/>
            <w:tcW w:w="1185" w:type="dxa"/>
            <w:tcBorders>
              <w:top w:val="single" w:sz="6" w:space="0" w:color="auto"/>
              <w:bottom w:val="single" w:sz="12" w:space="0" w:color="auto"/>
            </w:tcBorders>
          </w:tcPr>
          <w:p w:rsidR="00DF17E9" w:rsidRPr="00C12632" w:rsidRDefault="00DF17E9" w:rsidP="00044843">
            <w:r w:rsidRPr="00C12632">
              <w:rPr>
                <w:b/>
                <w:color w:val="000000"/>
              </w:rPr>
              <w:t>846 935</w:t>
            </w:r>
          </w:p>
        </w:tc>
        <w:tc>
          <w:tcPr>
            <w:tcW w:w="1225"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359 300</w:t>
            </w:r>
          </w:p>
        </w:tc>
        <w:tc>
          <w:tcPr>
            <w:cnfStyle w:val="000010000000" w:firstRow="0" w:lastRow="0" w:firstColumn="0" w:lastColumn="0" w:oddVBand="1" w:evenVBand="0" w:oddHBand="0" w:evenHBand="0" w:firstRowFirstColumn="0" w:firstRowLastColumn="0" w:lastRowFirstColumn="0" w:lastRowLastColumn="0"/>
            <w:tcW w:w="1417" w:type="dxa"/>
            <w:tcBorders>
              <w:top w:val="single" w:sz="6" w:space="0" w:color="auto"/>
              <w:bottom w:val="single" w:sz="12" w:space="0" w:color="auto"/>
            </w:tcBorders>
          </w:tcPr>
          <w:p w:rsidR="00DF17E9" w:rsidRPr="00C12632" w:rsidRDefault="00DF17E9" w:rsidP="00044843">
            <w:r w:rsidRPr="00C12632">
              <w:rPr>
                <w:b/>
                <w:color w:val="000000"/>
              </w:rPr>
              <w:t>14 546</w:t>
            </w:r>
          </w:p>
        </w:tc>
        <w:tc>
          <w:tcPr>
            <w:tcW w:w="95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rPr>
            </w:pPr>
            <w:r w:rsidRPr="00C12632">
              <w:rPr>
                <w:b/>
                <w:color w:val="000000"/>
              </w:rPr>
              <w:t xml:space="preserve">1 220 </w:t>
            </w:r>
            <w:r w:rsidRPr="00C12632">
              <w:rPr>
                <w:b/>
              </w:rPr>
              <w:t>781</w:t>
            </w:r>
          </w:p>
        </w:tc>
      </w:tr>
    </w:tbl>
    <w:p w:rsidR="00DF17E9" w:rsidRDefault="00DF17E9" w:rsidP="006005C5"/>
    <w:p w:rsidR="00DF17E9" w:rsidRPr="00BF2109" w:rsidRDefault="00DF17E9" w:rsidP="006005C5"/>
    <w:p w:rsidR="00DF17E9" w:rsidRDefault="00DF17E9">
      <w:pPr>
        <w:rPr>
          <w:rFonts w:asciiTheme="majorHAnsi" w:hAnsiTheme="majorHAnsi"/>
          <w:b/>
          <w:spacing w:val="-2"/>
        </w:rPr>
      </w:pPr>
      <w:r>
        <w:br w:type="page"/>
      </w:r>
    </w:p>
    <w:p w:rsidR="00DF17E9" w:rsidRPr="00C12632" w:rsidRDefault="00DF17E9" w:rsidP="00044843">
      <w:pPr>
        <w:pStyle w:val="Heading3"/>
        <w:tabs>
          <w:tab w:val="right" w:pos="14742"/>
        </w:tabs>
        <w:rPr>
          <w:rFonts w:eastAsiaTheme="minorEastAsia"/>
          <w:lang w:val="en-US" w:eastAsia="en-AU"/>
        </w:rPr>
      </w:pPr>
      <w:bookmarkStart w:id="87" w:name="_Toc462418841"/>
      <w:r w:rsidRPr="00051708">
        <w:lastRenderedPageBreak/>
        <w:t xml:space="preserve">Payments from advance to </w:t>
      </w:r>
      <w:r>
        <w:t xml:space="preserve">the </w:t>
      </w:r>
      <w:r w:rsidRPr="00051708">
        <w:t>Treasurer for the financial year ended 30 June</w:t>
      </w:r>
      <w:r>
        <w:tab/>
      </w:r>
      <w:r w:rsidRPr="007C5D19">
        <w:rPr>
          <w:rStyle w:val="TableUnitsChar"/>
        </w:rPr>
        <w:t>($</w:t>
      </w:r>
      <w:r>
        <w:rPr>
          <w:rStyle w:val="TableUnitsChar"/>
        </w:rPr>
        <w:t xml:space="preserve"> thousand</w:t>
      </w:r>
      <w:r w:rsidRPr="007C5D19">
        <w:rPr>
          <w:rStyle w:val="TableUnitsChar"/>
        </w:rPr>
        <w:t>)</w:t>
      </w:r>
      <w:bookmarkEnd w:id="87"/>
    </w:p>
    <w:tbl>
      <w:tblPr>
        <w:tblStyle w:val="TableDTFGeneral"/>
        <w:tblW w:w="9637" w:type="dxa"/>
        <w:tblLayout w:type="fixed"/>
        <w:tblLook w:val="06A0" w:firstRow="1" w:lastRow="0" w:firstColumn="1" w:lastColumn="0" w:noHBand="1" w:noVBand="1"/>
      </w:tblPr>
      <w:tblGrid>
        <w:gridCol w:w="2154"/>
        <w:gridCol w:w="6576"/>
        <w:gridCol w:w="907"/>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4" w:type="dxa"/>
          </w:tcPr>
          <w:p w:rsidR="00DF17E9" w:rsidRPr="00C12632" w:rsidRDefault="00DF17E9" w:rsidP="00044843">
            <w:pPr>
              <w:ind w:left="0" w:firstLine="0"/>
              <w:rPr>
                <w:color w:val="FFFFFF"/>
              </w:rPr>
            </w:pPr>
            <w:r w:rsidRPr="00C12632">
              <w:rPr>
                <w:color w:val="FFFFFF"/>
              </w:rPr>
              <w:t>Department</w:t>
            </w:r>
          </w:p>
        </w:tc>
        <w:tc>
          <w:tcPr>
            <w:tcW w:w="6576" w:type="dxa"/>
          </w:tcPr>
          <w:p w:rsidR="00DF17E9" w:rsidRPr="00C12632"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Purpose</w:t>
            </w:r>
          </w:p>
        </w:tc>
        <w:tc>
          <w:tcPr>
            <w:tcW w:w="907"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2015-16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Pr>
          <w:p w:rsidR="00A432AC" w:rsidRPr="00C12632" w:rsidRDefault="00A432AC" w:rsidP="00A432AC">
            <w:pPr>
              <w:ind w:left="113" w:hanging="113"/>
              <w:rPr>
                <w:color w:val="000000"/>
              </w:rPr>
            </w:pPr>
            <w:r w:rsidRPr="00C12632">
              <w:rPr>
                <w:color w:val="000000"/>
              </w:rPr>
              <w:t>Economic Development,</w:t>
            </w:r>
            <w:r>
              <w:rPr>
                <w:color w:val="000000"/>
              </w:rPr>
              <w:t xml:space="preserve"> </w:t>
            </w:r>
            <w:r w:rsidRPr="00C12632">
              <w:rPr>
                <w:color w:val="000000"/>
              </w:rPr>
              <w:t>Jobs, Transport and</w:t>
            </w:r>
            <w:r>
              <w:rPr>
                <w:color w:val="000000"/>
              </w:rPr>
              <w:t xml:space="preserve"> </w:t>
            </w:r>
            <w:r w:rsidRPr="00C12632">
              <w:rPr>
                <w:color w:val="000000"/>
              </w:rPr>
              <w:t>Resources</w:t>
            </w: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Level crossing removals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258 200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Investment in the regional train network</w:t>
            </w:r>
            <w:r>
              <w:rPr>
                <w:color w:val="000000"/>
              </w:rPr>
              <w:t xml:space="preserve"> and operation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60 168</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733FFF" w:rsidP="00044843">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Delivering the Government’</w:t>
            </w:r>
            <w:r w:rsidR="00A432AC" w:rsidRPr="00C12632">
              <w:rPr>
                <w:color w:val="000000"/>
              </w:rPr>
              <w:t>s commitments to recreational fishers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15 297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Gippsland Lakes Ocean Access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4 093</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Investment in roads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3 907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Victorian Industry Participation Policy (VIPP)</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2 577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National Biosecurity Cost Sharing commitment</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2 380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Drought response funding</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2 030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Melbourne Convention and Exhibition Centre Expansion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1 988</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Station upgrades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1 857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A432AC">
            <w:pPr>
              <w:ind w:left="113" w:hanging="113"/>
              <w:jc w:val="left"/>
              <w:cnfStyle w:val="000000000000" w:firstRow="0" w:lastRow="0" w:firstColumn="0" w:lastColumn="0" w:oddVBand="0" w:evenVBand="0" w:oddHBand="0" w:evenHBand="0" w:firstRowFirstColumn="0" w:firstRowLastColumn="0" w:lastRowFirstColumn="0" w:lastRowLastColumn="0"/>
            </w:pPr>
            <w:r w:rsidRPr="00C12632">
              <w:rPr>
                <w:color w:val="000000"/>
              </w:rPr>
              <w:t>Creative Victoria – Australian Centre for the Moving Image and National Gallery of Victoria</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1 378</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Bushfire response funding</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1 144</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Investment in the metropolitan train network</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Bus network improvements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944</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 xml:space="preserve">National Heavy Vehicle Regulator – </w:t>
            </w:r>
            <w:r w:rsidRPr="00C12632">
              <w:t>System analysis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554</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 xml:space="preserve">Geelong Performing Arts </w:t>
            </w:r>
            <w:r w:rsidRPr="00C12632">
              <w:t>Centre Redevelopment Project</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351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Digital Government – Staff transfer from Department of Premier and Cabinet (DPC)</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245</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Western Intermodal Freight Terminal</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166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358 279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044843">
            <w:pPr>
              <w:ind w:left="0" w:firstLine="0"/>
              <w:rPr>
                <w:color w:val="000000"/>
              </w:rPr>
            </w:pPr>
            <w:r w:rsidRPr="00C12632">
              <w:rPr>
                <w:color w:val="000000"/>
              </w:rPr>
              <w:t>Education and Training</w:t>
            </w:r>
          </w:p>
          <w:p w:rsidR="00A432AC" w:rsidRPr="00C12632" w:rsidRDefault="00A432AC" w:rsidP="00044843">
            <w:pPr>
              <w:ind w:left="0"/>
              <w:rPr>
                <w:color w:val="000000"/>
              </w:rPr>
            </w:pPr>
            <w:r w:rsidRPr="00C12632">
              <w:rPr>
                <w:color w:val="000000"/>
              </w:rPr>
              <w:t xml:space="preserve"> </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Education State in Schools initiatives</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97 018</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School enrolment based funding</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56 602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Kindergarten enrolment based funding</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10 869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Improved educator to child ratio in kindergartens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9 636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Kindergarten Fee Subsidy and Early Start Kindergarten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2 037</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National Occasional Care</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1 410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177 572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A432AC">
            <w:pPr>
              <w:ind w:left="113" w:hanging="113"/>
              <w:rPr>
                <w:color w:val="000000"/>
              </w:rPr>
            </w:pPr>
            <w:r w:rsidRPr="00C12632">
              <w:rPr>
                <w:color w:val="000000"/>
              </w:rPr>
              <w:t>Environment, Land, Water and Planning</w:t>
            </w:r>
          </w:p>
          <w:p w:rsidR="00A432AC" w:rsidRPr="00C12632" w:rsidRDefault="00A432AC" w:rsidP="00044843">
            <w:pPr>
              <w:ind w:left="0"/>
              <w:rPr>
                <w:color w:val="000000"/>
              </w:rPr>
            </w:pPr>
            <w:r w:rsidRPr="00C12632">
              <w:rPr>
                <w:color w:val="000000"/>
              </w:rPr>
              <w:t xml:space="preserve"> </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Additional resources for 2015-16 bushfire season</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66 293</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Additional aviation resources for firefighting</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10 411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Small Alpine Resorts – Mt Baw Baw and Lake Mountain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5 500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Land Victoria - Land compensation and litigation costs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5 100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Junction Oval Redevelopment</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Environment Protection Authority Victoria - Litigation costs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Drought Support Fund</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672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Supporting Colac and the Otways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Regional Planners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339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Blue-Green Algae outbreak</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270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A432AC">
            <w:pPr>
              <w:ind w:left="113" w:hanging="113"/>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Transfer of staff from Department of Economic Development, Jobs, Transport and Resources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227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Smoke detection infrastructure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211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Planning for Melbourne and Regional Victoria</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200</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Integrated Predictive Model</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105</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92 728</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044843">
            <w:pPr>
              <w:ind w:left="0" w:firstLine="0"/>
              <w:rPr>
                <w:color w:val="000000"/>
              </w:rPr>
            </w:pPr>
            <w:r w:rsidRPr="00C12632">
              <w:rPr>
                <w:color w:val="000000"/>
              </w:rPr>
              <w:t>Health and Human Services</w:t>
            </w:r>
          </w:p>
          <w:p w:rsidR="00A432AC" w:rsidRPr="00C12632" w:rsidRDefault="00A432AC" w:rsidP="00044843">
            <w:pPr>
              <w:ind w:left="0"/>
              <w:rPr>
                <w:color w:val="000000"/>
              </w:rPr>
            </w:pPr>
            <w:r w:rsidRPr="00C12632">
              <w:rPr>
                <w:color w:val="000000"/>
              </w:rPr>
              <w:t xml:space="preserve"> </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Improving access to elective surgery and meeting hospital services demand</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50 000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Improving emergency ambulance response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4 729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Very Special Kids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2 750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Release of funding for family violence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4 383</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Vision Australia Mobility and Training Centre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Hazelwood Mine Fire Inquiry – Healthy and Strong Latrobe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260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Redesign and renovation of Out of Home Care properties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171</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Foodbank</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62 873</w:t>
            </w:r>
          </w:p>
        </w:tc>
      </w:tr>
    </w:tbl>
    <w:p w:rsidR="00A432AC" w:rsidRDefault="00A432AC"/>
    <w:p w:rsidR="00A432AC" w:rsidRPr="00C12632" w:rsidRDefault="00A432AC" w:rsidP="00A432AC">
      <w:pPr>
        <w:pStyle w:val="Subheading"/>
        <w:tabs>
          <w:tab w:val="left" w:pos="709"/>
        </w:tabs>
        <w:rPr>
          <w:rFonts w:eastAsiaTheme="minorEastAsia"/>
          <w:lang w:val="en-US" w:eastAsia="en-AU"/>
        </w:rPr>
      </w:pPr>
      <w:r>
        <w:lastRenderedPageBreak/>
        <w:t>8.2.14</w:t>
      </w:r>
      <w:r>
        <w:tab/>
      </w:r>
      <w:r w:rsidRPr="00051708">
        <w:t xml:space="preserve">Payments from advance to </w:t>
      </w:r>
      <w:r>
        <w:t xml:space="preserve">the </w:t>
      </w:r>
      <w:r w:rsidRPr="00051708">
        <w:t>Treasurer for the financial year ended 30 June</w:t>
      </w:r>
      <w:r>
        <w:t xml:space="preserve"> </w:t>
      </w:r>
      <w:r w:rsidRPr="00A432AC">
        <w:rPr>
          <w:i/>
        </w:rPr>
        <w:t>(continued)</w:t>
      </w:r>
      <w:r>
        <w:br/>
      </w:r>
      <w:r>
        <w:tab/>
      </w:r>
      <w:r>
        <w:tab/>
      </w:r>
      <w:r w:rsidRPr="007C5D19">
        <w:rPr>
          <w:rStyle w:val="TableUnitsChar"/>
        </w:rPr>
        <w:t>($</w:t>
      </w:r>
      <w:r>
        <w:rPr>
          <w:rStyle w:val="TableUnitsChar"/>
        </w:rPr>
        <w:t xml:space="preserve"> thousand</w:t>
      </w:r>
      <w:r w:rsidRPr="007C5D19">
        <w:rPr>
          <w:rStyle w:val="TableUnitsChar"/>
        </w:rPr>
        <w:t>)</w:t>
      </w:r>
    </w:p>
    <w:tbl>
      <w:tblPr>
        <w:tblStyle w:val="TableDTFGeneral"/>
        <w:tblW w:w="9637" w:type="dxa"/>
        <w:tblLayout w:type="fixed"/>
        <w:tblLook w:val="06A0" w:firstRow="1" w:lastRow="0" w:firstColumn="1" w:lastColumn="0" w:noHBand="1" w:noVBand="1"/>
      </w:tblPr>
      <w:tblGrid>
        <w:gridCol w:w="2154"/>
        <w:gridCol w:w="6576"/>
        <w:gridCol w:w="907"/>
      </w:tblGrid>
      <w:tr w:rsidR="00A432AC" w:rsidRPr="00C12632" w:rsidTr="00A432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4" w:type="dxa"/>
          </w:tcPr>
          <w:p w:rsidR="00A432AC" w:rsidRPr="00C12632" w:rsidRDefault="00A432AC" w:rsidP="00A432AC">
            <w:pPr>
              <w:ind w:left="0" w:firstLine="0"/>
              <w:rPr>
                <w:color w:val="FFFFFF"/>
              </w:rPr>
            </w:pPr>
            <w:r w:rsidRPr="00C12632">
              <w:rPr>
                <w:color w:val="FFFFFF"/>
              </w:rPr>
              <w:t>Department</w:t>
            </w:r>
          </w:p>
        </w:tc>
        <w:tc>
          <w:tcPr>
            <w:tcW w:w="6576" w:type="dxa"/>
          </w:tcPr>
          <w:p w:rsidR="00A432AC" w:rsidRPr="00C12632" w:rsidRDefault="00A432AC" w:rsidP="00A432AC">
            <w:pPr>
              <w:jc w:val="left"/>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Purpose</w:t>
            </w:r>
          </w:p>
        </w:tc>
        <w:tc>
          <w:tcPr>
            <w:tcW w:w="907" w:type="dxa"/>
          </w:tcPr>
          <w:p w:rsidR="00A432AC" w:rsidRPr="00C12632" w:rsidRDefault="00A432AC" w:rsidP="00A432AC">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2015-16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A432AC">
            <w:pPr>
              <w:ind w:left="0" w:firstLine="0"/>
              <w:rPr>
                <w:color w:val="000000"/>
              </w:rPr>
            </w:pPr>
            <w:r w:rsidRPr="00C12632">
              <w:rPr>
                <w:color w:val="000000"/>
              </w:rPr>
              <w:t>Justice and Regulation</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Victoria Police additional resources</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62 769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Emergency Services Telecommunications Authority Sustainability</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Night Network – Transport security</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23 095</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Bushfire Season 2015-16</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15 567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Strengthening Victoria Police’s Counter-Terrorism Capacity and Capability</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9 634</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Country Fire Authority Recruitment Course – Additional funding</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Country Fire Authority capital projects (station modifications, vehicles and equipment)</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3 612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Summer Fire Information Campaign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Family Violence Fund</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1 129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Hazelwood Mine Fire Inquiry</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1 122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Emergency Medical Response Project</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969</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Intralot litigation legal costs</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714</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151 611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A432AC">
            <w:pPr>
              <w:ind w:left="0" w:firstLine="0"/>
              <w:rPr>
                <w:color w:val="000000"/>
              </w:rPr>
            </w:pPr>
            <w:r w:rsidRPr="00C12632">
              <w:rPr>
                <w:color w:val="000000"/>
              </w:rPr>
              <w:t>Premier and Cabinet</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Family violence – Reaching all Victorians where they live, work and play</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5 092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Victorian Ombudsman accommodation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5 000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Social cohesion and community resilience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2 800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Transfer of various government functions to DPC</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2 362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Back to work scheme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920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Getting ready for the National Disability Insurance Scheme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240</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Implementation of re-opened Hazelwood Inquiry reports</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140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16 553</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044843">
            <w:pPr>
              <w:ind w:left="0" w:firstLine="0"/>
              <w:rPr>
                <w:color w:val="000000"/>
              </w:rPr>
            </w:pPr>
            <w:r w:rsidRPr="00C12632">
              <w:rPr>
                <w:color w:val="000000"/>
              </w:rPr>
              <w:t>Treasury and Finance</w:t>
            </w:r>
          </w:p>
          <w:p w:rsidR="00A432AC" w:rsidRPr="00C12632" w:rsidRDefault="00A432AC" w:rsidP="00044843">
            <w:pPr>
              <w:ind w:left="0"/>
              <w:rPr>
                <w:color w:val="000000"/>
              </w:rPr>
            </w:pPr>
            <w:r w:rsidRPr="00C12632">
              <w:rPr>
                <w:color w:val="000000"/>
              </w:rPr>
              <w:t xml:space="preserve"> </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Western Distributor project development</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11 553</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Back to Work Scheme</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10 812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Completion of the Port of Melbourne lease transaction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2 406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New activity for the Essential Services Commission</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1 332</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State Revenue Office Land Tax Compliance Program</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429</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26 532</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044843">
            <w:pPr>
              <w:ind w:left="0" w:firstLine="0"/>
              <w:rPr>
                <w:color w:val="000000"/>
              </w:rPr>
            </w:pPr>
            <w:r w:rsidRPr="00C12632">
              <w:rPr>
                <w:color w:val="000000"/>
              </w:rPr>
              <w:t>Parliament</w:t>
            </w:r>
          </w:p>
          <w:p w:rsidR="00A432AC" w:rsidRPr="00C12632" w:rsidRDefault="00A432AC" w:rsidP="00044843">
            <w:pPr>
              <w:ind w:left="0"/>
              <w:rPr>
                <w:color w:val="000000"/>
              </w:rPr>
            </w:pPr>
            <w:r w:rsidRPr="00C12632">
              <w:rPr>
                <w:color w:val="000000"/>
              </w:rPr>
              <w:t xml:space="preserve"> </w:t>
            </w:r>
          </w:p>
        </w:tc>
        <w:tc>
          <w:tcPr>
            <w:tcW w:w="6576" w:type="dxa"/>
            <w:tcBorders>
              <w:top w:val="single" w:sz="6" w:space="0" w:color="auto"/>
            </w:tcBorders>
          </w:tcPr>
          <w:p w:rsidR="00A432AC" w:rsidRPr="00C12632" w:rsidRDefault="00733FFF" w:rsidP="00044843">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Supplementation of Parliament’</w:t>
            </w:r>
            <w:r w:rsidR="00A432AC" w:rsidRPr="00C12632">
              <w:rPr>
                <w:color w:val="000000"/>
              </w:rPr>
              <w:t>s annual appropriation</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1 926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733FFF" w:rsidP="00044843">
            <w:pPr>
              <w:jc w:val="left"/>
              <w:cnfStyle w:val="000000000000" w:firstRow="0" w:lastRow="0" w:firstColumn="0" w:lastColumn="0" w:oddVBand="0" w:evenVBand="0" w:oddHBand="0" w:evenHBand="0" w:firstRowFirstColumn="0" w:firstRowLastColumn="0" w:lastRowFirstColumn="0" w:lastRowLastColumn="0"/>
            </w:pPr>
            <w:r>
              <w:rPr>
                <w:color w:val="000000"/>
              </w:rPr>
              <w:t>Auditor General’</w:t>
            </w:r>
            <w:r w:rsidR="00A432AC" w:rsidRPr="00C12632">
              <w:rPr>
                <w:color w:val="000000"/>
              </w:rPr>
              <w:t>s Investigations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500</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Parliamentary Advisors</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451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2 877</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6" w:space="0" w:color="auto"/>
            </w:tcBorders>
          </w:tcPr>
          <w:p w:rsidR="00A432AC" w:rsidRPr="00C12632" w:rsidRDefault="00A432AC" w:rsidP="00A432AC">
            <w:pPr>
              <w:ind w:left="0" w:firstLine="0"/>
              <w:rPr>
                <w:color w:val="000000"/>
              </w:rPr>
            </w:pPr>
            <w:r w:rsidRPr="00C12632">
              <w:rPr>
                <w:color w:val="000000"/>
              </w:rPr>
              <w:t>Courts</w:t>
            </w:r>
          </w:p>
        </w:tc>
        <w:tc>
          <w:tcPr>
            <w:tcW w:w="6576" w:type="dxa"/>
            <w:tcBorders>
              <w:top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Heidelberg Court Remediation</w:t>
            </w:r>
          </w:p>
        </w:tc>
        <w:tc>
          <w:tcPr>
            <w:tcW w:w="907" w:type="dxa"/>
            <w:tcBorders>
              <w:top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1 600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Ending violence against women and children (Safe waiting areas)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1 500</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0"/>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County Court Land Tax</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691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0" w:firstLine="0"/>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3 791</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8730" w:type="dxa"/>
            <w:gridSpan w:val="2"/>
            <w:tcBorders>
              <w:top w:val="single" w:sz="6" w:space="0" w:color="auto"/>
              <w:bottom w:val="single" w:sz="12" w:space="0" w:color="auto"/>
            </w:tcBorders>
          </w:tcPr>
          <w:p w:rsidR="00A432AC" w:rsidRPr="00C12632" w:rsidRDefault="00A432AC" w:rsidP="00A432AC">
            <w:pPr>
              <w:ind w:left="0" w:firstLine="0"/>
              <w:rPr>
                <w:color w:val="000000"/>
              </w:rPr>
            </w:pPr>
            <w:r w:rsidRPr="00C12632">
              <w:rPr>
                <w:b/>
                <w:color w:val="000000"/>
              </w:rPr>
              <w:t>Total Payments from Advance to the Treasurer</w:t>
            </w:r>
          </w:p>
        </w:tc>
        <w:tc>
          <w:tcPr>
            <w:tcW w:w="907" w:type="dxa"/>
            <w:tcBorders>
              <w:top w:val="single" w:sz="6" w:space="0" w:color="auto"/>
              <w:bottom w:val="single" w:sz="12"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892 816</w:t>
            </w:r>
          </w:p>
        </w:tc>
      </w:tr>
    </w:tbl>
    <w:p w:rsidR="00DF17E9" w:rsidRDefault="00DF17E9" w:rsidP="006005C5"/>
    <w:p w:rsidR="00DF17E9" w:rsidRDefault="00DF17E9">
      <w:pPr>
        <w:rPr>
          <w:rFonts w:asciiTheme="majorHAnsi" w:eastAsiaTheme="majorEastAsia" w:hAnsiTheme="majorHAnsi" w:cstheme="majorBidi"/>
          <w:b/>
          <w:bCs/>
          <w:spacing w:val="-2"/>
          <w:szCs w:val="26"/>
        </w:rPr>
      </w:pPr>
      <w:r>
        <w:br w:type="page"/>
      </w:r>
    </w:p>
    <w:p w:rsidR="00DF17E9" w:rsidRPr="00C12632" w:rsidRDefault="00DF17E9" w:rsidP="00044843">
      <w:pPr>
        <w:pStyle w:val="Heading3"/>
        <w:tabs>
          <w:tab w:val="right" w:pos="14742"/>
        </w:tabs>
        <w:rPr>
          <w:rStyle w:val="TableUnitsChar"/>
          <w:lang w:val="en-US"/>
        </w:rPr>
      </w:pPr>
      <w:bookmarkStart w:id="88" w:name="_Toc462418842"/>
      <w:r w:rsidRPr="006005C5">
        <w:lastRenderedPageBreak/>
        <w:t xml:space="preserve">Payments from advances pursuant to </w:t>
      </w:r>
      <w:r w:rsidRPr="009F455E">
        <w:t>Section 35 of the</w:t>
      </w:r>
      <w:r w:rsidRPr="0046372E">
        <w:rPr>
          <w:i/>
        </w:rPr>
        <w:t xml:space="preserve"> Financial Management Act 1994</w:t>
      </w:r>
      <w:r w:rsidRPr="006005C5">
        <w:t xml:space="preserve"> for the financial year ended 30 June</w:t>
      </w:r>
      <w:r>
        <w:tab/>
      </w:r>
      <w:r w:rsidRPr="007C5D19">
        <w:rPr>
          <w:rStyle w:val="TableUnitsChar"/>
        </w:rPr>
        <w:t>($</w:t>
      </w:r>
      <w:r>
        <w:rPr>
          <w:rStyle w:val="TableUnitsChar"/>
        </w:rPr>
        <w:t xml:space="preserve"> thousand</w:t>
      </w:r>
      <w:r w:rsidRPr="007C5D19">
        <w:rPr>
          <w:rStyle w:val="TableUnitsChar"/>
        </w:rPr>
        <w:t>)</w:t>
      </w:r>
      <w:bookmarkEnd w:id="88"/>
    </w:p>
    <w:tbl>
      <w:tblPr>
        <w:tblStyle w:val="TableDTFGeneral"/>
        <w:tblW w:w="9637" w:type="dxa"/>
        <w:tblLayout w:type="fixed"/>
        <w:tblLook w:val="06A0" w:firstRow="1" w:lastRow="0" w:firstColumn="1" w:lastColumn="0" w:noHBand="1" w:noVBand="1"/>
      </w:tblPr>
      <w:tblGrid>
        <w:gridCol w:w="2154"/>
        <w:gridCol w:w="6576"/>
        <w:gridCol w:w="907"/>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4" w:type="dxa"/>
          </w:tcPr>
          <w:p w:rsidR="00DF17E9" w:rsidRPr="00C12632" w:rsidRDefault="00DF17E9" w:rsidP="00044843">
            <w:pPr>
              <w:ind w:left="0" w:firstLine="0"/>
              <w:rPr>
                <w:color w:val="FFFFFF"/>
              </w:rPr>
            </w:pPr>
            <w:r w:rsidRPr="00C12632">
              <w:rPr>
                <w:color w:val="FFFFFF"/>
              </w:rPr>
              <w:t xml:space="preserve">Department </w:t>
            </w:r>
          </w:p>
        </w:tc>
        <w:tc>
          <w:tcPr>
            <w:tcW w:w="6576" w:type="dxa"/>
          </w:tcPr>
          <w:p w:rsidR="00DF17E9" w:rsidRPr="00C12632" w:rsidRDefault="00DF17E9" w:rsidP="00044843">
            <w:pPr>
              <w:jc w:val="left"/>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Purpose</w:t>
            </w:r>
          </w:p>
        </w:tc>
        <w:tc>
          <w:tcPr>
            <w:tcW w:w="907"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2015-16</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val="restart"/>
          </w:tcPr>
          <w:p w:rsidR="00A432AC" w:rsidRPr="00C12632" w:rsidRDefault="00A432AC" w:rsidP="00A432AC">
            <w:pPr>
              <w:ind w:left="113" w:hanging="113"/>
              <w:rPr>
                <w:color w:val="000000"/>
              </w:rPr>
            </w:pPr>
            <w:r w:rsidRPr="00C12632">
              <w:rPr>
                <w:color w:val="000000"/>
              </w:rPr>
              <w:t>Economic Development,</w:t>
            </w:r>
            <w:r>
              <w:rPr>
                <w:color w:val="000000"/>
              </w:rPr>
              <w:t xml:space="preserve"> </w:t>
            </w:r>
            <w:r w:rsidRPr="00C12632">
              <w:rPr>
                <w:color w:val="000000"/>
              </w:rPr>
              <w:t>Jobs, Transport and</w:t>
            </w:r>
            <w:r>
              <w:rPr>
                <w:color w:val="000000"/>
              </w:rPr>
              <w:t xml:space="preserve"> </w:t>
            </w:r>
            <w:r w:rsidRPr="00C12632">
              <w:rPr>
                <w:color w:val="000000"/>
              </w:rPr>
              <w:t xml:space="preserve">Resources </w:t>
            </w: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Level crossing removals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91 090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113" w:hanging="113"/>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Investment in roads</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52 250</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113" w:hanging="113"/>
              <w:rPr>
                <w:color w:val="000000"/>
              </w:rPr>
            </w:pPr>
          </w:p>
        </w:tc>
        <w:tc>
          <w:tcPr>
            <w:tcW w:w="6576" w:type="dxa"/>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pPr>
            <w:r w:rsidRPr="00C12632">
              <w:rPr>
                <w:color w:val="000000"/>
              </w:rPr>
              <w:t>Investment in the regional train network</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34 341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113" w:hanging="113"/>
              <w:rPr>
                <w:color w:val="000000"/>
              </w:rPr>
            </w:pPr>
          </w:p>
        </w:tc>
        <w:tc>
          <w:tcPr>
            <w:tcW w:w="6576" w:type="dxa"/>
          </w:tcPr>
          <w:p w:rsidR="00A432AC" w:rsidRPr="00C12632" w:rsidRDefault="00A432AC" w:rsidP="008F3DD0">
            <w:pPr>
              <w:jc w:val="left"/>
              <w:cnfStyle w:val="000000000000" w:firstRow="0" w:lastRow="0" w:firstColumn="0" w:lastColumn="0" w:oddVBand="0" w:evenVBand="0" w:oddHBand="0" w:evenHBand="0" w:firstRowFirstColumn="0" w:firstRowLastColumn="0" w:lastRowFirstColumn="0" w:lastRowLastColumn="0"/>
            </w:pPr>
            <w:r w:rsidRPr="00C12632">
              <w:rPr>
                <w:color w:val="000000"/>
              </w:rPr>
              <w:t>Investment in</w:t>
            </w:r>
            <w:r>
              <w:rPr>
                <w:color w:val="000000"/>
              </w:rPr>
              <w:t xml:space="preserve"> the metropolitan train network</w:t>
            </w:r>
          </w:p>
        </w:tc>
        <w:tc>
          <w:tcPr>
            <w:tcW w:w="907" w:type="dxa"/>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5 803</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2154" w:type="dxa"/>
            <w:vMerge/>
          </w:tcPr>
          <w:p w:rsidR="00A432AC" w:rsidRPr="00C12632" w:rsidRDefault="00A432AC" w:rsidP="00044843">
            <w:pPr>
              <w:ind w:left="113" w:hanging="113"/>
              <w:rPr>
                <w:color w:val="000000"/>
              </w:rPr>
            </w:pPr>
          </w:p>
        </w:tc>
        <w:tc>
          <w:tcPr>
            <w:tcW w:w="6576" w:type="dxa"/>
            <w:tcBorders>
              <w:bottom w:val="nil"/>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Investment in the tram network</w:t>
            </w:r>
          </w:p>
        </w:tc>
        <w:tc>
          <w:tcPr>
            <w:tcW w:w="907" w:type="dxa"/>
            <w:tcBorders>
              <w:bottom w:val="nil"/>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1 051</w:t>
            </w:r>
          </w:p>
        </w:tc>
      </w:tr>
      <w:tr w:rsidR="00A432AC" w:rsidRPr="00C12632" w:rsidTr="00044843">
        <w:tc>
          <w:tcPr>
            <w:cnfStyle w:val="001000000000" w:firstRow="0" w:lastRow="0" w:firstColumn="1" w:lastColumn="0" w:oddVBand="0" w:evenVBand="0" w:oddHBand="0" w:evenHBand="0" w:firstRowFirstColumn="0" w:firstRowLastColumn="0" w:lastRowFirstColumn="0" w:lastRowLastColumn="0"/>
            <w:tcW w:w="2154" w:type="dxa"/>
            <w:vMerge/>
            <w:tcBorders>
              <w:bottom w:val="single" w:sz="6" w:space="0" w:color="auto"/>
            </w:tcBorders>
          </w:tcPr>
          <w:p w:rsidR="00A432AC" w:rsidRPr="00C12632" w:rsidRDefault="00A432AC" w:rsidP="00044843">
            <w:pPr>
              <w:ind w:left="113" w:hanging="113"/>
              <w:rPr>
                <w:color w:val="000000"/>
              </w:rPr>
            </w:pPr>
          </w:p>
        </w:tc>
        <w:tc>
          <w:tcPr>
            <w:tcW w:w="6576" w:type="dxa"/>
            <w:tcBorders>
              <w:bottom w:val="single" w:sz="6" w:space="0" w:color="auto"/>
            </w:tcBorders>
          </w:tcPr>
          <w:p w:rsidR="00A432AC" w:rsidRPr="00C12632" w:rsidRDefault="00A432AC"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tcW w:w="907" w:type="dxa"/>
            <w:tcBorders>
              <w:bottom w:val="single" w:sz="6"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184 535</w:t>
            </w:r>
          </w:p>
        </w:tc>
      </w:tr>
      <w:tr w:rsidR="00A432AC" w:rsidRPr="00C12632" w:rsidTr="00A432AC">
        <w:tc>
          <w:tcPr>
            <w:cnfStyle w:val="001000000000" w:firstRow="0" w:lastRow="0" w:firstColumn="1" w:lastColumn="0" w:oddVBand="0" w:evenVBand="0" w:oddHBand="0" w:evenHBand="0" w:firstRowFirstColumn="0" w:firstRowLastColumn="0" w:lastRowFirstColumn="0" w:lastRowLastColumn="0"/>
            <w:tcW w:w="8730" w:type="dxa"/>
            <w:gridSpan w:val="2"/>
            <w:tcBorders>
              <w:top w:val="single" w:sz="6" w:space="0" w:color="auto"/>
              <w:bottom w:val="single" w:sz="12" w:space="0" w:color="auto"/>
            </w:tcBorders>
          </w:tcPr>
          <w:p w:rsidR="00A432AC" w:rsidRPr="00C12632" w:rsidRDefault="00A432AC" w:rsidP="00A432AC">
            <w:pPr>
              <w:ind w:left="113" w:hanging="113"/>
              <w:rPr>
                <w:color w:val="000000"/>
              </w:rPr>
            </w:pPr>
            <w:r w:rsidRPr="00C12632">
              <w:rPr>
                <w:b/>
                <w:color w:val="000000"/>
              </w:rPr>
              <w:t xml:space="preserve">Total payments from advances pursuant to Section 35 (4) of the </w:t>
            </w:r>
            <w:r w:rsidRPr="00C12632">
              <w:rPr>
                <w:b/>
                <w:i/>
                <w:color w:val="000000"/>
              </w:rPr>
              <w:t>Financial Management Act 1994</w:t>
            </w:r>
          </w:p>
        </w:tc>
        <w:tc>
          <w:tcPr>
            <w:tcW w:w="907" w:type="dxa"/>
            <w:tcBorders>
              <w:top w:val="single" w:sz="6" w:space="0" w:color="auto"/>
              <w:bottom w:val="single" w:sz="12" w:space="0" w:color="auto"/>
            </w:tcBorders>
          </w:tcPr>
          <w:p w:rsidR="00A432AC" w:rsidRPr="00C12632" w:rsidRDefault="00A432AC"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184 535</w:t>
            </w:r>
          </w:p>
        </w:tc>
      </w:tr>
    </w:tbl>
    <w:p w:rsidR="00DF17E9" w:rsidRPr="00393F9C" w:rsidRDefault="00DF17E9" w:rsidP="00393F9C">
      <w:pPr>
        <w:rPr>
          <w:lang w:val="en-US"/>
        </w:rPr>
      </w:pPr>
    </w:p>
    <w:p w:rsidR="00DF17E9" w:rsidRPr="00377403" w:rsidRDefault="00DF17E9" w:rsidP="00377403">
      <w:pPr>
        <w:rPr>
          <w:lang w:val="en-US"/>
        </w:rPr>
        <w:sectPr w:rsidR="00DF17E9" w:rsidRPr="00377403" w:rsidSect="007A0115">
          <w:type w:val="continuous"/>
          <w:pgSz w:w="11906" w:h="16838" w:code="9"/>
          <w:pgMar w:top="1134" w:right="1134" w:bottom="1134" w:left="1134" w:header="624" w:footer="567" w:gutter="0"/>
          <w:cols w:space="708"/>
          <w:docGrid w:linePitch="360"/>
        </w:sectPr>
      </w:pPr>
    </w:p>
    <w:p w:rsidR="00DF17E9" w:rsidRDefault="00DF17E9" w:rsidP="00044843">
      <w:pPr>
        <w:pStyle w:val="Heading3"/>
        <w:tabs>
          <w:tab w:val="right" w:pos="14742"/>
        </w:tabs>
        <w:rPr>
          <w:i/>
          <w:lang w:val="en-US"/>
        </w:rPr>
      </w:pPr>
      <w:bookmarkStart w:id="89" w:name="_Toc462418843"/>
      <w:r w:rsidRPr="00393F9C">
        <w:rPr>
          <w:lang w:val="en-US"/>
        </w:rPr>
        <w:lastRenderedPageBreak/>
        <w:t>Unused advances carried forward to 201</w:t>
      </w:r>
      <w:r>
        <w:rPr>
          <w:lang w:val="en-US"/>
        </w:rPr>
        <w:t>5-16</w:t>
      </w:r>
      <w:r w:rsidRPr="00393F9C">
        <w:rPr>
          <w:lang w:val="en-US"/>
        </w:rPr>
        <w:t xml:space="preserve"> pursuant to Section 35(4) of the</w:t>
      </w:r>
      <w:r w:rsidRPr="007C5D19">
        <w:rPr>
          <w:i/>
          <w:lang w:val="en-US"/>
        </w:rPr>
        <w:t xml:space="preserve"> Financial Management Act 1994</w:t>
      </w:r>
      <w:bookmarkEnd w:id="89"/>
    </w:p>
    <w:p w:rsidR="00DF17E9" w:rsidRDefault="00DF17E9" w:rsidP="00393F9C">
      <w:r w:rsidRPr="00FD58C8">
        <w:t>There have been no</w:t>
      </w:r>
      <w:r>
        <w:t xml:space="preserve"> amounts carried forward to 2015-16</w:t>
      </w:r>
      <w:r w:rsidRPr="00FD58C8">
        <w:t xml:space="preserve"> under Section 35(4) of the </w:t>
      </w:r>
      <w:r w:rsidRPr="00FD58C8">
        <w:rPr>
          <w:i/>
        </w:rPr>
        <w:t>Financial Management Act, No. 18 of 1994</w:t>
      </w:r>
      <w:r>
        <w:t>.</w:t>
      </w:r>
    </w:p>
    <w:p w:rsidR="00DF17E9" w:rsidRDefault="00DF17E9" w:rsidP="00044843">
      <w:pPr>
        <w:pStyle w:val="Heading3"/>
        <w:tabs>
          <w:tab w:val="right" w:pos="14742"/>
        </w:tabs>
      </w:pPr>
      <w:bookmarkStart w:id="90" w:name="_Toc462418844"/>
      <w:r>
        <w:t>G</w:t>
      </w:r>
      <w:r w:rsidRPr="00393F9C">
        <w:t>overnment</w:t>
      </w:r>
      <w:r>
        <w:t xml:space="preserve"> </w:t>
      </w:r>
      <w:r w:rsidRPr="00393F9C">
        <w:t>guarantee</w:t>
      </w:r>
      <w:r>
        <w:t>s</w:t>
      </w:r>
      <w:bookmarkEnd w:id="90"/>
    </w:p>
    <w:p w:rsidR="00DF17E9" w:rsidRDefault="00DF17E9" w:rsidP="00044843">
      <w:pPr>
        <w:pStyle w:val="Subheadingunderline"/>
        <w:pBdr>
          <w:bottom w:val="none" w:sz="0" w:space="0" w:color="auto"/>
        </w:pBdr>
      </w:pPr>
      <w:r w:rsidRPr="00D23D67">
        <w:t>Details of payments made in fulfilment of any guarantee by the Government</w:t>
      </w:r>
    </w:p>
    <w:p w:rsidR="00DF17E9" w:rsidRPr="00BF2109" w:rsidRDefault="00DF17E9" w:rsidP="00377403">
      <w:r w:rsidRPr="002D37E4">
        <w:t>There have b</w:t>
      </w:r>
      <w:r>
        <w:t>een no payments made during 2015-16</w:t>
      </w:r>
      <w:r w:rsidRPr="002D37E4">
        <w:t xml:space="preserve"> in fulfilment of any guarantee by the Government.</w:t>
      </w:r>
    </w:p>
    <w:p w:rsidR="00DF17E9" w:rsidRDefault="00DF17E9" w:rsidP="00044843">
      <w:pPr>
        <w:pStyle w:val="Subheadingunderline"/>
        <w:pBdr>
          <w:bottom w:val="none" w:sz="0" w:space="0" w:color="auto"/>
        </w:pBdr>
      </w:pPr>
      <w:r w:rsidRPr="00D23D67">
        <w:t>Money received or recovered in respect of any guarantee payments</w:t>
      </w:r>
    </w:p>
    <w:p w:rsidR="00DF17E9" w:rsidRDefault="00DF17E9" w:rsidP="00377403">
      <w:r w:rsidRPr="002D37E4">
        <w:t>There has bee</w:t>
      </w:r>
      <w:r>
        <w:t>n no money recovered during 2015-16</w:t>
      </w:r>
      <w:r w:rsidRPr="002D37E4">
        <w:t xml:space="preserve"> in respect of any guarantee payments.</w:t>
      </w:r>
      <w:bookmarkEnd w:id="74"/>
    </w:p>
    <w:p w:rsidR="00DF17E9" w:rsidRDefault="00DF17E9" w:rsidP="00166621"/>
    <w:p w:rsidR="00DF17E9" w:rsidRPr="00166621" w:rsidRDefault="00DF17E9" w:rsidP="00166621">
      <w:pPr>
        <w:sectPr w:rsidR="00DF17E9" w:rsidRPr="00166621" w:rsidSect="00166621">
          <w:type w:val="continuous"/>
          <w:pgSz w:w="11906" w:h="16838" w:code="9"/>
          <w:pgMar w:top="1134" w:right="1134" w:bottom="1134" w:left="1134" w:header="624" w:footer="567" w:gutter="0"/>
          <w:cols w:num="2" w:space="708"/>
          <w:docGrid w:linePitch="360"/>
        </w:sectPr>
      </w:pPr>
    </w:p>
    <w:p w:rsidR="00DF17E9" w:rsidRDefault="00DF17E9" w:rsidP="00BC6724">
      <w:pPr>
        <w:pStyle w:val="Heading1"/>
      </w:pPr>
      <w:bookmarkStart w:id="91" w:name="_Toc462865847"/>
      <w:r>
        <w:lastRenderedPageBreak/>
        <w:t>Other disclosures</w:t>
      </w:r>
      <w:bookmarkEnd w:id="91"/>
    </w:p>
    <w:p w:rsidR="00DF17E9" w:rsidRDefault="00DF17E9" w:rsidP="00044843">
      <w:pPr>
        <w:sectPr w:rsidR="00DF17E9" w:rsidSect="00044843">
          <w:headerReference w:type="even" r:id="rId253"/>
          <w:headerReference w:type="default" r:id="rId254"/>
          <w:type w:val="oddPage"/>
          <w:pgSz w:w="11906" w:h="16838" w:code="9"/>
          <w:pgMar w:top="1138" w:right="1138" w:bottom="1138" w:left="1138" w:header="619" w:footer="562" w:gutter="0"/>
          <w:cols w:space="708"/>
          <w:docGrid w:linePitch="360"/>
        </w:sectPr>
      </w:pPr>
    </w:p>
    <w:p w:rsidR="00DF17E9" w:rsidRPr="00635722" w:rsidRDefault="00DF17E9" w:rsidP="008D5DD6">
      <w:pPr>
        <w:pStyle w:val="Subheadingunderline"/>
      </w:pPr>
      <w:bookmarkStart w:id="92" w:name="Section_09"/>
      <w:r w:rsidRPr="00635722">
        <w:lastRenderedPageBreak/>
        <w:t>Introduction to this section</w:t>
      </w:r>
    </w:p>
    <w:p w:rsidR="00DF17E9" w:rsidRDefault="00DF17E9" w:rsidP="00044843">
      <w:r w:rsidRPr="00EE0ACF">
        <w:t xml:space="preserve">This section includes those </w:t>
      </w:r>
      <w:r>
        <w:t xml:space="preserve">additional </w:t>
      </w:r>
      <w:r w:rsidRPr="00EE0ACF">
        <w:t>disclosures</w:t>
      </w:r>
      <w:r>
        <w:t xml:space="preserve"> required by accounting standards or otherwise,</w:t>
      </w:r>
      <w:r w:rsidRPr="00EE0ACF">
        <w:t xml:space="preserve"> that are material, </w:t>
      </w:r>
      <w:r>
        <w:t>for the understanding of this financial report.</w:t>
      </w:r>
    </w:p>
    <w:p w:rsidR="00DF17E9" w:rsidRPr="00E40EDA" w:rsidRDefault="00DF17E9" w:rsidP="008D5DD6">
      <w:pPr>
        <w:pStyle w:val="Subheadingunderline"/>
      </w:pPr>
      <w:r>
        <w:br w:type="column"/>
      </w:r>
      <w:r w:rsidRPr="00E40EDA">
        <w:lastRenderedPageBreak/>
        <w:t>Structure</w:t>
      </w:r>
    </w:p>
    <w:p w:rsidR="00DF17E9" w:rsidRDefault="00DF17E9">
      <w:pPr>
        <w:pStyle w:val="TOC9"/>
        <w:rPr>
          <w:rFonts w:eastAsiaTheme="minorEastAsia"/>
          <w:noProof/>
          <w:sz w:val="22"/>
          <w:lang w:eastAsia="en-AU"/>
        </w:rPr>
      </w:pPr>
      <w:r w:rsidRPr="003E7AD7">
        <w:rPr>
          <w:b/>
          <w:noProof/>
        </w:rPr>
        <w:fldChar w:fldCharType="begin"/>
      </w:r>
      <w:r>
        <w:rPr>
          <w:b/>
          <w:noProof/>
        </w:rPr>
        <w:instrText xml:space="preserve"> TOC \h \z \t "Heading 2,</w:instrText>
      </w:r>
      <w:r>
        <w:rPr>
          <w:noProof/>
        </w:rPr>
        <w:instrText>9</w:instrText>
      </w:r>
      <w:r>
        <w:rPr>
          <w:b/>
          <w:noProof/>
        </w:rPr>
        <w:instrText xml:space="preserve">" \b Section_09 </w:instrText>
      </w:r>
      <w:r w:rsidRPr="003E7AD7">
        <w:rPr>
          <w:b/>
          <w:noProof/>
        </w:rPr>
        <w:fldChar w:fldCharType="separate"/>
      </w:r>
      <w:hyperlink w:anchor="_Toc462418975" w:history="1">
        <w:r w:rsidRPr="00392CF0">
          <w:rPr>
            <w:rStyle w:val="Hyperlink"/>
            <w:noProof/>
            <w14:scene3d>
              <w14:camera w14:prst="orthographicFront"/>
              <w14:lightRig w14:rig="threePt" w14:dir="t">
                <w14:rot w14:lat="0" w14:lon="0" w14:rev="0"/>
              </w14:lightRig>
            </w14:scene3d>
          </w:rPr>
          <w:t>9.1</w:t>
        </w:r>
        <w:r>
          <w:rPr>
            <w:rFonts w:eastAsiaTheme="minorEastAsia"/>
            <w:noProof/>
            <w:sz w:val="22"/>
            <w:lang w:eastAsia="en-AU"/>
          </w:rPr>
          <w:tab/>
        </w:r>
        <w:r w:rsidRPr="00392CF0">
          <w:rPr>
            <w:rStyle w:val="Hyperlink"/>
            <w:noProof/>
          </w:rPr>
          <w:t>Disaggregated information</w:t>
        </w:r>
        <w:r>
          <w:rPr>
            <w:noProof/>
            <w:webHidden/>
          </w:rPr>
          <w:tab/>
        </w:r>
        <w:r>
          <w:rPr>
            <w:noProof/>
            <w:webHidden/>
          </w:rPr>
          <w:fldChar w:fldCharType="begin"/>
        </w:r>
        <w:r>
          <w:rPr>
            <w:noProof/>
            <w:webHidden/>
          </w:rPr>
          <w:instrText xml:space="preserve"> PAGEREF _Toc462418975 \h </w:instrText>
        </w:r>
        <w:r>
          <w:rPr>
            <w:noProof/>
            <w:webHidden/>
          </w:rPr>
        </w:r>
        <w:r>
          <w:rPr>
            <w:noProof/>
            <w:webHidden/>
          </w:rPr>
          <w:fldChar w:fldCharType="separate"/>
        </w:r>
        <w:r w:rsidR="00E3704D">
          <w:rPr>
            <w:noProof/>
            <w:webHidden/>
          </w:rPr>
          <w:t>136</w:t>
        </w:r>
        <w:r>
          <w:rPr>
            <w:noProof/>
            <w:webHidden/>
          </w:rPr>
          <w:fldChar w:fldCharType="end"/>
        </w:r>
      </w:hyperlink>
    </w:p>
    <w:p w:rsidR="00DF17E9" w:rsidRDefault="003A3C3D">
      <w:pPr>
        <w:pStyle w:val="TOC9"/>
        <w:rPr>
          <w:rFonts w:eastAsiaTheme="minorEastAsia"/>
          <w:noProof/>
          <w:sz w:val="22"/>
          <w:lang w:eastAsia="en-AU"/>
        </w:rPr>
      </w:pPr>
      <w:hyperlink w:anchor="_Toc462418976" w:history="1">
        <w:r w:rsidR="00DF17E9" w:rsidRPr="00392CF0">
          <w:rPr>
            <w:rStyle w:val="Hyperlink"/>
            <w:noProof/>
            <w14:scene3d>
              <w14:camera w14:prst="orthographicFront"/>
              <w14:lightRig w14:rig="threePt" w14:dir="t">
                <w14:rot w14:lat="0" w14:lon="0" w14:rev="0"/>
              </w14:lightRig>
            </w14:scene3d>
          </w:rPr>
          <w:t>9.2</w:t>
        </w:r>
        <w:r w:rsidR="00DF17E9">
          <w:rPr>
            <w:rFonts w:eastAsiaTheme="minorEastAsia"/>
            <w:noProof/>
            <w:sz w:val="22"/>
            <w:lang w:eastAsia="en-AU"/>
          </w:rPr>
          <w:tab/>
        </w:r>
        <w:r w:rsidR="00DF17E9" w:rsidRPr="00392CF0">
          <w:rPr>
            <w:rStyle w:val="Hyperlink"/>
            <w:noProof/>
          </w:rPr>
          <w:t>Funds under management</w:t>
        </w:r>
        <w:r w:rsidR="00DF17E9">
          <w:rPr>
            <w:noProof/>
            <w:webHidden/>
          </w:rPr>
          <w:tab/>
        </w:r>
        <w:r w:rsidR="00DF17E9">
          <w:rPr>
            <w:noProof/>
            <w:webHidden/>
          </w:rPr>
          <w:fldChar w:fldCharType="begin"/>
        </w:r>
        <w:r w:rsidR="00DF17E9">
          <w:rPr>
            <w:noProof/>
            <w:webHidden/>
          </w:rPr>
          <w:instrText xml:space="preserve"> PAGEREF _Toc462418976 \h </w:instrText>
        </w:r>
        <w:r w:rsidR="00DF17E9">
          <w:rPr>
            <w:noProof/>
            <w:webHidden/>
          </w:rPr>
        </w:r>
        <w:r w:rsidR="00DF17E9">
          <w:rPr>
            <w:noProof/>
            <w:webHidden/>
          </w:rPr>
          <w:fldChar w:fldCharType="separate"/>
        </w:r>
        <w:r w:rsidR="00E3704D">
          <w:rPr>
            <w:noProof/>
            <w:webHidden/>
          </w:rPr>
          <w:t>144</w:t>
        </w:r>
        <w:r w:rsidR="00DF17E9">
          <w:rPr>
            <w:noProof/>
            <w:webHidden/>
          </w:rPr>
          <w:fldChar w:fldCharType="end"/>
        </w:r>
      </w:hyperlink>
    </w:p>
    <w:p w:rsidR="00DF17E9" w:rsidRDefault="003A3C3D">
      <w:pPr>
        <w:pStyle w:val="TOC9"/>
        <w:rPr>
          <w:rFonts w:eastAsiaTheme="minorEastAsia"/>
          <w:noProof/>
          <w:sz w:val="22"/>
          <w:lang w:eastAsia="en-AU"/>
        </w:rPr>
      </w:pPr>
      <w:hyperlink w:anchor="_Toc462418977" w:history="1">
        <w:r w:rsidR="00DF17E9" w:rsidRPr="00392CF0">
          <w:rPr>
            <w:rStyle w:val="Hyperlink"/>
            <w:noProof/>
            <w14:scene3d>
              <w14:camera w14:prst="orthographicFront"/>
              <w14:lightRig w14:rig="threePt" w14:dir="t">
                <w14:rot w14:lat="0" w14:lon="0" w14:rev="0"/>
              </w14:lightRig>
            </w14:scene3d>
          </w:rPr>
          <w:t>9.3</w:t>
        </w:r>
        <w:r w:rsidR="00DF17E9">
          <w:rPr>
            <w:rFonts w:eastAsiaTheme="minorEastAsia"/>
            <w:noProof/>
            <w:sz w:val="22"/>
            <w:lang w:eastAsia="en-AU"/>
          </w:rPr>
          <w:tab/>
        </w:r>
        <w:r w:rsidR="00DF17E9" w:rsidRPr="00392CF0">
          <w:rPr>
            <w:rStyle w:val="Hyperlink"/>
            <w:noProof/>
          </w:rPr>
          <w:t>Other gains/(losses) from other economic flows</w:t>
        </w:r>
        <w:r w:rsidR="00DF17E9">
          <w:rPr>
            <w:noProof/>
            <w:webHidden/>
          </w:rPr>
          <w:tab/>
        </w:r>
        <w:r w:rsidR="00DF17E9">
          <w:rPr>
            <w:noProof/>
            <w:webHidden/>
          </w:rPr>
          <w:fldChar w:fldCharType="begin"/>
        </w:r>
        <w:r w:rsidR="00DF17E9">
          <w:rPr>
            <w:noProof/>
            <w:webHidden/>
          </w:rPr>
          <w:instrText xml:space="preserve"> PAGEREF _Toc462418977 \h </w:instrText>
        </w:r>
        <w:r w:rsidR="00DF17E9">
          <w:rPr>
            <w:noProof/>
            <w:webHidden/>
          </w:rPr>
        </w:r>
        <w:r w:rsidR="00DF17E9">
          <w:rPr>
            <w:noProof/>
            <w:webHidden/>
          </w:rPr>
          <w:fldChar w:fldCharType="separate"/>
        </w:r>
        <w:r w:rsidR="00E3704D">
          <w:rPr>
            <w:noProof/>
            <w:webHidden/>
          </w:rPr>
          <w:t>144</w:t>
        </w:r>
        <w:r w:rsidR="00DF17E9">
          <w:rPr>
            <w:noProof/>
            <w:webHidden/>
          </w:rPr>
          <w:fldChar w:fldCharType="end"/>
        </w:r>
      </w:hyperlink>
    </w:p>
    <w:p w:rsidR="00DF17E9" w:rsidRDefault="003A3C3D">
      <w:pPr>
        <w:pStyle w:val="TOC9"/>
        <w:rPr>
          <w:rFonts w:eastAsiaTheme="minorEastAsia"/>
          <w:noProof/>
          <w:sz w:val="22"/>
          <w:lang w:eastAsia="en-AU"/>
        </w:rPr>
      </w:pPr>
      <w:hyperlink w:anchor="_Toc462418978" w:history="1">
        <w:r w:rsidR="00DF17E9" w:rsidRPr="00392CF0">
          <w:rPr>
            <w:rStyle w:val="Hyperlink"/>
            <w:noProof/>
            <w14:scene3d>
              <w14:camera w14:prst="orthographicFront"/>
              <w14:lightRig w14:rig="threePt" w14:dir="t">
                <w14:rot w14:lat="0" w14:lon="0" w14:rev="0"/>
              </w14:lightRig>
            </w14:scene3d>
          </w:rPr>
          <w:t>9.4</w:t>
        </w:r>
        <w:r w:rsidR="00DF17E9">
          <w:rPr>
            <w:rFonts w:eastAsiaTheme="minorEastAsia"/>
            <w:noProof/>
            <w:sz w:val="22"/>
            <w:lang w:eastAsia="en-AU"/>
          </w:rPr>
          <w:tab/>
        </w:r>
        <w:r w:rsidR="00DF17E9" w:rsidRPr="00392CF0">
          <w:rPr>
            <w:rStyle w:val="Hyperlink"/>
            <w:noProof/>
          </w:rPr>
          <w:t>Reconciliation between Government Finance Statistics and Australian Accounting Standards</w:t>
        </w:r>
        <w:r w:rsidR="00DF17E9">
          <w:rPr>
            <w:noProof/>
            <w:webHidden/>
          </w:rPr>
          <w:tab/>
        </w:r>
        <w:r w:rsidR="00DF17E9">
          <w:rPr>
            <w:noProof/>
            <w:webHidden/>
          </w:rPr>
          <w:fldChar w:fldCharType="begin"/>
        </w:r>
        <w:r w:rsidR="00DF17E9">
          <w:rPr>
            <w:noProof/>
            <w:webHidden/>
          </w:rPr>
          <w:instrText xml:space="preserve"> PAGEREF _Toc462418978 \h </w:instrText>
        </w:r>
        <w:r w:rsidR="00DF17E9">
          <w:rPr>
            <w:noProof/>
            <w:webHidden/>
          </w:rPr>
        </w:r>
        <w:r w:rsidR="00DF17E9">
          <w:rPr>
            <w:noProof/>
            <w:webHidden/>
          </w:rPr>
          <w:fldChar w:fldCharType="separate"/>
        </w:r>
        <w:r w:rsidR="00E3704D">
          <w:rPr>
            <w:noProof/>
            <w:webHidden/>
          </w:rPr>
          <w:t>144</w:t>
        </w:r>
        <w:r w:rsidR="00DF17E9">
          <w:rPr>
            <w:noProof/>
            <w:webHidden/>
          </w:rPr>
          <w:fldChar w:fldCharType="end"/>
        </w:r>
      </w:hyperlink>
    </w:p>
    <w:p w:rsidR="00DF17E9" w:rsidRDefault="003A3C3D">
      <w:pPr>
        <w:pStyle w:val="TOC9"/>
        <w:rPr>
          <w:rFonts w:eastAsiaTheme="minorEastAsia"/>
          <w:noProof/>
          <w:sz w:val="22"/>
          <w:lang w:eastAsia="en-AU"/>
        </w:rPr>
      </w:pPr>
      <w:hyperlink w:anchor="_Toc462418979" w:history="1">
        <w:r w:rsidR="00DF17E9" w:rsidRPr="00392CF0">
          <w:rPr>
            <w:rStyle w:val="Hyperlink"/>
            <w:noProof/>
            <w14:scene3d>
              <w14:camera w14:prst="orthographicFront"/>
              <w14:lightRig w14:rig="threePt" w14:dir="t">
                <w14:rot w14:lat="0" w14:lon="0" w14:rev="0"/>
              </w14:lightRig>
            </w14:scene3d>
          </w:rPr>
          <w:t>9.5</w:t>
        </w:r>
        <w:r w:rsidR="00DF17E9">
          <w:rPr>
            <w:rFonts w:eastAsiaTheme="minorEastAsia"/>
            <w:noProof/>
            <w:sz w:val="22"/>
            <w:lang w:eastAsia="en-AU"/>
          </w:rPr>
          <w:tab/>
        </w:r>
        <w:r w:rsidR="00DF17E9" w:rsidRPr="00392CF0">
          <w:rPr>
            <w:rStyle w:val="Hyperlink"/>
            <w:noProof/>
          </w:rPr>
          <w:t>Subsequent events</w:t>
        </w:r>
        <w:r w:rsidR="00DF17E9">
          <w:rPr>
            <w:noProof/>
            <w:webHidden/>
          </w:rPr>
          <w:tab/>
        </w:r>
        <w:r w:rsidR="00DF17E9">
          <w:rPr>
            <w:noProof/>
            <w:webHidden/>
          </w:rPr>
          <w:fldChar w:fldCharType="begin"/>
        </w:r>
        <w:r w:rsidR="00DF17E9">
          <w:rPr>
            <w:noProof/>
            <w:webHidden/>
          </w:rPr>
          <w:instrText xml:space="preserve"> PAGEREF _Toc462418979 \h </w:instrText>
        </w:r>
        <w:r w:rsidR="00DF17E9">
          <w:rPr>
            <w:noProof/>
            <w:webHidden/>
          </w:rPr>
        </w:r>
        <w:r w:rsidR="00DF17E9">
          <w:rPr>
            <w:noProof/>
            <w:webHidden/>
          </w:rPr>
          <w:fldChar w:fldCharType="separate"/>
        </w:r>
        <w:r w:rsidR="00E3704D">
          <w:rPr>
            <w:noProof/>
            <w:webHidden/>
          </w:rPr>
          <w:t>148</w:t>
        </w:r>
        <w:r w:rsidR="00DF17E9">
          <w:rPr>
            <w:noProof/>
            <w:webHidden/>
          </w:rPr>
          <w:fldChar w:fldCharType="end"/>
        </w:r>
      </w:hyperlink>
    </w:p>
    <w:p w:rsidR="00DF17E9" w:rsidRDefault="003A3C3D">
      <w:pPr>
        <w:pStyle w:val="TOC9"/>
        <w:rPr>
          <w:rFonts w:eastAsiaTheme="minorEastAsia"/>
          <w:noProof/>
          <w:sz w:val="22"/>
          <w:lang w:eastAsia="en-AU"/>
        </w:rPr>
      </w:pPr>
      <w:hyperlink w:anchor="_Toc462418980" w:history="1">
        <w:r w:rsidR="00DF17E9" w:rsidRPr="00392CF0">
          <w:rPr>
            <w:rStyle w:val="Hyperlink"/>
            <w:noProof/>
            <w14:scene3d>
              <w14:camera w14:prst="orthographicFront"/>
              <w14:lightRig w14:rig="threePt" w14:dir="t">
                <w14:rot w14:lat="0" w14:lon="0" w14:rev="0"/>
              </w14:lightRig>
            </w14:scene3d>
          </w:rPr>
          <w:t>9.6</w:t>
        </w:r>
        <w:r w:rsidR="00DF17E9">
          <w:rPr>
            <w:rFonts w:eastAsiaTheme="minorEastAsia"/>
            <w:noProof/>
            <w:sz w:val="22"/>
            <w:lang w:eastAsia="en-AU"/>
          </w:rPr>
          <w:tab/>
        </w:r>
        <w:r w:rsidR="00DF17E9" w:rsidRPr="00392CF0">
          <w:rPr>
            <w:rStyle w:val="Hyperlink"/>
            <w:noProof/>
          </w:rPr>
          <w:t>Other accounting policies</w:t>
        </w:r>
        <w:r w:rsidR="00DF17E9">
          <w:rPr>
            <w:noProof/>
            <w:webHidden/>
          </w:rPr>
          <w:tab/>
        </w:r>
        <w:r w:rsidR="00DF17E9">
          <w:rPr>
            <w:noProof/>
            <w:webHidden/>
          </w:rPr>
          <w:fldChar w:fldCharType="begin"/>
        </w:r>
        <w:r w:rsidR="00DF17E9">
          <w:rPr>
            <w:noProof/>
            <w:webHidden/>
          </w:rPr>
          <w:instrText xml:space="preserve"> PAGEREF _Toc462418980 \h </w:instrText>
        </w:r>
        <w:r w:rsidR="00DF17E9">
          <w:rPr>
            <w:noProof/>
            <w:webHidden/>
          </w:rPr>
        </w:r>
        <w:r w:rsidR="00DF17E9">
          <w:rPr>
            <w:noProof/>
            <w:webHidden/>
          </w:rPr>
          <w:fldChar w:fldCharType="separate"/>
        </w:r>
        <w:r w:rsidR="00E3704D">
          <w:rPr>
            <w:noProof/>
            <w:webHidden/>
          </w:rPr>
          <w:t>149</w:t>
        </w:r>
        <w:r w:rsidR="00DF17E9">
          <w:rPr>
            <w:noProof/>
            <w:webHidden/>
          </w:rPr>
          <w:fldChar w:fldCharType="end"/>
        </w:r>
      </w:hyperlink>
    </w:p>
    <w:p w:rsidR="00DF17E9" w:rsidRDefault="003A3C3D">
      <w:pPr>
        <w:pStyle w:val="TOC9"/>
        <w:rPr>
          <w:rFonts w:eastAsiaTheme="minorEastAsia"/>
          <w:noProof/>
          <w:sz w:val="22"/>
          <w:lang w:eastAsia="en-AU"/>
        </w:rPr>
      </w:pPr>
      <w:hyperlink w:anchor="_Toc462418981" w:history="1">
        <w:r w:rsidR="00DF17E9" w:rsidRPr="00392CF0">
          <w:rPr>
            <w:rStyle w:val="Hyperlink"/>
            <w:noProof/>
            <w14:scene3d>
              <w14:camera w14:prst="orthographicFront"/>
              <w14:lightRig w14:rig="threePt" w14:dir="t">
                <w14:rot w14:lat="0" w14:lon="0" w14:rev="0"/>
              </w14:lightRig>
            </w14:scene3d>
          </w:rPr>
          <w:t>9.7</w:t>
        </w:r>
        <w:r w:rsidR="00DF17E9">
          <w:rPr>
            <w:rFonts w:eastAsiaTheme="minorEastAsia"/>
            <w:noProof/>
            <w:sz w:val="22"/>
            <w:lang w:eastAsia="en-AU"/>
          </w:rPr>
          <w:tab/>
        </w:r>
        <w:r w:rsidR="00DF17E9" w:rsidRPr="00392CF0">
          <w:rPr>
            <w:rStyle w:val="Hyperlink"/>
            <w:noProof/>
          </w:rPr>
          <w:t>Controlled entities</w:t>
        </w:r>
        <w:r w:rsidR="00DF17E9">
          <w:rPr>
            <w:noProof/>
            <w:webHidden/>
          </w:rPr>
          <w:tab/>
        </w:r>
        <w:r w:rsidR="00DF17E9">
          <w:rPr>
            <w:noProof/>
            <w:webHidden/>
          </w:rPr>
          <w:fldChar w:fldCharType="begin"/>
        </w:r>
        <w:r w:rsidR="00DF17E9">
          <w:rPr>
            <w:noProof/>
            <w:webHidden/>
          </w:rPr>
          <w:instrText xml:space="preserve"> PAGEREF _Toc462418981 \h </w:instrText>
        </w:r>
        <w:r w:rsidR="00DF17E9">
          <w:rPr>
            <w:noProof/>
            <w:webHidden/>
          </w:rPr>
        </w:r>
        <w:r w:rsidR="00DF17E9">
          <w:rPr>
            <w:noProof/>
            <w:webHidden/>
          </w:rPr>
          <w:fldChar w:fldCharType="separate"/>
        </w:r>
        <w:r w:rsidR="00E3704D">
          <w:rPr>
            <w:noProof/>
            <w:webHidden/>
          </w:rPr>
          <w:t>151</w:t>
        </w:r>
        <w:r w:rsidR="00DF17E9">
          <w:rPr>
            <w:noProof/>
            <w:webHidden/>
          </w:rPr>
          <w:fldChar w:fldCharType="end"/>
        </w:r>
      </w:hyperlink>
    </w:p>
    <w:p w:rsidR="00DF17E9" w:rsidRDefault="003A3C3D">
      <w:pPr>
        <w:pStyle w:val="TOC9"/>
        <w:rPr>
          <w:rFonts w:eastAsiaTheme="minorEastAsia"/>
          <w:noProof/>
          <w:sz w:val="22"/>
          <w:lang w:eastAsia="en-AU"/>
        </w:rPr>
      </w:pPr>
      <w:hyperlink w:anchor="_Toc462418982" w:history="1">
        <w:r w:rsidR="00DF17E9" w:rsidRPr="00392CF0">
          <w:rPr>
            <w:rStyle w:val="Hyperlink"/>
            <w:noProof/>
            <w14:scene3d>
              <w14:camera w14:prst="orthographicFront"/>
              <w14:lightRig w14:rig="threePt" w14:dir="t">
                <w14:rot w14:lat="0" w14:lon="0" w14:rev="0"/>
              </w14:lightRig>
            </w14:scene3d>
          </w:rPr>
          <w:t>9.8</w:t>
        </w:r>
        <w:r w:rsidR="00DF17E9">
          <w:rPr>
            <w:rFonts w:eastAsiaTheme="minorEastAsia"/>
            <w:noProof/>
            <w:sz w:val="22"/>
            <w:lang w:eastAsia="en-AU"/>
          </w:rPr>
          <w:tab/>
        </w:r>
        <w:r w:rsidR="00DF17E9" w:rsidRPr="00392CF0">
          <w:rPr>
            <w:rStyle w:val="Hyperlink"/>
            <w:noProof/>
          </w:rPr>
          <w:t>Glossary of technical terms</w:t>
        </w:r>
        <w:r w:rsidR="00DF17E9">
          <w:rPr>
            <w:noProof/>
            <w:webHidden/>
          </w:rPr>
          <w:tab/>
        </w:r>
        <w:r w:rsidR="00DF17E9">
          <w:rPr>
            <w:noProof/>
            <w:webHidden/>
          </w:rPr>
          <w:fldChar w:fldCharType="begin"/>
        </w:r>
        <w:r w:rsidR="00DF17E9">
          <w:rPr>
            <w:noProof/>
            <w:webHidden/>
          </w:rPr>
          <w:instrText xml:space="preserve"> PAGEREF _Toc462418982 \h </w:instrText>
        </w:r>
        <w:r w:rsidR="00DF17E9">
          <w:rPr>
            <w:noProof/>
            <w:webHidden/>
          </w:rPr>
        </w:r>
        <w:r w:rsidR="00DF17E9">
          <w:rPr>
            <w:noProof/>
            <w:webHidden/>
          </w:rPr>
          <w:fldChar w:fldCharType="separate"/>
        </w:r>
        <w:r w:rsidR="00E3704D">
          <w:rPr>
            <w:noProof/>
            <w:webHidden/>
          </w:rPr>
          <w:t>154</w:t>
        </w:r>
        <w:r w:rsidR="00DF17E9">
          <w:rPr>
            <w:noProof/>
            <w:webHidden/>
          </w:rPr>
          <w:fldChar w:fldCharType="end"/>
        </w:r>
      </w:hyperlink>
    </w:p>
    <w:p w:rsidR="00DF17E9" w:rsidRPr="00DA4A66" w:rsidRDefault="00DF17E9" w:rsidP="00044843">
      <w:pPr>
        <w:pStyle w:val="TOC9"/>
      </w:pPr>
      <w:r w:rsidRPr="003E7AD7">
        <w:rPr>
          <w:noProof/>
        </w:rPr>
        <w:fldChar w:fldCharType="end"/>
      </w:r>
    </w:p>
    <w:p w:rsidR="00DF17E9" w:rsidRDefault="00DF17E9" w:rsidP="00044843">
      <w:pPr>
        <w:sectPr w:rsidR="00DF17E9" w:rsidSect="00044843">
          <w:headerReference w:type="even" r:id="rId255"/>
          <w:headerReference w:type="default" r:id="rId256"/>
          <w:footerReference w:type="even" r:id="rId257"/>
          <w:type w:val="continuous"/>
          <w:pgSz w:w="11906" w:h="16838" w:code="9"/>
          <w:pgMar w:top="1134" w:right="1134" w:bottom="1134" w:left="1134" w:header="624" w:footer="567" w:gutter="0"/>
          <w:cols w:num="2" w:space="708"/>
          <w:docGrid w:linePitch="360"/>
        </w:sectPr>
      </w:pPr>
    </w:p>
    <w:p w:rsidR="00DF17E9" w:rsidRPr="00195B47" w:rsidRDefault="00DF17E9" w:rsidP="00044843">
      <w:pPr>
        <w:pStyle w:val="Heading2"/>
        <w:pageBreakBefore/>
        <w:spacing w:before="0"/>
        <w:ind w:left="578" w:hanging="578"/>
      </w:pPr>
      <w:bookmarkStart w:id="93" w:name="_Toc462418975"/>
      <w:r w:rsidRPr="00195B47">
        <w:lastRenderedPageBreak/>
        <w:t>Disaggregated information</w:t>
      </w:r>
      <w:bookmarkEnd w:id="93"/>
    </w:p>
    <w:p w:rsidR="00DF17E9" w:rsidRPr="00C12632" w:rsidRDefault="00DF17E9" w:rsidP="00044843">
      <w:pPr>
        <w:pStyle w:val="Subheading"/>
        <w:rPr>
          <w:bCs/>
          <w:lang w:val="en-US"/>
        </w:rPr>
      </w:pPr>
      <w:r>
        <w:t>Disaggregated operating statement for the financial year ended 30 June</w:t>
      </w:r>
      <w:r>
        <w:tab/>
      </w:r>
      <w:r w:rsidRPr="0009147C">
        <w:rPr>
          <w:rStyle w:val="TableUnitsChar"/>
        </w:rPr>
        <w:t>($ million)</w:t>
      </w:r>
    </w:p>
    <w:tbl>
      <w:tblPr>
        <w:tblStyle w:val="TableDTFGeneral"/>
        <w:tblW w:w="9637" w:type="dxa"/>
        <w:tblLayout w:type="fixed"/>
        <w:tblLook w:val="02A0" w:firstRow="1" w:lastRow="0" w:firstColumn="1" w:lastColumn="0" w:noHBand="1" w:noVBand="0"/>
      </w:tblPr>
      <w:tblGrid>
        <w:gridCol w:w="5416"/>
        <w:gridCol w:w="1161"/>
        <w:gridCol w:w="1020"/>
        <w:gridCol w:w="1020"/>
        <w:gridCol w:w="1020"/>
      </w:tblGrid>
      <w:tr w:rsidR="00A432AC" w:rsidRPr="00C12632" w:rsidTr="00F814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vMerge w:val="restart"/>
          </w:tcPr>
          <w:p w:rsidR="00A432AC" w:rsidRPr="00C12632" w:rsidRDefault="00A432AC" w:rsidP="00A432AC">
            <w:pPr>
              <w:spacing w:after="0"/>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181" w:type="dxa"/>
            <w:gridSpan w:val="2"/>
          </w:tcPr>
          <w:p w:rsidR="00A432AC" w:rsidRPr="00C12632" w:rsidRDefault="00A432AC" w:rsidP="00A432AC">
            <w:pPr>
              <w:spacing w:after="0"/>
              <w:jc w:val="center"/>
              <w:rPr>
                <w:color w:val="FFFFFF"/>
              </w:rPr>
            </w:pPr>
            <w:r w:rsidRPr="00C12632">
              <w:rPr>
                <w:color w:val="FFFFFF"/>
              </w:rPr>
              <w:t xml:space="preserve">General </w:t>
            </w:r>
            <w:r>
              <w:rPr>
                <w:color w:val="FFFFFF"/>
              </w:rPr>
              <w:br/>
            </w:r>
            <w:r w:rsidRPr="00C12632">
              <w:rPr>
                <w:color w:val="FFFFFF"/>
              </w:rPr>
              <w:t>government sector</w:t>
            </w:r>
          </w:p>
        </w:tc>
        <w:tc>
          <w:tcPr>
            <w:tcW w:w="2040" w:type="dxa"/>
            <w:gridSpan w:val="2"/>
          </w:tcPr>
          <w:p w:rsidR="00A432AC" w:rsidRPr="00C12632" w:rsidRDefault="00A432AC" w:rsidP="00A432AC">
            <w:pPr>
              <w:spacing w:after="0"/>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Public non-financial corporations</w:t>
            </w:r>
          </w:p>
        </w:tc>
      </w:tr>
      <w:tr w:rsidR="00A432AC" w:rsidRPr="00C12632" w:rsidTr="00F814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vMerge/>
          </w:tcPr>
          <w:p w:rsidR="00A432AC" w:rsidRPr="00C12632" w:rsidRDefault="00A432AC" w:rsidP="00044843">
            <w:pPr>
              <w:spacing w:after="0"/>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1161" w:type="dxa"/>
          </w:tcPr>
          <w:p w:rsidR="00A432AC" w:rsidRPr="00C12632" w:rsidRDefault="00A432AC" w:rsidP="00044843">
            <w:pPr>
              <w:spacing w:after="0"/>
              <w:rPr>
                <w:color w:val="FFFFFF"/>
              </w:rPr>
            </w:pPr>
            <w:r w:rsidRPr="00C12632">
              <w:rPr>
                <w:color w:val="FFFFFF"/>
              </w:rPr>
              <w:t>2016</w:t>
            </w:r>
          </w:p>
        </w:tc>
        <w:tc>
          <w:tcPr>
            <w:tcW w:w="1020" w:type="dxa"/>
          </w:tcPr>
          <w:p w:rsidR="00A432AC" w:rsidRPr="00C12632" w:rsidRDefault="00A432AC"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020" w:type="dxa"/>
          </w:tcPr>
          <w:p w:rsidR="00A432AC" w:rsidRPr="00C12632" w:rsidRDefault="00A432AC" w:rsidP="00044843">
            <w:pPr>
              <w:spacing w:after="0"/>
              <w:rPr>
                <w:color w:val="FFFFFF"/>
              </w:rPr>
            </w:pPr>
            <w:r w:rsidRPr="00C12632">
              <w:rPr>
                <w:color w:val="FFFFFF"/>
              </w:rPr>
              <w:t>2016</w:t>
            </w:r>
          </w:p>
        </w:tc>
        <w:tc>
          <w:tcPr>
            <w:tcW w:w="1020" w:type="dxa"/>
          </w:tcPr>
          <w:p w:rsidR="00A432AC" w:rsidRPr="00C12632" w:rsidRDefault="00A432AC"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Revenue from transactions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Taxation revenue</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19 896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18 339</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 xml:space="preserve">Interest revenue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786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827</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38</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46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848</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1 113</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23</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6 671</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6 482</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6 225</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6 018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nil"/>
            </w:tcBorders>
          </w:tcPr>
          <w:p w:rsidR="00DF17E9" w:rsidRPr="00C12632" w:rsidRDefault="00DF17E9" w:rsidP="00044843">
            <w:pPr>
              <w:spacing w:after="0"/>
              <w:ind w:left="0" w:firstLine="0"/>
              <w:rPr>
                <w:color w:val="000000"/>
              </w:rPr>
            </w:pPr>
            <w:r w:rsidRPr="00C12632">
              <w:rPr>
                <w:color w:val="000000"/>
              </w:rPr>
              <w:t>Grant revenue</w:t>
            </w:r>
          </w:p>
        </w:tc>
        <w:tc>
          <w:tcPr>
            <w:cnfStyle w:val="000010000000" w:firstRow="0" w:lastRow="0" w:firstColumn="0" w:lastColumn="0" w:oddVBand="1" w:evenVBand="0" w:oddHBand="0" w:evenHBand="0" w:firstRowFirstColumn="0" w:firstRowLastColumn="0" w:lastRowFirstColumn="0" w:lastRowLastColumn="0"/>
            <w:tcW w:w="1161" w:type="dxa"/>
            <w:tcBorders>
              <w:bottom w:val="nil"/>
            </w:tcBorders>
          </w:tcPr>
          <w:p w:rsidR="00DF17E9" w:rsidRPr="00C12632" w:rsidRDefault="00DF17E9" w:rsidP="00044843">
            <w:pPr>
              <w:spacing w:after="0"/>
              <w:rPr>
                <w:color w:val="000000"/>
              </w:rPr>
            </w:pPr>
            <w:r w:rsidRPr="00C12632">
              <w:rPr>
                <w:color w:val="000000"/>
              </w:rPr>
              <w:t>25 406</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24 503</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F17E9" w:rsidRPr="00C12632" w:rsidRDefault="00DF17E9" w:rsidP="00044843">
            <w:pPr>
              <w:spacing w:after="0"/>
              <w:rPr>
                <w:color w:val="000000"/>
              </w:rPr>
            </w:pPr>
            <w:r w:rsidRPr="00C12632">
              <w:rPr>
                <w:color w:val="000000"/>
              </w:rPr>
              <w:t>3 011</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2 784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rsidR="00DF17E9" w:rsidRPr="00C12632" w:rsidRDefault="00DF17E9" w:rsidP="00044843">
            <w:pPr>
              <w:spacing w:after="0"/>
              <w:ind w:left="0" w:firstLine="0"/>
              <w:rPr>
                <w:color w:val="000000"/>
              </w:rPr>
            </w:pPr>
            <w:r w:rsidRPr="00C12632">
              <w:rPr>
                <w:color w:val="000000"/>
              </w:rPr>
              <w:t>Other revenue</w:t>
            </w:r>
          </w:p>
        </w:tc>
        <w:tc>
          <w:tcPr>
            <w:cnfStyle w:val="000010000000" w:firstRow="0" w:lastRow="0" w:firstColumn="0" w:lastColumn="0" w:oddVBand="1" w:evenVBand="0" w:oddHBand="0" w:evenHBand="0" w:firstRowFirstColumn="0" w:firstRowLastColumn="0" w:lastRowFirstColumn="0" w:lastRowLastColumn="0"/>
            <w:tcW w:w="1161" w:type="dxa"/>
            <w:tcBorders>
              <w:bottom w:val="single" w:sz="6" w:space="0" w:color="auto"/>
            </w:tcBorders>
          </w:tcPr>
          <w:p w:rsidR="00DF17E9" w:rsidRPr="00C12632" w:rsidRDefault="00DF17E9" w:rsidP="00044843">
            <w:pPr>
              <w:spacing w:after="0"/>
              <w:rPr>
                <w:color w:val="000000"/>
              </w:rPr>
            </w:pPr>
            <w:r w:rsidRPr="00C12632">
              <w:rPr>
                <w:color w:val="000000"/>
              </w:rPr>
              <w:t>3 108</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2 508</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6" w:space="0" w:color="auto"/>
            </w:tcBorders>
          </w:tcPr>
          <w:p w:rsidR="00DF17E9" w:rsidRPr="00C12632" w:rsidRDefault="00DF17E9" w:rsidP="00044843">
            <w:pPr>
              <w:spacing w:after="0"/>
              <w:rPr>
                <w:color w:val="000000"/>
              </w:rPr>
            </w:pPr>
            <w:r w:rsidRPr="00C12632">
              <w:rPr>
                <w:color w:val="000000"/>
              </w:rPr>
              <w:t>1 076</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612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rsidR="00DF17E9" w:rsidRPr="00C12632" w:rsidRDefault="00DF17E9" w:rsidP="00044843">
            <w:pPr>
              <w:spacing w:after="0"/>
              <w:ind w:left="0" w:firstLine="0"/>
              <w:rPr>
                <w:color w:val="000000"/>
              </w:rPr>
            </w:pPr>
            <w:r w:rsidRPr="00C12632">
              <w:rPr>
                <w:b/>
                <w:color w:val="000000"/>
              </w:rPr>
              <w:t>Total revenue from transactions</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tcBorders>
          </w:tcPr>
          <w:p w:rsidR="00DF17E9" w:rsidRPr="00C12632" w:rsidRDefault="00DF17E9" w:rsidP="00044843">
            <w:pPr>
              <w:spacing w:after="0"/>
              <w:rPr>
                <w:color w:val="000000"/>
              </w:rPr>
            </w:pPr>
            <w:r w:rsidRPr="00C12632">
              <w:rPr>
                <w:b/>
                <w:color w:val="000000"/>
              </w:rPr>
              <w:t>56 716</w:t>
            </w:r>
          </w:p>
        </w:tc>
        <w:tc>
          <w:tcPr>
            <w:tcW w:w="1020"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53 772</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tcBorders>
          </w:tcPr>
          <w:p w:rsidR="00DF17E9" w:rsidRPr="00C12632" w:rsidRDefault="00DF17E9" w:rsidP="00044843">
            <w:pPr>
              <w:spacing w:after="0"/>
              <w:rPr>
                <w:color w:val="000000"/>
              </w:rPr>
            </w:pPr>
            <w:r w:rsidRPr="00C12632">
              <w:rPr>
                <w:b/>
                <w:color w:val="000000"/>
              </w:rPr>
              <w:t>10 373</w:t>
            </w:r>
          </w:p>
        </w:tc>
        <w:tc>
          <w:tcPr>
            <w:tcW w:w="1020"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9 485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Expenses from transactions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Employee expenses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20 002</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18 834</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1 156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1 077</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Net superannuation interest expense</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878</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1 038</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Other superannuation</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2 123</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1 978</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107</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102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Depreciation</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2 504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2 425</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2 154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1 978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Interest expense</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2 076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2 102</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1 047</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1 176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Grant expense</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8 564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8 529</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290</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270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nil"/>
            </w:tcBorders>
          </w:tcPr>
          <w:p w:rsidR="00DF17E9" w:rsidRPr="00C12632" w:rsidRDefault="00DF17E9" w:rsidP="00044843">
            <w:pPr>
              <w:spacing w:after="0"/>
              <w:ind w:left="0" w:firstLine="0"/>
              <w:rPr>
                <w:color w:val="000000"/>
              </w:rPr>
            </w:pPr>
            <w:r w:rsidRPr="00C12632">
              <w:rPr>
                <w:color w:val="000000"/>
              </w:rPr>
              <w:t>Other operating expenses</w:t>
            </w:r>
          </w:p>
        </w:tc>
        <w:tc>
          <w:tcPr>
            <w:cnfStyle w:val="000010000000" w:firstRow="0" w:lastRow="0" w:firstColumn="0" w:lastColumn="0" w:oddVBand="1" w:evenVBand="0" w:oddHBand="0" w:evenHBand="0" w:firstRowFirstColumn="0" w:firstRowLastColumn="0" w:lastRowFirstColumn="0" w:lastRowLastColumn="0"/>
            <w:tcW w:w="1161" w:type="dxa"/>
            <w:tcBorders>
              <w:bottom w:val="nil"/>
            </w:tcBorders>
          </w:tcPr>
          <w:p w:rsidR="00DF17E9" w:rsidRPr="00C12632" w:rsidRDefault="00DF17E9" w:rsidP="00044843">
            <w:pPr>
              <w:spacing w:after="0"/>
              <w:rPr>
                <w:color w:val="000000"/>
              </w:rPr>
            </w:pPr>
            <w:r w:rsidRPr="00C12632">
              <w:rPr>
                <w:color w:val="000000"/>
              </w:rPr>
              <w:t>17 905</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17 651</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F17E9" w:rsidRPr="00C12632" w:rsidRDefault="00DF17E9" w:rsidP="00044843">
            <w:pPr>
              <w:spacing w:after="0"/>
              <w:rPr>
                <w:color w:val="000000"/>
              </w:rPr>
            </w:pPr>
            <w:r w:rsidRPr="00C12632">
              <w:rPr>
                <w:color w:val="000000"/>
              </w:rPr>
              <w:t>5 031</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4 904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rsidR="00DF17E9" w:rsidRPr="00C12632" w:rsidRDefault="00DF17E9" w:rsidP="00044843">
            <w:pPr>
              <w:spacing w:after="0"/>
              <w:ind w:left="0" w:firstLine="0"/>
              <w:rPr>
                <w:color w:val="000000"/>
              </w:rPr>
            </w:pPr>
            <w:r w:rsidRPr="00C12632">
              <w:rPr>
                <w:color w:val="000000"/>
              </w:rPr>
              <w:t>Other property expenses</w:t>
            </w:r>
          </w:p>
        </w:tc>
        <w:tc>
          <w:tcPr>
            <w:cnfStyle w:val="000010000000" w:firstRow="0" w:lastRow="0" w:firstColumn="0" w:lastColumn="0" w:oddVBand="1" w:evenVBand="0" w:oddHBand="0" w:evenHBand="0" w:firstRowFirstColumn="0" w:firstRowLastColumn="0" w:lastRowFirstColumn="0" w:lastRowLastColumn="0"/>
            <w:tcW w:w="1161" w:type="dxa"/>
            <w:tcBorders>
              <w:bottom w:val="single" w:sz="6" w:space="0" w:color="auto"/>
            </w:tcBorders>
          </w:tcPr>
          <w:p w:rsidR="00DF17E9" w:rsidRPr="00C12632" w:rsidRDefault="00DF17E9" w:rsidP="00044843">
            <w:pPr>
              <w:spacing w:after="0"/>
              <w:rPr>
                <w:color w:val="000000"/>
              </w:rPr>
            </w:pPr>
            <w:r w:rsidRPr="00C12632">
              <w:rPr>
                <w:color w:val="000000"/>
              </w:rPr>
              <w:t>..</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6" w:space="0" w:color="auto"/>
            </w:tcBorders>
          </w:tcPr>
          <w:p w:rsidR="00DF17E9" w:rsidRPr="00C12632" w:rsidRDefault="00DF17E9" w:rsidP="00044843">
            <w:pPr>
              <w:spacing w:after="0"/>
            </w:pPr>
            <w:r w:rsidRPr="00C12632">
              <w:rPr>
                <w:color w:val="000000"/>
              </w:rPr>
              <w:t>432</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137</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rsidR="00DF17E9" w:rsidRPr="00C12632" w:rsidRDefault="00DF17E9" w:rsidP="00044843">
            <w:pPr>
              <w:spacing w:after="0"/>
              <w:ind w:left="0" w:firstLine="0"/>
              <w:rPr>
                <w:color w:val="000000"/>
              </w:rPr>
            </w:pPr>
            <w:r w:rsidRPr="00C12632">
              <w:rPr>
                <w:b/>
                <w:color w:val="000000"/>
              </w:rPr>
              <w:t>Total expenses from transactions</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54 052</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52 558</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10 219</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9 647</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12" w:space="0" w:color="auto"/>
            </w:tcBorders>
          </w:tcPr>
          <w:p w:rsidR="00DF17E9" w:rsidRPr="00C12632" w:rsidRDefault="00DF17E9" w:rsidP="00044843">
            <w:pPr>
              <w:spacing w:after="0"/>
              <w:ind w:left="0" w:firstLine="0"/>
              <w:rPr>
                <w:color w:val="000000"/>
              </w:rPr>
            </w:pPr>
            <w:r w:rsidRPr="00C12632">
              <w:rPr>
                <w:b/>
                <w:color w:val="000000"/>
              </w:rPr>
              <w:t xml:space="preserve">Net result from transactions – net operating balance </w:t>
            </w:r>
            <w:r w:rsidRPr="00C12632">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12" w:space="0" w:color="auto"/>
            </w:tcBorders>
          </w:tcPr>
          <w:p w:rsidR="00DF17E9" w:rsidRPr="00C12632" w:rsidRDefault="00DF17E9" w:rsidP="00044843">
            <w:pPr>
              <w:spacing w:after="0"/>
              <w:rPr>
                <w:color w:val="000000"/>
              </w:rPr>
            </w:pPr>
            <w:r w:rsidRPr="00C12632">
              <w:rPr>
                <w:b/>
                <w:color w:val="000000"/>
              </w:rPr>
              <w:t>2 664</w:t>
            </w:r>
          </w:p>
        </w:tc>
        <w:tc>
          <w:tcPr>
            <w:tcW w:w="102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1 214</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12" w:space="0" w:color="auto"/>
            </w:tcBorders>
          </w:tcPr>
          <w:p w:rsidR="00DF17E9" w:rsidRPr="00C12632" w:rsidRDefault="00DF17E9" w:rsidP="00044843">
            <w:pPr>
              <w:spacing w:after="0"/>
            </w:pPr>
            <w:r w:rsidRPr="00C12632">
              <w:rPr>
                <w:b/>
                <w:color w:val="000000"/>
              </w:rPr>
              <w:t>154</w:t>
            </w:r>
          </w:p>
        </w:tc>
        <w:tc>
          <w:tcPr>
            <w:tcW w:w="102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(162)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12" w:space="0" w:color="auto"/>
            </w:tcBorders>
          </w:tcPr>
          <w:p w:rsidR="00DF17E9" w:rsidRPr="00C12632" w:rsidRDefault="00DF17E9" w:rsidP="00044843">
            <w:pPr>
              <w:spacing w:after="0"/>
              <w:ind w:left="0" w:firstLine="0"/>
              <w:rPr>
                <w:color w:val="000000"/>
              </w:rPr>
            </w:pPr>
            <w:r w:rsidRPr="00C12632">
              <w:rPr>
                <w:b/>
                <w:color w:val="000000"/>
              </w:rPr>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61" w:type="dxa"/>
            <w:tcBorders>
              <w:top w:val="single" w:sz="12" w:space="0" w:color="auto"/>
            </w:tcBorders>
          </w:tcPr>
          <w:p w:rsidR="00DF17E9" w:rsidRPr="00C12632" w:rsidRDefault="00DF17E9" w:rsidP="00044843">
            <w:pPr>
              <w:spacing w:after="0"/>
              <w:rPr>
                <w:color w:val="000000"/>
              </w:rPr>
            </w:pPr>
            <w:r w:rsidRPr="00C12632">
              <w:rPr>
                <w:b/>
                <w:color w:val="000000"/>
              </w:rPr>
              <w:t xml:space="preserve"> </w:t>
            </w:r>
          </w:p>
        </w:tc>
        <w:tc>
          <w:tcPr>
            <w:tcW w:w="1020" w:type="dxa"/>
            <w:tcBorders>
              <w:top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Borders>
              <w:top w:val="single" w:sz="12" w:space="0" w:color="auto"/>
            </w:tcBorders>
          </w:tcPr>
          <w:p w:rsidR="00DF17E9" w:rsidRPr="00C12632" w:rsidRDefault="00DF17E9" w:rsidP="00044843">
            <w:pPr>
              <w:spacing w:after="0"/>
              <w:rPr>
                <w:color w:val="000000"/>
              </w:rPr>
            </w:pPr>
            <w:r w:rsidRPr="00C12632">
              <w:rPr>
                <w:b/>
                <w:color w:val="000000"/>
              </w:rPr>
              <w:t xml:space="preserve"> </w:t>
            </w:r>
          </w:p>
        </w:tc>
        <w:tc>
          <w:tcPr>
            <w:tcW w:w="1020" w:type="dxa"/>
            <w:tcBorders>
              <w:top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Net gain/(loss) on disposal of non-financial assets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(145)</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32</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(3)</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 xml:space="preserve">Net gain/(loss) on financial assets or liabilities at fair value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(10)</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53</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96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nil"/>
            </w:tcBorders>
          </w:tcPr>
          <w:p w:rsidR="00DF17E9" w:rsidRPr="00C12632" w:rsidRDefault="00DF17E9" w:rsidP="00044843">
            <w:pPr>
              <w:spacing w:after="0"/>
              <w:ind w:left="0" w:firstLine="0"/>
              <w:rPr>
                <w:color w:val="000000"/>
              </w:rPr>
            </w:pPr>
            <w:r w:rsidRPr="00C12632">
              <w:rPr>
                <w:color w:val="000000"/>
              </w:rPr>
              <w:t>Share of net profit/(loss) from associates/joint venture entities</w:t>
            </w:r>
          </w:p>
        </w:tc>
        <w:tc>
          <w:tcPr>
            <w:cnfStyle w:val="000010000000" w:firstRow="0" w:lastRow="0" w:firstColumn="0" w:lastColumn="0" w:oddVBand="1" w:evenVBand="0" w:oddHBand="0" w:evenHBand="0" w:firstRowFirstColumn="0" w:firstRowLastColumn="0" w:lastRowFirstColumn="0" w:lastRowLastColumn="0"/>
            <w:tcW w:w="1161" w:type="dxa"/>
            <w:tcBorders>
              <w:bottom w:val="nil"/>
            </w:tcBorders>
          </w:tcPr>
          <w:p w:rsidR="00DF17E9" w:rsidRPr="00C12632" w:rsidRDefault="00DF17E9" w:rsidP="00044843">
            <w:pPr>
              <w:spacing w:after="0"/>
            </w:pPr>
            <w:r w:rsidRPr="00C12632">
              <w:rPr>
                <w:color w:val="000000"/>
              </w:rPr>
              <w:t>(4)</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F17E9" w:rsidRPr="00C12632" w:rsidRDefault="00DF17E9" w:rsidP="00044843">
            <w:pPr>
              <w:spacing w:after="0"/>
            </w:pPr>
            <w:r w:rsidRPr="00C12632">
              <w:rPr>
                <w:color w:val="000000"/>
              </w:rPr>
              <w:t>(26)</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rsidR="00DF17E9" w:rsidRPr="00C12632" w:rsidRDefault="00DF17E9" w:rsidP="00044843">
            <w:pPr>
              <w:spacing w:after="0"/>
              <w:ind w:left="0" w:firstLine="0"/>
              <w:rPr>
                <w:color w:val="000000"/>
              </w:rPr>
            </w:pPr>
            <w:r w:rsidRPr="00C12632">
              <w:rPr>
                <w:color w:val="000000"/>
              </w:rP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1161" w:type="dxa"/>
            <w:tcBorders>
              <w:bottom w:val="single" w:sz="6" w:space="0" w:color="auto"/>
            </w:tcBorders>
          </w:tcPr>
          <w:p w:rsidR="00DF17E9" w:rsidRPr="00C12632" w:rsidRDefault="00DF17E9" w:rsidP="00044843">
            <w:pPr>
              <w:spacing w:after="0"/>
            </w:pPr>
            <w:r w:rsidRPr="00C12632">
              <w:rPr>
                <w:color w:val="000000"/>
              </w:rPr>
              <w:t>(688)</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(548)</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6" w:space="0" w:color="auto"/>
            </w:tcBorders>
          </w:tcPr>
          <w:p w:rsidR="00DF17E9" w:rsidRPr="00C12632" w:rsidRDefault="00DF17E9" w:rsidP="00044843">
            <w:pPr>
              <w:spacing w:after="0"/>
            </w:pPr>
            <w:r w:rsidRPr="00C12632">
              <w:rPr>
                <w:color w:val="000000"/>
              </w:rPr>
              <w:t>94</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116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rsidR="00DF17E9" w:rsidRPr="00C12632" w:rsidRDefault="00DF17E9" w:rsidP="00044843">
            <w:pPr>
              <w:spacing w:after="0"/>
              <w:ind w:left="0" w:firstLine="0"/>
              <w:rPr>
                <w:color w:val="000000"/>
              </w:rPr>
            </w:pPr>
            <w:r w:rsidRPr="00C12632">
              <w:rPr>
                <w:b/>
                <w:color w:val="000000"/>
              </w:rPr>
              <w:t xml:space="preserve">Total other economic flows included in net result </w:t>
            </w:r>
            <w:r w:rsidRPr="00C12632">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6" w:space="0" w:color="auto"/>
            </w:tcBorders>
          </w:tcPr>
          <w:p w:rsidR="00DF17E9" w:rsidRPr="00C12632" w:rsidRDefault="00DF17E9" w:rsidP="00044843">
            <w:pPr>
              <w:spacing w:after="0"/>
            </w:pPr>
            <w:r w:rsidRPr="00C12632">
              <w:rPr>
                <w:b/>
                <w:color w:val="000000"/>
              </w:rPr>
              <w:t>(847)</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(465)</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6" w:space="0" w:color="auto"/>
            </w:tcBorders>
          </w:tcPr>
          <w:p w:rsidR="00DF17E9" w:rsidRPr="00C12632" w:rsidRDefault="00DF17E9" w:rsidP="00044843">
            <w:pPr>
              <w:spacing w:after="0"/>
            </w:pPr>
            <w:r w:rsidRPr="00C12632">
              <w:rPr>
                <w:b/>
                <w:color w:val="000000"/>
              </w:rPr>
              <w:t>160</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112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rsidR="00DF17E9" w:rsidRPr="00C12632" w:rsidRDefault="00DF17E9" w:rsidP="00044843">
            <w:pPr>
              <w:spacing w:after="0"/>
              <w:ind w:left="0" w:firstLine="0"/>
              <w:rPr>
                <w:color w:val="000000"/>
              </w:rPr>
            </w:pPr>
            <w:r w:rsidRPr="00C12632">
              <w:rPr>
                <w:b/>
                <w:color w:val="000000"/>
              </w:rPr>
              <w:t>Net result</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1 817</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749</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6" w:space="0" w:color="auto"/>
            </w:tcBorders>
          </w:tcPr>
          <w:p w:rsidR="00DF17E9" w:rsidRPr="00C12632" w:rsidRDefault="00DF17E9" w:rsidP="00044843">
            <w:pPr>
              <w:spacing w:after="0"/>
            </w:pPr>
            <w:r w:rsidRPr="00C12632">
              <w:rPr>
                <w:b/>
                <w:color w:val="000000"/>
              </w:rPr>
              <w:t>314</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(50)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rsidR="00DF17E9" w:rsidRPr="00C12632" w:rsidRDefault="00DF17E9" w:rsidP="00044843">
            <w:pPr>
              <w:spacing w:after="0"/>
              <w:ind w:left="0" w:firstLine="0"/>
              <w:rPr>
                <w:color w:val="000000"/>
              </w:rPr>
            </w:pPr>
            <w:r w:rsidRPr="00C12632">
              <w:rPr>
                <w:b/>
                <w:color w:val="000000"/>
              </w:rPr>
              <w:t>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tcBorders>
          </w:tcPr>
          <w:p w:rsidR="00DF17E9" w:rsidRPr="00C12632" w:rsidRDefault="00DF17E9" w:rsidP="00044843">
            <w:pPr>
              <w:spacing w:after="0"/>
              <w:rPr>
                <w:color w:val="000000"/>
              </w:rPr>
            </w:pPr>
            <w:r w:rsidRPr="00C12632">
              <w:rPr>
                <w:b/>
                <w:color w:val="000000"/>
              </w:rPr>
              <w:t xml:space="preserve"> </w:t>
            </w:r>
          </w:p>
        </w:tc>
        <w:tc>
          <w:tcPr>
            <w:tcW w:w="1020"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tcBorders>
          </w:tcPr>
          <w:p w:rsidR="00DF17E9" w:rsidRPr="00C12632" w:rsidRDefault="00DF17E9" w:rsidP="00044843">
            <w:pPr>
              <w:spacing w:after="0"/>
              <w:rPr>
                <w:color w:val="000000"/>
              </w:rPr>
            </w:pPr>
            <w:r w:rsidRPr="00C12632">
              <w:rPr>
                <w:b/>
                <w:color w:val="000000"/>
              </w:rPr>
              <w:t xml:space="preserve"> </w:t>
            </w:r>
          </w:p>
        </w:tc>
        <w:tc>
          <w:tcPr>
            <w:tcW w:w="1020"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Items that will not be reclassified to net result</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Changes in non-financial assets revaluation surplus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6 236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2 524</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11 057</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3 862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Remeasurement of superannuation defined benefits plans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(3 220)</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551</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(25)</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 xml:space="preserve">Other movements in equity </w:t>
            </w:r>
            <w:r w:rsidRPr="00C12632">
              <w:rPr>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23</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(173)</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(216)</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Items that may be reclassified subsequently to net result</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nil"/>
            </w:tcBorders>
          </w:tcPr>
          <w:p w:rsidR="00DF17E9" w:rsidRPr="00C12632" w:rsidRDefault="00DF17E9" w:rsidP="00044843">
            <w:pPr>
              <w:spacing w:after="0"/>
              <w:ind w:left="0" w:firstLine="0"/>
              <w:rPr>
                <w:color w:val="000000"/>
              </w:rPr>
            </w:pPr>
            <w:r w:rsidRPr="00C12632">
              <w:rPr>
                <w:color w:val="000000"/>
              </w:rPr>
              <w:t>Net gain/(loss) on financial assets at fair value</w:t>
            </w:r>
          </w:p>
        </w:tc>
        <w:tc>
          <w:tcPr>
            <w:cnfStyle w:val="000010000000" w:firstRow="0" w:lastRow="0" w:firstColumn="0" w:lastColumn="0" w:oddVBand="1" w:evenVBand="0" w:oddHBand="0" w:evenHBand="0" w:firstRowFirstColumn="0" w:firstRowLastColumn="0" w:lastRowFirstColumn="0" w:lastRowLastColumn="0"/>
            <w:tcW w:w="1161" w:type="dxa"/>
            <w:tcBorders>
              <w:bottom w:val="nil"/>
            </w:tcBorders>
          </w:tcPr>
          <w:p w:rsidR="00DF17E9" w:rsidRPr="00C12632" w:rsidRDefault="00DF17E9" w:rsidP="00044843">
            <w:pPr>
              <w:spacing w:after="0"/>
            </w:pPr>
            <w:r w:rsidRPr="00C12632">
              <w:rPr>
                <w:color w:val="000000"/>
              </w:rPr>
              <w:t>(85)</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(45)</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F17E9" w:rsidRPr="00C12632" w:rsidRDefault="00DF17E9" w:rsidP="00044843">
            <w:pPr>
              <w:spacing w:after="0"/>
            </w:pPr>
            <w:r w:rsidRPr="00C12632">
              <w:rPr>
                <w:color w:val="000000"/>
              </w:rPr>
              <w:t>(25)</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rsidR="00DF17E9" w:rsidRPr="00C12632" w:rsidRDefault="00DF17E9" w:rsidP="00A432AC">
            <w:pPr>
              <w:spacing w:after="0"/>
              <w:ind w:left="113" w:hanging="113"/>
              <w:rPr>
                <w:color w:val="000000"/>
              </w:rPr>
            </w:pPr>
            <w:r w:rsidRPr="00C12632">
              <w:rPr>
                <w:color w:val="000000"/>
              </w:rPr>
              <w:t xml:space="preserve">Net gain/(loss) on equity investments in other sector entities at proportional share of the carrying amount of net assets </w:t>
            </w:r>
            <w:r w:rsidRPr="00C12632">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161" w:type="dxa"/>
            <w:tcBorders>
              <w:bottom w:val="single" w:sz="6" w:space="0" w:color="auto"/>
            </w:tcBorders>
          </w:tcPr>
          <w:p w:rsidR="00DF17E9" w:rsidRPr="00C12632" w:rsidRDefault="00DF17E9" w:rsidP="00044843">
            <w:pPr>
              <w:spacing w:after="0"/>
              <w:rPr>
                <w:color w:val="000000"/>
              </w:rPr>
            </w:pPr>
            <w:r w:rsidRPr="00C12632">
              <w:rPr>
                <w:color w:val="000000"/>
              </w:rPr>
              <w:t>10 533</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4 231</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6" w:space="0" w:color="auto"/>
            </w:tcBorders>
          </w:tcPr>
          <w:p w:rsidR="00DF17E9" w:rsidRPr="00C12632" w:rsidRDefault="00DF17E9" w:rsidP="00044843">
            <w:pPr>
              <w:spacing w:after="0"/>
              <w:rPr>
                <w:color w:val="000000"/>
              </w:rPr>
            </w:pPr>
            <w:r w:rsidRPr="00C12632">
              <w:rPr>
                <w:color w:val="000000"/>
              </w:rPr>
              <w:t>..</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rsidR="00DF17E9" w:rsidRPr="00C12632" w:rsidRDefault="00DF17E9" w:rsidP="00044843">
            <w:pPr>
              <w:spacing w:after="0"/>
              <w:ind w:left="0" w:firstLine="0"/>
              <w:rPr>
                <w:color w:val="000000"/>
              </w:rPr>
            </w:pPr>
            <w:r w:rsidRPr="00C12632">
              <w:rPr>
                <w:b/>
                <w:color w:val="000000"/>
              </w:rPr>
              <w:t xml:space="preserve">Total other economic flows – other comprehensive income </w:t>
            </w:r>
            <w:r w:rsidRPr="00C12632">
              <w:rPr>
                <w:b/>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13 486</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7 090</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10 791</w:t>
            </w:r>
          </w:p>
        </w:tc>
        <w:tc>
          <w:tcPr>
            <w:tcW w:w="102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3 901</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12" w:space="0" w:color="auto"/>
            </w:tcBorders>
          </w:tcPr>
          <w:p w:rsidR="00DF17E9" w:rsidRPr="00C12632" w:rsidRDefault="00DF17E9" w:rsidP="00044843">
            <w:pPr>
              <w:spacing w:after="0"/>
              <w:ind w:left="0" w:firstLine="0"/>
              <w:rPr>
                <w:color w:val="000000"/>
              </w:rPr>
            </w:pPr>
            <w:r w:rsidRPr="00C12632">
              <w:rPr>
                <w:b/>
                <w:color w:val="000000"/>
              </w:rPr>
              <w:t xml:space="preserve">Comprehensive result – total change in net worth </w:t>
            </w:r>
            <w:r w:rsidRPr="00C12632">
              <w:rPr>
                <w:b/>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12" w:space="0" w:color="auto"/>
            </w:tcBorders>
          </w:tcPr>
          <w:p w:rsidR="00DF17E9" w:rsidRPr="00C12632" w:rsidRDefault="00DF17E9" w:rsidP="00044843">
            <w:pPr>
              <w:spacing w:after="0"/>
              <w:rPr>
                <w:color w:val="000000"/>
              </w:rPr>
            </w:pPr>
            <w:r w:rsidRPr="00C12632">
              <w:rPr>
                <w:b/>
                <w:color w:val="000000"/>
              </w:rPr>
              <w:t>15 303</w:t>
            </w:r>
          </w:p>
        </w:tc>
        <w:tc>
          <w:tcPr>
            <w:tcW w:w="102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7 839</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12" w:space="0" w:color="auto"/>
            </w:tcBorders>
          </w:tcPr>
          <w:p w:rsidR="00DF17E9" w:rsidRPr="00C12632" w:rsidRDefault="00DF17E9" w:rsidP="00044843">
            <w:pPr>
              <w:spacing w:after="0"/>
              <w:rPr>
                <w:color w:val="000000"/>
              </w:rPr>
            </w:pPr>
            <w:r w:rsidRPr="00C12632">
              <w:rPr>
                <w:b/>
                <w:color w:val="000000"/>
              </w:rPr>
              <w:t>11 106</w:t>
            </w:r>
          </w:p>
        </w:tc>
        <w:tc>
          <w:tcPr>
            <w:tcW w:w="102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3 851</w:t>
            </w:r>
          </w:p>
        </w:tc>
      </w:tr>
      <w:tr w:rsidR="00DF17E9" w:rsidRPr="00C12632" w:rsidTr="00F81416">
        <w:trPr>
          <w:trHeight w:hRule="exact" w:val="120"/>
        </w:trPr>
        <w:tc>
          <w:tcPr>
            <w:cnfStyle w:val="001000000000" w:firstRow="0" w:lastRow="0" w:firstColumn="1" w:lastColumn="0" w:oddVBand="0" w:evenVBand="0" w:oddHBand="0" w:evenHBand="0" w:firstRowFirstColumn="0" w:firstRowLastColumn="0" w:lastRowFirstColumn="0" w:lastRowLastColumn="0"/>
            <w:tcW w:w="5416" w:type="dxa"/>
            <w:tcBorders>
              <w:top w:val="single" w:sz="12" w:space="0" w:color="auto"/>
            </w:tcBorders>
          </w:tcPr>
          <w:p w:rsidR="00DF17E9" w:rsidRPr="00C12632" w:rsidRDefault="00DF17E9" w:rsidP="00044843">
            <w:pPr>
              <w:spacing w:after="0"/>
              <w:ind w:left="0" w:firstLine="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61" w:type="dxa"/>
            <w:tcBorders>
              <w:top w:val="single" w:sz="12" w:space="0" w:color="auto"/>
            </w:tcBorders>
          </w:tcPr>
          <w:p w:rsidR="00DF17E9" w:rsidRPr="00C12632" w:rsidRDefault="00DF17E9" w:rsidP="00044843">
            <w:pPr>
              <w:spacing w:after="0"/>
              <w:jc w:val="left"/>
              <w:rPr>
                <w:color w:val="000000"/>
              </w:rPr>
            </w:pPr>
            <w:r w:rsidRPr="00C12632">
              <w:rPr>
                <w:color w:val="000000"/>
              </w:rPr>
              <w:t xml:space="preserve"> </w:t>
            </w:r>
          </w:p>
        </w:tc>
        <w:tc>
          <w:tcPr>
            <w:tcW w:w="1020" w:type="dxa"/>
            <w:tcBorders>
              <w:top w:val="single" w:sz="12" w:space="0" w:color="auto"/>
            </w:tcBorders>
          </w:tcPr>
          <w:p w:rsidR="00DF17E9" w:rsidRPr="00C12632"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Borders>
              <w:top w:val="single" w:sz="12" w:space="0" w:color="auto"/>
            </w:tcBorders>
          </w:tcPr>
          <w:p w:rsidR="00DF17E9" w:rsidRPr="00C12632" w:rsidRDefault="00DF17E9" w:rsidP="00044843">
            <w:pPr>
              <w:spacing w:after="0"/>
              <w:jc w:val="left"/>
              <w:rPr>
                <w:color w:val="000000"/>
              </w:rPr>
            </w:pPr>
            <w:r w:rsidRPr="00C12632">
              <w:rPr>
                <w:color w:val="000000"/>
              </w:rPr>
              <w:t xml:space="preserve"> </w:t>
            </w:r>
          </w:p>
        </w:tc>
        <w:tc>
          <w:tcPr>
            <w:tcW w:w="1020" w:type="dxa"/>
            <w:tcBorders>
              <w:top w:val="single" w:sz="12" w:space="0" w:color="auto"/>
            </w:tcBorders>
          </w:tcPr>
          <w:p w:rsidR="00DF17E9" w:rsidRPr="00C12632"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FISCAL AGGREGRATES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 xml:space="preserve">Net operating balance </w:t>
            </w:r>
            <w:r w:rsidRPr="00C12632">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2 664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1 214</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b/>
                <w:color w:val="000000"/>
              </w:rPr>
              <w:t>154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(162)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b/>
                <w:color w:val="000000"/>
              </w:rPr>
              <w:t>Net acquisition of non-financial assets from transactions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b/>
                <w:color w:val="000000"/>
              </w:rPr>
              <w:t xml:space="preserve"> </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 xml:space="preserve">Purchases of non-financial assets (including change in inventories) </w:t>
            </w:r>
            <w:r w:rsidRPr="00C12632">
              <w:rPr>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rPr>
                <w:color w:val="000000"/>
              </w:rPr>
            </w:pPr>
            <w:r w:rsidRPr="00C12632">
              <w:rPr>
                <w:color w:val="000000"/>
              </w:rPr>
              <w:t>4 452</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4 379</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rPr>
                <w:color w:val="000000"/>
              </w:rPr>
            </w:pPr>
            <w:r w:rsidRPr="00C12632">
              <w:rPr>
                <w:color w:val="000000"/>
              </w:rPr>
              <w:t>2 383</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2 209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Less: Sales of non-financial assets</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(190)</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(398)</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(263)</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(196)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Pr>
          <w:p w:rsidR="00DF17E9" w:rsidRPr="00C12632" w:rsidRDefault="00DF17E9" w:rsidP="00044843">
            <w:pPr>
              <w:spacing w:after="0"/>
              <w:ind w:left="0" w:firstLine="0"/>
              <w:rPr>
                <w:color w:val="000000"/>
              </w:rPr>
            </w:pPr>
            <w:r w:rsidRPr="00C12632">
              <w:rPr>
                <w:color w:val="000000"/>
              </w:rPr>
              <w:t>Less: Depreciation and amortisation</w:t>
            </w:r>
          </w:p>
        </w:tc>
        <w:tc>
          <w:tcPr>
            <w:cnfStyle w:val="000010000000" w:firstRow="0" w:lastRow="0" w:firstColumn="0" w:lastColumn="0" w:oddVBand="1" w:evenVBand="0" w:oddHBand="0" w:evenHBand="0" w:firstRowFirstColumn="0" w:firstRowLastColumn="0" w:lastRowFirstColumn="0" w:lastRowLastColumn="0"/>
            <w:tcW w:w="1161" w:type="dxa"/>
          </w:tcPr>
          <w:p w:rsidR="00DF17E9" w:rsidRPr="00C12632" w:rsidRDefault="00DF17E9" w:rsidP="00044843">
            <w:pPr>
              <w:spacing w:after="0"/>
            </w:pPr>
            <w:r w:rsidRPr="00C12632">
              <w:rPr>
                <w:color w:val="000000"/>
              </w:rPr>
              <w:t>(2 504)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(2 425)</w:t>
            </w:r>
          </w:p>
        </w:tc>
        <w:tc>
          <w:tcPr>
            <w:cnfStyle w:val="000010000000" w:firstRow="0" w:lastRow="0" w:firstColumn="0" w:lastColumn="0" w:oddVBand="1" w:evenVBand="0" w:oddHBand="0" w:evenHBand="0" w:firstRowFirstColumn="0" w:firstRowLastColumn="0" w:lastRowFirstColumn="0" w:lastRowLastColumn="0"/>
            <w:tcW w:w="1020" w:type="dxa"/>
          </w:tcPr>
          <w:p w:rsidR="00DF17E9" w:rsidRPr="00C12632" w:rsidRDefault="00DF17E9" w:rsidP="00044843">
            <w:pPr>
              <w:spacing w:after="0"/>
            </w:pPr>
            <w:r w:rsidRPr="00C12632">
              <w:rPr>
                <w:color w:val="000000"/>
              </w:rPr>
              <w:t>(2 154)</w:t>
            </w:r>
          </w:p>
        </w:tc>
        <w:tc>
          <w:tcPr>
            <w:tcW w:w="102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(1 978)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nil"/>
            </w:tcBorders>
          </w:tcPr>
          <w:p w:rsidR="00DF17E9" w:rsidRPr="00C12632" w:rsidRDefault="00DF17E9" w:rsidP="00044843">
            <w:pPr>
              <w:spacing w:after="0"/>
              <w:ind w:left="0" w:firstLine="0"/>
              <w:rPr>
                <w:color w:val="000000"/>
              </w:rPr>
            </w:pPr>
            <w:r w:rsidRPr="00C12632">
              <w:rPr>
                <w:color w:val="000000"/>
              </w:rPr>
              <w:t>Plus: Other movements in non-financial assets</w:t>
            </w:r>
          </w:p>
        </w:tc>
        <w:tc>
          <w:tcPr>
            <w:cnfStyle w:val="000010000000" w:firstRow="0" w:lastRow="0" w:firstColumn="0" w:lastColumn="0" w:oddVBand="1" w:evenVBand="0" w:oddHBand="0" w:evenHBand="0" w:firstRowFirstColumn="0" w:firstRowLastColumn="0" w:lastRowFirstColumn="0" w:lastRowLastColumn="0"/>
            <w:tcW w:w="1161" w:type="dxa"/>
            <w:tcBorders>
              <w:bottom w:val="nil"/>
            </w:tcBorders>
          </w:tcPr>
          <w:p w:rsidR="00DF17E9" w:rsidRPr="00C12632" w:rsidRDefault="00DF17E9" w:rsidP="00044843">
            <w:pPr>
              <w:spacing w:after="0"/>
            </w:pPr>
            <w:r w:rsidRPr="00C12632">
              <w:rPr>
                <w:color w:val="000000"/>
              </w:rPr>
              <w:t>(970)</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(1 278)</w:t>
            </w:r>
          </w:p>
        </w:tc>
        <w:tc>
          <w:tcPr>
            <w:cnfStyle w:val="000010000000" w:firstRow="0" w:lastRow="0" w:firstColumn="0" w:lastColumn="0" w:oddVBand="1" w:evenVBand="0" w:oddHBand="0" w:evenHBand="0" w:firstRowFirstColumn="0" w:firstRowLastColumn="0" w:lastRowFirstColumn="0" w:lastRowLastColumn="0"/>
            <w:tcW w:w="1020" w:type="dxa"/>
            <w:tcBorders>
              <w:bottom w:val="nil"/>
            </w:tcBorders>
          </w:tcPr>
          <w:p w:rsidR="00DF17E9" w:rsidRPr="00C12632" w:rsidRDefault="00DF17E9" w:rsidP="00044843">
            <w:pPr>
              <w:spacing w:after="0"/>
              <w:rPr>
                <w:color w:val="000000"/>
              </w:rPr>
            </w:pPr>
            <w:r w:rsidRPr="00C12632">
              <w:rPr>
                <w:color w:val="000000"/>
              </w:rPr>
              <w:t>2 172</w:t>
            </w:r>
          </w:p>
        </w:tc>
        <w:tc>
          <w:tcPr>
            <w:tcW w:w="102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1 519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rsidR="00DF17E9" w:rsidRPr="00C12632" w:rsidRDefault="00DF17E9" w:rsidP="00044843">
            <w:pPr>
              <w:spacing w:after="0"/>
              <w:ind w:left="0" w:firstLine="0"/>
              <w:rPr>
                <w:color w:val="000000"/>
              </w:rPr>
            </w:pPr>
            <w:r w:rsidRPr="00C12632">
              <w:rPr>
                <w:b/>
                <w:color w:val="000000"/>
              </w:rPr>
              <w:t xml:space="preserve">Less: Net acquisition of non-financial assets from transactions </w:t>
            </w:r>
            <w:r w:rsidRPr="00C12632">
              <w:rPr>
                <w:b/>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1161" w:type="dxa"/>
            <w:tcBorders>
              <w:bottom w:val="single" w:sz="6" w:space="0" w:color="auto"/>
            </w:tcBorders>
          </w:tcPr>
          <w:p w:rsidR="00DF17E9" w:rsidRPr="00C12632" w:rsidRDefault="00DF17E9" w:rsidP="00044843">
            <w:pPr>
              <w:spacing w:after="0"/>
            </w:pPr>
            <w:r w:rsidRPr="00C12632">
              <w:rPr>
                <w:b/>
                <w:color w:val="000000"/>
              </w:rPr>
              <w:t>788</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277</w:t>
            </w:r>
          </w:p>
        </w:tc>
        <w:tc>
          <w:tcPr>
            <w:cnfStyle w:val="000010000000" w:firstRow="0" w:lastRow="0" w:firstColumn="0" w:lastColumn="0" w:oddVBand="1" w:evenVBand="0" w:oddHBand="0" w:evenHBand="0" w:firstRowFirstColumn="0" w:firstRowLastColumn="0" w:lastRowFirstColumn="0" w:lastRowLastColumn="0"/>
            <w:tcW w:w="1020" w:type="dxa"/>
            <w:tcBorders>
              <w:bottom w:val="single" w:sz="6" w:space="0" w:color="auto"/>
            </w:tcBorders>
          </w:tcPr>
          <w:p w:rsidR="00DF17E9" w:rsidRPr="00C12632" w:rsidRDefault="00DF17E9" w:rsidP="00044843">
            <w:pPr>
              <w:spacing w:after="0"/>
              <w:rPr>
                <w:color w:val="000000"/>
              </w:rPr>
            </w:pPr>
            <w:r w:rsidRPr="00C12632">
              <w:rPr>
                <w:b/>
                <w:color w:val="000000"/>
              </w:rPr>
              <w:t>2 138</w:t>
            </w:r>
          </w:p>
        </w:tc>
        <w:tc>
          <w:tcPr>
            <w:tcW w:w="102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1 554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12" w:space="0" w:color="auto"/>
            </w:tcBorders>
          </w:tcPr>
          <w:p w:rsidR="00DF17E9" w:rsidRPr="00C12632" w:rsidRDefault="00DF17E9" w:rsidP="00044843">
            <w:pPr>
              <w:spacing w:after="0"/>
              <w:ind w:left="0" w:firstLine="0"/>
              <w:rPr>
                <w:color w:val="000000"/>
              </w:rPr>
            </w:pPr>
            <w:r w:rsidRPr="00C12632">
              <w:rPr>
                <w:b/>
                <w:color w:val="000000"/>
              </w:rPr>
              <w:t xml:space="preserve">Net lending/(borrowing) </w:t>
            </w:r>
            <w:r w:rsidRPr="00C12632">
              <w:rPr>
                <w:b/>
                <w:color w:val="000000"/>
                <w:vertAlign w:val="superscript"/>
              </w:rPr>
              <w:t>(a)(c)(d)</w:t>
            </w:r>
          </w:p>
        </w:tc>
        <w:tc>
          <w:tcPr>
            <w:cnfStyle w:val="000010000000" w:firstRow="0" w:lastRow="0" w:firstColumn="0" w:lastColumn="0" w:oddVBand="1" w:evenVBand="0" w:oddHBand="0" w:evenHBand="0" w:firstRowFirstColumn="0" w:firstRowLastColumn="0" w:lastRowFirstColumn="0" w:lastRowLastColumn="0"/>
            <w:tcW w:w="1161" w:type="dxa"/>
            <w:tcBorders>
              <w:top w:val="single" w:sz="6" w:space="0" w:color="auto"/>
              <w:bottom w:val="single" w:sz="12" w:space="0" w:color="auto"/>
            </w:tcBorders>
          </w:tcPr>
          <w:p w:rsidR="00DF17E9" w:rsidRPr="00C12632" w:rsidRDefault="00DF17E9" w:rsidP="00044843">
            <w:pPr>
              <w:spacing w:after="0"/>
              <w:rPr>
                <w:color w:val="000000"/>
              </w:rPr>
            </w:pPr>
            <w:r w:rsidRPr="00C12632">
              <w:rPr>
                <w:b/>
                <w:color w:val="000000"/>
              </w:rPr>
              <w:t>1 876</w:t>
            </w:r>
          </w:p>
        </w:tc>
        <w:tc>
          <w:tcPr>
            <w:tcW w:w="102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937</w:t>
            </w:r>
          </w:p>
        </w:tc>
        <w:tc>
          <w:tcPr>
            <w:cnfStyle w:val="000010000000" w:firstRow="0" w:lastRow="0" w:firstColumn="0" w:lastColumn="0" w:oddVBand="1" w:evenVBand="0" w:oddHBand="0" w:evenHBand="0" w:firstRowFirstColumn="0" w:firstRowLastColumn="0" w:lastRowFirstColumn="0" w:lastRowLastColumn="0"/>
            <w:tcW w:w="1020" w:type="dxa"/>
            <w:tcBorders>
              <w:top w:val="single" w:sz="6" w:space="0" w:color="auto"/>
              <w:bottom w:val="single" w:sz="12" w:space="0" w:color="auto"/>
            </w:tcBorders>
          </w:tcPr>
          <w:p w:rsidR="00DF17E9" w:rsidRPr="00C12632" w:rsidRDefault="00DF17E9" w:rsidP="00044843">
            <w:pPr>
              <w:spacing w:after="0"/>
            </w:pPr>
            <w:r w:rsidRPr="00C12632">
              <w:rPr>
                <w:b/>
                <w:color w:val="000000"/>
              </w:rPr>
              <w:t>(1 984)</w:t>
            </w:r>
          </w:p>
        </w:tc>
        <w:tc>
          <w:tcPr>
            <w:tcW w:w="102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(1 716)</w:t>
            </w:r>
          </w:p>
        </w:tc>
      </w:tr>
    </w:tbl>
    <w:p w:rsidR="00DF17E9" w:rsidRDefault="00DF17E9" w:rsidP="00044843">
      <w:pPr>
        <w:pStyle w:val="Note"/>
      </w:pPr>
      <w:r>
        <w:t>Notes:</w:t>
      </w:r>
    </w:p>
    <w:p w:rsidR="00DF17E9" w:rsidRDefault="00DF17E9" w:rsidP="00044843">
      <w:pPr>
        <w:pStyle w:val="Note"/>
      </w:pPr>
      <w:r w:rsidRPr="002B2F27">
        <w:t>(a)</w:t>
      </w:r>
      <w:r w:rsidRPr="002B2F27">
        <w:tab/>
      </w:r>
      <w:r w:rsidRPr="00C8331E">
        <w:t>June 2015 comparative figures have been restated to more consistently reflect the classification of insurance entities' investment income between years.</w:t>
      </w:r>
    </w:p>
    <w:p w:rsidR="00DF17E9" w:rsidRPr="002B2F27" w:rsidRDefault="00DF17E9" w:rsidP="00044843">
      <w:pPr>
        <w:pStyle w:val="Note"/>
      </w:pPr>
      <w:r>
        <w:t>(b)</w:t>
      </w:r>
      <w:r>
        <w:tab/>
        <w:t>On 28 July 2016, the Director of Housing transferred, from the PNFC sector, title of approximately 500 Director owned properties valued at approximately $202m to Aboriginal Housing Victoria. The transfer of property titles at zero cash consideration is underpinned by the principle of self-determination. This will assist Aboriginal Housing Victoria to provide culturally appropriate social housing for Aboriginal Victorians and to develop innovative solutions to promote socioeconomic independence among Aboriginal Victorians.</w:t>
      </w:r>
    </w:p>
    <w:p w:rsidR="00DF17E9" w:rsidRPr="002B2F27" w:rsidRDefault="00DF17E9" w:rsidP="00044843">
      <w:pPr>
        <w:pStyle w:val="Note"/>
      </w:pPr>
      <w:r>
        <w:t>(c</w:t>
      </w:r>
      <w:r w:rsidRPr="002B2F27">
        <w:t>)</w:t>
      </w:r>
      <w:r w:rsidRPr="002B2F27">
        <w:tab/>
      </w:r>
      <w:r w:rsidRPr="00C8331E">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(d</w:t>
      </w:r>
      <w:r w:rsidRPr="002B2F27">
        <w:t>)</w:t>
      </w:r>
      <w:r w:rsidRPr="002B2F27">
        <w:tab/>
      </w:r>
      <w:r w:rsidRPr="00C8331E">
        <w:t>June 2015 comparative figures have been restated to finalise the allocation of equity balances between contributed capital and accumulated funds related to prior year machinery of government changes</w:t>
      </w:r>
      <w:r w:rsidRPr="002B2F27">
        <w:t>.</w:t>
      </w:r>
      <w:r>
        <w:br w:type="page"/>
      </w:r>
    </w:p>
    <w:p w:rsidR="00DF17E9" w:rsidRPr="001C3454" w:rsidRDefault="00DF17E9" w:rsidP="00044843">
      <w:pPr>
        <w:pageBreakBefore/>
        <w:rPr>
          <w:rFonts w:asciiTheme="majorHAnsi" w:hAnsiTheme="majorHAnsi"/>
          <w:sz w:val="24"/>
        </w:rPr>
      </w:pPr>
      <w:r w:rsidRPr="001C3454">
        <w:rPr>
          <w:rFonts w:asciiTheme="majorHAnsi" w:hAnsiTheme="majorHAnsi"/>
          <w:sz w:val="24"/>
        </w:rPr>
        <w:lastRenderedPageBreak/>
        <w:t xml:space="preserve"> </w:t>
      </w:r>
    </w:p>
    <w:p w:rsidR="00DF17E9" w:rsidRDefault="00DF17E9" w:rsidP="00044843">
      <w:pPr>
        <w:pStyle w:val="Subheading"/>
      </w:pPr>
    </w:p>
    <w:tbl>
      <w:tblPr>
        <w:tblStyle w:val="TableDTFGeneral"/>
        <w:tblW w:w="9636" w:type="dxa"/>
        <w:tblLayout w:type="fixed"/>
        <w:tblLook w:val="0220" w:firstRow="1" w:lastRow="0" w:firstColumn="0" w:lastColumn="0" w:noHBand="1" w:noVBand="0"/>
      </w:tblPr>
      <w:tblGrid>
        <w:gridCol w:w="1604"/>
        <w:gridCol w:w="1604"/>
        <w:gridCol w:w="6"/>
        <w:gridCol w:w="1598"/>
        <w:gridCol w:w="1604"/>
        <w:gridCol w:w="12"/>
        <w:gridCol w:w="1592"/>
        <w:gridCol w:w="1610"/>
        <w:gridCol w:w="6"/>
      </w:tblGrid>
      <w:tr w:rsidR="00A432AC" w:rsidRPr="00C12632" w:rsidTr="00A432A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214" w:type="dxa"/>
            <w:gridSpan w:val="3"/>
          </w:tcPr>
          <w:p w:rsidR="00A432AC" w:rsidRPr="00C12632" w:rsidRDefault="00A432AC" w:rsidP="00A432AC">
            <w:pPr>
              <w:spacing w:after="0"/>
              <w:jc w:val="center"/>
              <w:rPr>
                <w:color w:val="FFFFFF"/>
              </w:rPr>
            </w:pPr>
            <w:r w:rsidRPr="00C12632">
              <w:rPr>
                <w:color w:val="FFFFFF"/>
              </w:rPr>
              <w:t xml:space="preserve">Public financial </w:t>
            </w:r>
            <w:r w:rsidRPr="00C12632">
              <w:rPr>
                <w:color w:val="FFFFFF"/>
              </w:rPr>
              <w:br/>
              <w:t>corporations</w:t>
            </w:r>
          </w:p>
        </w:tc>
        <w:tc>
          <w:tcPr>
            <w:tcW w:w="3214" w:type="dxa"/>
            <w:gridSpan w:val="3"/>
          </w:tcPr>
          <w:p w:rsidR="00A432AC" w:rsidRPr="00C12632" w:rsidRDefault="00A432AC" w:rsidP="00A432AC">
            <w:pPr>
              <w:spacing w:after="0"/>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Inter-sector </w:t>
            </w:r>
            <w:r w:rsidRPr="00C12632">
              <w:rPr>
                <w:color w:val="FFFFFF"/>
              </w:rPr>
              <w:br/>
              <w:t>eliminations</w:t>
            </w:r>
          </w:p>
        </w:tc>
        <w:tc>
          <w:tcPr>
            <w:cnfStyle w:val="000010000000" w:firstRow="0" w:lastRow="0" w:firstColumn="0" w:lastColumn="0" w:oddVBand="1" w:evenVBand="0" w:oddHBand="0" w:evenHBand="0" w:firstRowFirstColumn="0" w:firstRowLastColumn="0" w:lastRowFirstColumn="0" w:lastRowLastColumn="0"/>
            <w:tcW w:w="3208" w:type="dxa"/>
            <w:gridSpan w:val="3"/>
          </w:tcPr>
          <w:p w:rsidR="00A432AC" w:rsidRPr="00C12632" w:rsidRDefault="00A432AC" w:rsidP="00A432AC">
            <w:pPr>
              <w:spacing w:after="0"/>
              <w:jc w:val="center"/>
              <w:rPr>
                <w:color w:val="FFFFFF"/>
              </w:rPr>
            </w:pPr>
            <w:r w:rsidRPr="00C12632">
              <w:rPr>
                <w:color w:val="FFFFFF"/>
              </w:rPr>
              <w:t xml:space="preserve">State of </w:t>
            </w:r>
            <w:r w:rsidRPr="00C12632">
              <w:rPr>
                <w:color w:val="FFFFFF"/>
              </w:rPr>
              <w:br/>
              <w:t>Victoria</w:t>
            </w:r>
          </w:p>
        </w:tc>
      </w:tr>
      <w:tr w:rsidR="00DF17E9" w:rsidRPr="00C12632" w:rsidTr="00D35D11">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rPr>
                <w:color w:val="FFFFFF"/>
              </w:rPr>
            </w:pPr>
            <w:r w:rsidRPr="00C12632">
              <w:rPr>
                <w:color w:val="FFFFFF"/>
              </w:rPr>
              <w:t>2016</w:t>
            </w:r>
          </w:p>
        </w:tc>
        <w:tc>
          <w:tcPr>
            <w:tcW w:w="1604" w:type="dxa"/>
          </w:tcPr>
          <w:p w:rsidR="00DF17E9" w:rsidRPr="00C12632"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FFFFFF"/>
              </w:rPr>
            </w:pPr>
            <w:r w:rsidRPr="00C12632">
              <w:rPr>
                <w:color w:val="FFFFFF"/>
              </w:rPr>
              <w:t>2016</w:t>
            </w:r>
          </w:p>
        </w:tc>
        <w:tc>
          <w:tcPr>
            <w:tcW w:w="1604" w:type="dxa"/>
          </w:tcPr>
          <w:p w:rsidR="00DF17E9" w:rsidRPr="00C12632"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FFFFFF"/>
              </w:rPr>
            </w:pPr>
            <w:r w:rsidRPr="00C12632">
              <w:rPr>
                <w:color w:val="FFFFFF"/>
              </w:rPr>
              <w:t>2016</w:t>
            </w:r>
          </w:p>
        </w:tc>
        <w:tc>
          <w:tcPr>
            <w:tcW w:w="1610" w:type="dxa"/>
          </w:tcPr>
          <w:p w:rsidR="00DF17E9" w:rsidRPr="00C12632" w:rsidRDefault="00DF17E9" w:rsidP="00044843">
            <w:pPr>
              <w:spacing w:after="0"/>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(450)</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(403)</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19 446</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17 936</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2 170</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2 425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(2 342)</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(2 443)</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651</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855</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1 111</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724</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(823)</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(1 094)</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1 159</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768</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4 224</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4 020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(2 796)</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(2 614)</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14 324</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13 906</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spacing w:after="0"/>
              <w:ind w:left="113" w:hanging="113"/>
              <w:rPr>
                <w:color w:val="000000"/>
              </w:rPr>
            </w:pPr>
            <w:r w:rsidRPr="00C12632">
              <w:rPr>
                <w:color w:val="000000"/>
              </w:rPr>
              <w:t>..</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pPr>
            <w:r w:rsidRPr="00C12632">
              <w:rPr>
                <w:color w:val="000000"/>
              </w:rPr>
              <w:t>(3 176)</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(2 911)</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rPr>
                <w:color w:val="000000"/>
              </w:rPr>
            </w:pPr>
            <w:r w:rsidRPr="00C12632">
              <w:rPr>
                <w:color w:val="000000"/>
              </w:rPr>
              <w:t>25 241</w:t>
            </w:r>
          </w:p>
        </w:tc>
        <w:tc>
          <w:tcPr>
            <w:tcW w:w="161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24 377</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spacing w:after="0"/>
              <w:ind w:left="113" w:hanging="113"/>
            </w:pPr>
            <w:r w:rsidRPr="00C12632">
              <w:rPr>
                <w:color w:val="000000"/>
              </w:rPr>
              <w:t xml:space="preserve"> 22</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21</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pPr>
            <w:r w:rsidRPr="00C12632">
              <w:rPr>
                <w:color w:val="000000"/>
              </w:rPr>
              <w:t>(370)</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(53)</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rPr>
                <w:color w:val="000000"/>
              </w:rPr>
            </w:pPr>
            <w:r w:rsidRPr="00C12632">
              <w:rPr>
                <w:color w:val="000000"/>
              </w:rPr>
              <w:t>3 835</w:t>
            </w:r>
          </w:p>
        </w:tc>
        <w:tc>
          <w:tcPr>
            <w:tcW w:w="161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3 088</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tcBorders>
          </w:tcPr>
          <w:p w:rsidR="00DF17E9" w:rsidRPr="00C12632" w:rsidRDefault="00DF17E9" w:rsidP="00044843">
            <w:pPr>
              <w:spacing w:after="0"/>
              <w:ind w:left="113" w:hanging="113"/>
              <w:rPr>
                <w:color w:val="000000"/>
              </w:rPr>
            </w:pPr>
            <w:r w:rsidRPr="00C12632">
              <w:rPr>
                <w:b/>
                <w:color w:val="000000"/>
              </w:rPr>
              <w:t>7 526</w:t>
            </w:r>
          </w:p>
        </w:tc>
        <w:tc>
          <w:tcPr>
            <w:tcW w:w="1604"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7 189</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spacing w:after="0"/>
            </w:pPr>
            <w:r w:rsidRPr="00C12632">
              <w:rPr>
                <w:b/>
                <w:color w:val="000000"/>
              </w:rPr>
              <w:t>(9 958)</w:t>
            </w:r>
          </w:p>
        </w:tc>
        <w:tc>
          <w:tcPr>
            <w:tcW w:w="1604"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(9 517)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spacing w:after="0"/>
              <w:rPr>
                <w:color w:val="000000"/>
              </w:rPr>
            </w:pPr>
            <w:r w:rsidRPr="00C12632">
              <w:rPr>
                <w:b/>
                <w:color w:val="000000"/>
              </w:rPr>
              <w:t>64 657</w:t>
            </w:r>
          </w:p>
        </w:tc>
        <w:tc>
          <w:tcPr>
            <w:tcW w:w="1610"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60 929</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pPr>
            <w:r w:rsidRPr="00C12632">
              <w:rPr>
                <w:color w:val="000000"/>
              </w:rPr>
              <w:t xml:space="preserve"> 291</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277</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(384)</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(354)</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21 066</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19 834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880</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1 041</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pPr>
            <w:r w:rsidRPr="00C12632">
              <w:rPr>
                <w:color w:val="000000"/>
              </w:rPr>
              <w:t xml:space="preserve"> 24</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23</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2 254</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2 103</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pPr>
            <w:r w:rsidRPr="00C12632">
              <w:rPr>
                <w:color w:val="000000"/>
              </w:rPr>
              <w:t xml:space="preserve"> 48</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4 706</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4 454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1 950</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2 032</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(2 342)</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(2 443)</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2 730</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2 867</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pPr>
            <w:r w:rsidRPr="00C12632">
              <w:rPr>
                <w:color w:val="000000"/>
              </w:rPr>
              <w:t xml:space="preserve"> 89</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(3 286)</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(2 977)</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5 657</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5 822</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spacing w:after="0"/>
              <w:ind w:left="113" w:hanging="113"/>
              <w:rPr>
                <w:color w:val="000000"/>
              </w:rPr>
            </w:pPr>
            <w:r w:rsidRPr="00C12632">
              <w:rPr>
                <w:color w:val="000000"/>
              </w:rPr>
              <w:t>5 907</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5 639</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pPr>
            <w:r w:rsidRPr="00C12632">
              <w:rPr>
                <w:color w:val="000000"/>
              </w:rPr>
              <w:t>(3 123)</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(2 649)</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rPr>
                <w:color w:val="000000"/>
              </w:rPr>
            </w:pPr>
            <w:r w:rsidRPr="00C12632">
              <w:rPr>
                <w:color w:val="000000"/>
              </w:rPr>
              <w:t>25 720</w:t>
            </w:r>
          </w:p>
        </w:tc>
        <w:tc>
          <w:tcPr>
            <w:tcW w:w="161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25 544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spacing w:after="0"/>
              <w:ind w:left="113" w:hanging="113"/>
            </w:pPr>
            <w:r w:rsidRPr="00C12632">
              <w:rPr>
                <w:color w:val="000000"/>
              </w:rPr>
              <w:t xml:space="preserve"> 15</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187</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pPr>
            <w:r w:rsidRPr="00C12632">
              <w:rPr>
                <w:color w:val="000000"/>
              </w:rPr>
              <w:t>(447)</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(323)</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rPr>
                <w:color w:val="000000"/>
              </w:rPr>
            </w:pPr>
            <w:r w:rsidRPr="00C12632">
              <w:rPr>
                <w:color w:val="000000"/>
              </w:rPr>
              <w:t>..</w:t>
            </w:r>
          </w:p>
        </w:tc>
        <w:tc>
          <w:tcPr>
            <w:tcW w:w="161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C12632" w:rsidRDefault="00DF17E9" w:rsidP="00044843">
            <w:pPr>
              <w:spacing w:after="0"/>
              <w:ind w:left="113" w:hanging="113"/>
              <w:rPr>
                <w:color w:val="000000"/>
              </w:rPr>
            </w:pPr>
            <w:r w:rsidRPr="00C12632">
              <w:rPr>
                <w:b/>
                <w:color w:val="000000"/>
              </w:rPr>
              <w:t>8 323</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8 207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pPr>
            <w:r w:rsidRPr="00C12632">
              <w:rPr>
                <w:b/>
                <w:color w:val="000000"/>
              </w:rPr>
              <w:t>(9 581)</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(8 747)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63 012</w:t>
            </w:r>
          </w:p>
        </w:tc>
        <w:tc>
          <w:tcPr>
            <w:tcW w:w="161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61 665</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12" w:space="0" w:color="auto"/>
            </w:tcBorders>
          </w:tcPr>
          <w:p w:rsidR="00DF17E9" w:rsidRPr="00C12632" w:rsidRDefault="00DF17E9" w:rsidP="00D35D11">
            <w:pPr>
              <w:spacing w:after="0"/>
              <w:ind w:left="113" w:hanging="113"/>
              <w:rPr>
                <w:b/>
              </w:rPr>
            </w:pPr>
            <w:r w:rsidRPr="00C12632">
              <w:rPr>
                <w:b/>
                <w:color w:val="000000"/>
              </w:rPr>
              <w:t xml:space="preserve"> (797</w:t>
            </w:r>
            <w:r w:rsidRPr="00C12632">
              <w:rPr>
                <w:b/>
              </w:rPr>
              <w:t>)</w:t>
            </w:r>
          </w:p>
        </w:tc>
        <w:tc>
          <w:tcPr>
            <w:tcW w:w="1604"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(1 017)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spacing w:after="0"/>
            </w:pPr>
            <w:r w:rsidRPr="00C12632">
              <w:rPr>
                <w:b/>
                <w:color w:val="000000"/>
              </w:rPr>
              <w:t>(376)</w:t>
            </w:r>
          </w:p>
        </w:tc>
        <w:tc>
          <w:tcPr>
            <w:tcW w:w="1604"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(770)</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spacing w:after="0"/>
              <w:rPr>
                <w:color w:val="000000"/>
              </w:rPr>
            </w:pPr>
            <w:r w:rsidRPr="00C12632">
              <w:rPr>
                <w:b/>
                <w:color w:val="000000"/>
              </w:rPr>
              <w:t>1 645</w:t>
            </w:r>
          </w:p>
        </w:tc>
        <w:tc>
          <w:tcPr>
            <w:tcW w:w="161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(736)</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12" w:space="0" w:color="auto"/>
            </w:tcBorders>
          </w:tcPr>
          <w:p w:rsidR="00DF17E9" w:rsidRPr="00C12632" w:rsidRDefault="00DF17E9" w:rsidP="00044843">
            <w:pPr>
              <w:spacing w:after="0"/>
              <w:ind w:left="113" w:hanging="113"/>
              <w:rPr>
                <w:color w:val="000000"/>
              </w:rPr>
            </w:pPr>
            <w:r w:rsidRPr="00C12632">
              <w:rPr>
                <w:b/>
                <w:color w:val="000000"/>
              </w:rPr>
              <w:t xml:space="preserve"> </w:t>
            </w:r>
          </w:p>
        </w:tc>
        <w:tc>
          <w:tcPr>
            <w:tcW w:w="1604" w:type="dxa"/>
            <w:tcBorders>
              <w:top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spacing w:after="0"/>
              <w:rPr>
                <w:color w:val="000000"/>
              </w:rPr>
            </w:pPr>
            <w:r w:rsidRPr="00C12632">
              <w:rPr>
                <w:b/>
                <w:color w:val="000000"/>
              </w:rPr>
              <w:t xml:space="preserve"> </w:t>
            </w:r>
          </w:p>
        </w:tc>
        <w:tc>
          <w:tcPr>
            <w:tcW w:w="1604" w:type="dxa"/>
            <w:tcBorders>
              <w:top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spacing w:after="0"/>
              <w:rPr>
                <w:color w:val="000000"/>
              </w:rPr>
            </w:pPr>
            <w:r w:rsidRPr="00C12632">
              <w:rPr>
                <w:b/>
                <w:color w:val="000000"/>
              </w:rPr>
              <w:t xml:space="preserve"> </w:t>
            </w:r>
          </w:p>
        </w:tc>
        <w:tc>
          <w:tcPr>
            <w:tcW w:w="1610" w:type="dxa"/>
            <w:tcBorders>
              <w:top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35D11" w:rsidP="00044843">
            <w:pPr>
              <w:spacing w:after="0"/>
              <w:ind w:left="113" w:hanging="113"/>
            </w:pPr>
            <w: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(148)</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9</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pPr>
            <w:r w:rsidRPr="00C12632">
              <w:rPr>
                <w:color w:val="000000"/>
              </w:rPr>
              <w:t>(1 554)</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1 273</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(1 468)</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1 354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spacing w:after="0"/>
              <w:ind w:left="113" w:hanging="113"/>
              <w:rPr>
                <w:color w:val="000000"/>
              </w:rPr>
            </w:pPr>
            <w:r w:rsidRPr="00C12632">
              <w:rPr>
                <w:color w:val="000000"/>
              </w:rPr>
              <w:t>..</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pPr>
            <w:r w:rsidRPr="00C12632">
              <w:rPr>
                <w:color w:val="000000"/>
              </w:rPr>
              <w:t>(42)</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(20)</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pPr>
            <w:r w:rsidRPr="00C12632">
              <w:rPr>
                <w:color w:val="000000"/>
              </w:rPr>
              <w:t>(73)</w:t>
            </w:r>
          </w:p>
        </w:tc>
        <w:tc>
          <w:tcPr>
            <w:tcW w:w="161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(30)</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D35D11">
            <w:pPr>
              <w:spacing w:after="0"/>
              <w:ind w:left="113" w:hanging="113"/>
            </w:pPr>
            <w:r w:rsidRPr="00C12632">
              <w:rPr>
                <w:color w:val="000000"/>
              </w:rPr>
              <w:t>(87</w:t>
            </w:r>
            <w:r w:rsidRPr="00C12632">
              <w:t>)</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173</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pPr>
            <w:r w:rsidRPr="00C12632">
              <w:rPr>
                <w:color w:val="000000"/>
              </w:rPr>
              <w:t>(915)</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(288)</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pPr>
            <w:r w:rsidRPr="00C12632">
              <w:rPr>
                <w:color w:val="000000"/>
              </w:rPr>
              <w:t>(1 596)</w:t>
            </w:r>
          </w:p>
        </w:tc>
        <w:tc>
          <w:tcPr>
            <w:tcW w:w="161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(547)</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D35D11" w:rsidRDefault="00DF17E9" w:rsidP="00044843">
            <w:pPr>
              <w:spacing w:after="0"/>
              <w:ind w:left="113" w:hanging="113"/>
              <w:rPr>
                <w:b/>
              </w:rPr>
            </w:pPr>
            <w:r w:rsidRPr="00D35D11">
              <w:rPr>
                <w:b/>
                <w:color w:val="000000"/>
              </w:rPr>
              <w:t>(1 641)</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1 447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pPr>
            <w:r w:rsidRPr="00C12632">
              <w:rPr>
                <w:b/>
                <w:color w:val="000000"/>
              </w:rPr>
              <w:t>(957)</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(307)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pPr>
            <w:r w:rsidRPr="00C12632">
              <w:rPr>
                <w:b/>
                <w:color w:val="000000"/>
              </w:rPr>
              <w:t>(3 284)</w:t>
            </w:r>
          </w:p>
        </w:tc>
        <w:tc>
          <w:tcPr>
            <w:tcW w:w="161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786</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D35D11" w:rsidRDefault="00DF17E9" w:rsidP="00044843">
            <w:pPr>
              <w:spacing w:after="0"/>
              <w:ind w:left="113" w:hanging="113"/>
              <w:rPr>
                <w:b/>
              </w:rPr>
            </w:pPr>
            <w:r w:rsidRPr="00D35D11">
              <w:rPr>
                <w:b/>
                <w:color w:val="000000"/>
              </w:rPr>
              <w:t>(2 438)</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430</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pPr>
            <w:r w:rsidRPr="00C12632">
              <w:rPr>
                <w:b/>
                <w:color w:val="000000"/>
              </w:rPr>
              <w:t>(1 334)</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(1 078)</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pPr>
            <w:r w:rsidRPr="00C12632">
              <w:rPr>
                <w:b/>
                <w:color w:val="000000"/>
              </w:rPr>
              <w:t>(1 640)</w:t>
            </w:r>
          </w:p>
        </w:tc>
        <w:tc>
          <w:tcPr>
            <w:tcW w:w="161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51</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tcBorders>
          </w:tcPr>
          <w:p w:rsidR="00DF17E9" w:rsidRPr="00C12632" w:rsidRDefault="00DF17E9" w:rsidP="00044843">
            <w:pPr>
              <w:spacing w:after="0"/>
              <w:ind w:left="113" w:hanging="113"/>
              <w:rPr>
                <w:color w:val="000000"/>
              </w:rPr>
            </w:pPr>
            <w:r w:rsidRPr="00C12632">
              <w:rPr>
                <w:b/>
                <w:color w:val="000000"/>
              </w:rPr>
              <w:t xml:space="preserve"> </w:t>
            </w:r>
          </w:p>
        </w:tc>
        <w:tc>
          <w:tcPr>
            <w:tcW w:w="1604"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spacing w:after="0"/>
              <w:rPr>
                <w:color w:val="000000"/>
              </w:rPr>
            </w:pPr>
            <w:r w:rsidRPr="00C12632">
              <w:rPr>
                <w:b/>
                <w:color w:val="000000"/>
              </w:rPr>
              <w:t xml:space="preserve"> </w:t>
            </w:r>
          </w:p>
        </w:tc>
        <w:tc>
          <w:tcPr>
            <w:tcW w:w="1604"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spacing w:after="0"/>
              <w:rPr>
                <w:color w:val="000000"/>
              </w:rPr>
            </w:pPr>
            <w:r w:rsidRPr="00C12632">
              <w:rPr>
                <w:b/>
                <w:color w:val="000000"/>
              </w:rPr>
              <w:t xml:space="preserve"> </w:t>
            </w:r>
          </w:p>
        </w:tc>
        <w:tc>
          <w:tcPr>
            <w:tcW w:w="1610" w:type="dxa"/>
            <w:tcBorders>
              <w:top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220</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1 018</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17 514</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7 404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(3 246)</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556</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D35D11">
            <w:pPr>
              <w:spacing w:after="0"/>
              <w:ind w:left="113" w:hanging="113"/>
            </w:pPr>
            <w:r w:rsidRPr="00C12632">
              <w:rPr>
                <w:color w:val="000000"/>
              </w:rPr>
              <w:t xml:space="preserve"> </w:t>
            </w:r>
            <w:r w:rsidR="00D35D11">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(345)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325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(193)</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(194)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spacing w:after="0"/>
              <w:ind w:left="113" w:hanging="113"/>
              <w:rPr>
                <w:color w:val="000000"/>
              </w:rPr>
            </w:pPr>
            <w:r w:rsidRPr="00C12632">
              <w:rPr>
                <w:color w:val="000000"/>
              </w:rPr>
              <w:t>..</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rPr>
                <w:color w:val="000000"/>
              </w:rPr>
            </w:pPr>
            <w:r w:rsidRPr="00C12632">
              <w:rPr>
                <w:color w:val="000000"/>
              </w:rPr>
              <w:t>..</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pPr>
            <w:r w:rsidRPr="00C12632">
              <w:rPr>
                <w:color w:val="000000"/>
              </w:rPr>
              <w:t>(110)</w:t>
            </w:r>
          </w:p>
        </w:tc>
        <w:tc>
          <w:tcPr>
            <w:tcW w:w="161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(10)</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spacing w:after="0"/>
              <w:ind w:left="113" w:hanging="113"/>
              <w:rPr>
                <w:color w:val="000000"/>
              </w:rPr>
            </w:pPr>
            <w:r w:rsidRPr="00C12632">
              <w:rPr>
                <w:color w:val="000000"/>
              </w:rPr>
              <w:t>..</w:t>
            </w:r>
            <w:r w:rsidRPr="00C12632">
              <w:rPr>
                <w:color w:val="000000"/>
              </w:rPr>
              <w:br/>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pPr>
            <w:r w:rsidRPr="00C12632">
              <w:rPr>
                <w:color w:val="000000"/>
              </w:rPr>
              <w:t>(10 533)</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(4 231)</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rPr>
                <w:color w:val="000000"/>
              </w:rPr>
            </w:pPr>
            <w:r w:rsidRPr="00C12632">
              <w:rPr>
                <w:color w:val="000000"/>
              </w:rPr>
              <w:t>..</w:t>
            </w:r>
          </w:p>
        </w:tc>
        <w:tc>
          <w:tcPr>
            <w:tcW w:w="161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C12632" w:rsidRDefault="00D35D11" w:rsidP="00044843">
            <w:pPr>
              <w:spacing w:after="0"/>
              <w:ind w:left="113" w:hanging="113"/>
            </w:pPr>
            <w:r>
              <w:rPr>
                <w:b/>
                <w:color w:val="000000"/>
              </w:rPr>
              <w:t>..</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(345)</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pPr>
            <w:r w:rsidRPr="00C12632">
              <w:rPr>
                <w:b/>
                <w:color w:val="000000"/>
              </w:rPr>
              <w:t>(10 312)</w:t>
            </w:r>
          </w:p>
        </w:tc>
        <w:tc>
          <w:tcPr>
            <w:tcW w:w="1604"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(2 889)</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spacing w:after="0"/>
              <w:rPr>
                <w:color w:val="000000"/>
              </w:rPr>
            </w:pPr>
            <w:r w:rsidRPr="00C12632">
              <w:rPr>
                <w:b/>
                <w:color w:val="000000"/>
              </w:rPr>
              <w:t>13 965</w:t>
            </w:r>
          </w:p>
        </w:tc>
        <w:tc>
          <w:tcPr>
            <w:tcW w:w="1610" w:type="dxa"/>
            <w:tcBorders>
              <w:top w:val="single" w:sz="6" w:space="0" w:color="auto"/>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7 757</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12" w:space="0" w:color="auto"/>
            </w:tcBorders>
          </w:tcPr>
          <w:p w:rsidR="00DF17E9" w:rsidRPr="00D35D11" w:rsidRDefault="00DF17E9" w:rsidP="00044843">
            <w:pPr>
              <w:spacing w:after="0"/>
              <w:ind w:left="113" w:hanging="113"/>
              <w:rPr>
                <w:b/>
              </w:rPr>
            </w:pPr>
            <w:r w:rsidRPr="00C12632">
              <w:rPr>
                <w:b/>
                <w:color w:val="000000"/>
              </w:rPr>
              <w:t xml:space="preserve"> </w:t>
            </w:r>
            <w:r w:rsidRPr="00D35D11">
              <w:rPr>
                <w:b/>
                <w:color w:val="000000"/>
              </w:rPr>
              <w:t>(2 438)</w:t>
            </w:r>
          </w:p>
        </w:tc>
        <w:tc>
          <w:tcPr>
            <w:tcW w:w="1604"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85</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spacing w:after="0"/>
            </w:pPr>
            <w:r w:rsidRPr="00C12632">
              <w:rPr>
                <w:b/>
                <w:color w:val="000000"/>
              </w:rPr>
              <w:t>(11 646)</w:t>
            </w:r>
          </w:p>
        </w:tc>
        <w:tc>
          <w:tcPr>
            <w:tcW w:w="1604"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(3 967)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spacing w:after="0"/>
              <w:rPr>
                <w:color w:val="000000"/>
              </w:rPr>
            </w:pPr>
            <w:r w:rsidRPr="00C12632">
              <w:rPr>
                <w:b/>
                <w:color w:val="000000"/>
              </w:rPr>
              <w:t>12 325</w:t>
            </w:r>
          </w:p>
        </w:tc>
        <w:tc>
          <w:tcPr>
            <w:tcW w:w="161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7 807</w:t>
            </w:r>
          </w:p>
        </w:tc>
      </w:tr>
      <w:tr w:rsidR="00DF17E9" w:rsidRPr="00C12632" w:rsidTr="00D35D11">
        <w:trPr>
          <w:gridAfter w:val="1"/>
          <w:wAfter w:w="6" w:type="dxa"/>
          <w:trHeight w:hRule="exact" w:val="120"/>
        </w:trPr>
        <w:tc>
          <w:tcPr>
            <w:cnfStyle w:val="000010000000" w:firstRow="0" w:lastRow="0" w:firstColumn="0" w:lastColumn="0" w:oddVBand="1" w:evenVBand="0" w:oddHBand="0" w:evenHBand="0" w:firstRowFirstColumn="0" w:firstRowLastColumn="0" w:lastRowFirstColumn="0" w:lastRowLastColumn="0"/>
            <w:tcW w:w="1604" w:type="dxa"/>
            <w:tcBorders>
              <w:top w:val="single" w:sz="12" w:space="0" w:color="auto"/>
            </w:tcBorders>
          </w:tcPr>
          <w:p w:rsidR="00DF17E9" w:rsidRPr="00C12632" w:rsidRDefault="00DF17E9" w:rsidP="00044843">
            <w:pPr>
              <w:spacing w:after="0"/>
              <w:ind w:left="113" w:hanging="113"/>
              <w:rPr>
                <w:color w:val="000000"/>
              </w:rPr>
            </w:pPr>
            <w:r w:rsidRPr="00C12632">
              <w:rPr>
                <w:color w:val="000000"/>
              </w:rPr>
              <w:t xml:space="preserve"> </w:t>
            </w:r>
          </w:p>
        </w:tc>
        <w:tc>
          <w:tcPr>
            <w:tcW w:w="1604" w:type="dxa"/>
            <w:tcBorders>
              <w:top w:val="single" w:sz="12" w:space="0" w:color="auto"/>
            </w:tcBorders>
          </w:tcPr>
          <w:p w:rsidR="00DF17E9" w:rsidRPr="00C12632"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spacing w:after="0"/>
              <w:jc w:val="left"/>
              <w:rPr>
                <w:color w:val="000000"/>
              </w:rPr>
            </w:pPr>
            <w:r w:rsidRPr="00C12632">
              <w:rPr>
                <w:color w:val="000000"/>
              </w:rPr>
              <w:t xml:space="preserve"> </w:t>
            </w:r>
          </w:p>
        </w:tc>
        <w:tc>
          <w:tcPr>
            <w:tcW w:w="1604" w:type="dxa"/>
            <w:tcBorders>
              <w:top w:val="single" w:sz="12" w:space="0" w:color="auto"/>
            </w:tcBorders>
          </w:tcPr>
          <w:p w:rsidR="00DF17E9" w:rsidRPr="00C12632"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spacing w:after="0"/>
              <w:jc w:val="left"/>
              <w:rPr>
                <w:color w:val="000000"/>
              </w:rPr>
            </w:pPr>
            <w:r w:rsidRPr="00C12632">
              <w:rPr>
                <w:color w:val="000000"/>
              </w:rPr>
              <w:t xml:space="preserve"> </w:t>
            </w:r>
          </w:p>
        </w:tc>
        <w:tc>
          <w:tcPr>
            <w:tcW w:w="1610" w:type="dxa"/>
            <w:tcBorders>
              <w:top w:val="single" w:sz="12" w:space="0" w:color="auto"/>
            </w:tcBorders>
          </w:tcPr>
          <w:p w:rsidR="00DF17E9" w:rsidRPr="00C12632" w:rsidRDefault="00DF17E9" w:rsidP="00044843">
            <w:pPr>
              <w:spacing w:after="0"/>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35D11" w:rsidP="00044843">
            <w:pPr>
              <w:spacing w:after="0"/>
              <w:ind w:left="113" w:hanging="113"/>
              <w:rPr>
                <w:b/>
              </w:rPr>
            </w:pPr>
            <w:r>
              <w:rPr>
                <w:b/>
                <w:color w:val="000000"/>
              </w:rPr>
              <w:t xml:space="preserve"> (</w:t>
            </w:r>
            <w:r w:rsidR="00DF17E9" w:rsidRPr="00C12632">
              <w:rPr>
                <w:b/>
                <w:color w:val="000000"/>
              </w:rPr>
              <w:t>797</w:t>
            </w:r>
            <w:r w:rsidR="00DF17E9" w:rsidRPr="00C12632">
              <w:rPr>
                <w:b/>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(1 017)</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b/>
                <w:color w:val="000000"/>
              </w:rPr>
              <w:t>(376)</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(770)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1 645</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(736)</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b/>
                <w:color w:val="000000"/>
              </w:rPr>
              <w:t xml:space="preserve"> </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spacing w:after="0"/>
              <w:ind w:left="113" w:hanging="113"/>
            </w:pPr>
            <w:r w:rsidRPr="00C12632">
              <w:rPr>
                <w:color w:val="000000"/>
              </w:rPr>
              <w:t xml:space="preserve"> 34</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32</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(21)</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6 870</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6 599</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D35D11">
            <w:pPr>
              <w:spacing w:after="0"/>
              <w:ind w:left="113" w:hanging="113"/>
            </w:pPr>
            <w:r w:rsidRPr="00C12632">
              <w:rPr>
                <w:color w:val="000000"/>
              </w:rPr>
              <w:t xml:space="preserve"> (1</w:t>
            </w:r>
            <w:r w:rsidRPr="00C12632">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(1)</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(454)</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(595)</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35D11" w:rsidP="00044843">
            <w:pPr>
              <w:spacing w:after="0"/>
              <w:ind w:left="113" w:hanging="113"/>
            </w:pPr>
            <w:r>
              <w:rPr>
                <w:color w:val="000000"/>
              </w:rPr>
              <w:t xml:space="preserve"> (</w:t>
            </w:r>
            <w:r w:rsidR="00DF17E9" w:rsidRPr="00C12632">
              <w:rPr>
                <w:color w:val="000000"/>
              </w:rPr>
              <w:t>48</w:t>
            </w:r>
            <w:r w:rsidR="00DF17E9" w:rsidRPr="00C12632">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(50)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rPr>
                <w:color w:val="000000"/>
              </w:rPr>
            </w:pPr>
            <w:r w:rsidRPr="00C12632">
              <w:rPr>
                <w:color w:val="000000"/>
              </w:rPr>
              <w:t>..</w:t>
            </w:r>
          </w:p>
        </w:tc>
        <w:tc>
          <w:tcPr>
            <w:tcW w:w="1604"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spacing w:after="0"/>
            </w:pPr>
            <w:r w:rsidRPr="00C12632">
              <w:rPr>
                <w:color w:val="000000"/>
              </w:rPr>
              <w:t>(4 706)</w:t>
            </w:r>
          </w:p>
        </w:tc>
        <w:tc>
          <w:tcPr>
            <w:tcW w:w="1610" w:type="dxa"/>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(4 454)</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spacing w:after="0"/>
              <w:ind w:left="113" w:hanging="113"/>
              <w:rPr>
                <w:color w:val="000000"/>
              </w:rPr>
            </w:pPr>
            <w:r w:rsidRPr="00C12632">
              <w:rPr>
                <w:color w:val="000000"/>
              </w:rPr>
              <w:t>..</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rPr>
                <w:color w:val="000000"/>
              </w:rPr>
            </w:pPr>
            <w:r w:rsidRPr="00C12632">
              <w:rPr>
                <w:color w:val="000000"/>
              </w:rPr>
              <w:t>..</w:t>
            </w:r>
          </w:p>
        </w:tc>
        <w:tc>
          <w:tcPr>
            <w:tcW w:w="1604"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spacing w:after="0"/>
              <w:rPr>
                <w:color w:val="000000"/>
              </w:rPr>
            </w:pPr>
            <w:r w:rsidRPr="00C12632">
              <w:rPr>
                <w:color w:val="000000"/>
              </w:rPr>
              <w:t>1 202</w:t>
            </w:r>
          </w:p>
        </w:tc>
        <w:tc>
          <w:tcPr>
            <w:tcW w:w="1610" w:type="dxa"/>
            <w:tcBorders>
              <w:bottom w:val="nil"/>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color w:val="000000"/>
              </w:rPr>
              <w:t>241</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D35D11" w:rsidRDefault="00D35D11" w:rsidP="00044843">
            <w:pPr>
              <w:spacing w:after="0"/>
              <w:ind w:left="113" w:hanging="113"/>
            </w:pPr>
            <w:r>
              <w:rPr>
                <w:b/>
                <w:color w:val="000000"/>
              </w:rPr>
              <w:t xml:space="preserve"> </w:t>
            </w:r>
            <w:r w:rsidRPr="00D35D11">
              <w:rPr>
                <w:color w:val="000000"/>
              </w:rPr>
              <w:t>(</w:t>
            </w:r>
            <w:r w:rsidR="00DF17E9" w:rsidRPr="00D35D11">
              <w:rPr>
                <w:color w:val="000000"/>
              </w:rPr>
              <w:t>14</w:t>
            </w:r>
            <w:r w:rsidR="00DF17E9" w:rsidRPr="00D35D11">
              <w:t>)</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(20)</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rPr>
                <w:color w:val="000000"/>
              </w:rPr>
            </w:pPr>
            <w:r w:rsidRPr="00C12632">
              <w:rPr>
                <w:b/>
                <w:color w:val="000000"/>
              </w:rPr>
              <w:t>..</w:t>
            </w:r>
          </w:p>
        </w:tc>
        <w:tc>
          <w:tcPr>
            <w:tcW w:w="1604"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(21)</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spacing w:after="0"/>
              <w:rPr>
                <w:color w:val="000000"/>
              </w:rPr>
            </w:pPr>
            <w:r w:rsidRPr="00C12632">
              <w:rPr>
                <w:b/>
                <w:color w:val="000000"/>
              </w:rPr>
              <w:t>2 912</w:t>
            </w:r>
          </w:p>
        </w:tc>
        <w:tc>
          <w:tcPr>
            <w:tcW w:w="1610" w:type="dxa"/>
            <w:tcBorders>
              <w:bottom w:val="single" w:sz="6"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1 791</w:t>
            </w:r>
          </w:p>
        </w:tc>
      </w:tr>
      <w:tr w:rsidR="00DF17E9" w:rsidRPr="00C12632" w:rsidTr="00D35D11">
        <w:trPr>
          <w:gridAfter w:val="1"/>
          <w:wAfter w:w="6"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12" w:space="0" w:color="auto"/>
            </w:tcBorders>
          </w:tcPr>
          <w:p w:rsidR="00DF17E9" w:rsidRPr="00C12632" w:rsidRDefault="00D35D11" w:rsidP="00044843">
            <w:pPr>
              <w:spacing w:after="0"/>
              <w:ind w:left="113" w:hanging="113"/>
              <w:rPr>
                <w:b/>
              </w:rPr>
            </w:pPr>
            <w:r>
              <w:rPr>
                <w:b/>
                <w:color w:val="000000"/>
              </w:rPr>
              <w:t xml:space="preserve"> (</w:t>
            </w:r>
            <w:r w:rsidR="00DF17E9" w:rsidRPr="00C12632">
              <w:rPr>
                <w:b/>
                <w:color w:val="000000"/>
              </w:rPr>
              <w:t>783</w:t>
            </w:r>
            <w:r w:rsidR="00DF17E9" w:rsidRPr="00C12632">
              <w:rPr>
                <w:b/>
              </w:rPr>
              <w:t>)</w:t>
            </w:r>
          </w:p>
        </w:tc>
        <w:tc>
          <w:tcPr>
            <w:tcW w:w="1604"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(998)</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spacing w:after="0"/>
            </w:pPr>
            <w:r w:rsidRPr="00C12632">
              <w:rPr>
                <w:b/>
                <w:color w:val="000000"/>
              </w:rPr>
              <w:t>(377)</w:t>
            </w:r>
          </w:p>
        </w:tc>
        <w:tc>
          <w:tcPr>
            <w:tcW w:w="1604"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(750)</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spacing w:after="0"/>
            </w:pPr>
            <w:r w:rsidRPr="00C12632">
              <w:rPr>
                <w:b/>
                <w:color w:val="000000"/>
              </w:rPr>
              <w:t>(1 267)</w:t>
            </w:r>
          </w:p>
        </w:tc>
        <w:tc>
          <w:tcPr>
            <w:tcW w:w="1610" w:type="dxa"/>
            <w:tcBorders>
              <w:top w:val="single" w:sz="6" w:space="0" w:color="auto"/>
              <w:bottom w:val="single" w:sz="12" w:space="0" w:color="auto"/>
            </w:tcBorders>
          </w:tcPr>
          <w:p w:rsidR="00DF17E9" w:rsidRPr="00C12632" w:rsidRDefault="00DF17E9" w:rsidP="00044843">
            <w:pPr>
              <w:spacing w:after="0"/>
              <w:cnfStyle w:val="000000000000" w:firstRow="0" w:lastRow="0" w:firstColumn="0" w:lastColumn="0" w:oddVBand="0" w:evenVBand="0" w:oddHBand="0" w:evenHBand="0" w:firstRowFirstColumn="0" w:firstRowLastColumn="0" w:lastRowFirstColumn="0" w:lastRowLastColumn="0"/>
            </w:pPr>
            <w:r w:rsidRPr="00C12632">
              <w:rPr>
                <w:b/>
                <w:color w:val="000000"/>
              </w:rPr>
              <w:t>(2 527)</w:t>
            </w:r>
          </w:p>
        </w:tc>
      </w:tr>
    </w:tbl>
    <w:p w:rsidR="00DF17E9" w:rsidRDefault="00DF17E9" w:rsidP="00044843">
      <w:pPr>
        <w:spacing w:after="0"/>
      </w:pPr>
    </w:p>
    <w:p w:rsidR="00DF17E9" w:rsidRDefault="00DF17E9" w:rsidP="00044843"/>
    <w:p w:rsidR="00DF17E9" w:rsidRDefault="00DF17E9">
      <w:pPr>
        <w:rPr>
          <w:rFonts w:asciiTheme="majorHAnsi" w:hAnsiTheme="majorHAnsi"/>
          <w:b/>
          <w:spacing w:val="-2"/>
        </w:rPr>
      </w:pPr>
      <w:r>
        <w:br w:type="page"/>
      </w:r>
    </w:p>
    <w:p w:rsidR="00DF17E9" w:rsidRPr="00C12632" w:rsidRDefault="00DF17E9" w:rsidP="00044843">
      <w:pPr>
        <w:pStyle w:val="Subheading"/>
        <w:rPr>
          <w:bCs/>
          <w:lang w:val="en-US"/>
        </w:rPr>
      </w:pPr>
      <w:r w:rsidRPr="0066512E">
        <w:lastRenderedPageBreak/>
        <w:t>Disaggregated balance sheet</w:t>
      </w:r>
      <w:r>
        <w:t xml:space="preserve"> as at 30 June</w:t>
      </w:r>
      <w:r>
        <w:tab/>
      </w:r>
      <w:r w:rsidRPr="006517D1">
        <w:rPr>
          <w:rStyle w:val="TableUnitsChar"/>
        </w:rPr>
        <w:t>($ million)</w:t>
      </w:r>
    </w:p>
    <w:tbl>
      <w:tblPr>
        <w:tblStyle w:val="TableDTFGeneral"/>
        <w:tblW w:w="9631" w:type="dxa"/>
        <w:tblLayout w:type="fixed"/>
        <w:tblLook w:val="02A0" w:firstRow="1" w:lastRow="0" w:firstColumn="1" w:lastColumn="0" w:noHBand="1" w:noVBand="0"/>
      </w:tblPr>
      <w:tblGrid>
        <w:gridCol w:w="4847"/>
        <w:gridCol w:w="1196"/>
        <w:gridCol w:w="1196"/>
        <w:gridCol w:w="1196"/>
        <w:gridCol w:w="1196"/>
      </w:tblGrid>
      <w:tr w:rsidR="00A87C72"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7" w:type="dxa"/>
          </w:tcPr>
          <w:p w:rsidR="00A87C72" w:rsidRPr="00C12632" w:rsidRDefault="00A87C72" w:rsidP="00044843">
            <w:pPr>
              <w:ind w:left="0" w:firstLine="0"/>
              <w:rPr>
                <w:color w:val="FFFFFF"/>
              </w:rPr>
            </w:pPr>
          </w:p>
        </w:tc>
        <w:tc>
          <w:tcPr>
            <w:cnfStyle w:val="000010000000" w:firstRow="0" w:lastRow="0" w:firstColumn="0" w:lastColumn="0" w:oddVBand="1" w:evenVBand="0" w:oddHBand="0" w:evenHBand="0" w:firstRowFirstColumn="0" w:firstRowLastColumn="0" w:lastRowFirstColumn="0" w:lastRowLastColumn="0"/>
            <w:tcW w:w="2392" w:type="dxa"/>
            <w:gridSpan w:val="2"/>
          </w:tcPr>
          <w:p w:rsidR="00A87C72" w:rsidRPr="00C12632" w:rsidRDefault="00A87C72" w:rsidP="00A87C72">
            <w:pPr>
              <w:jc w:val="center"/>
              <w:rPr>
                <w:color w:val="FFFFFF"/>
              </w:rPr>
            </w:pPr>
            <w:r w:rsidRPr="00C12632">
              <w:rPr>
                <w:color w:val="FFFFFF"/>
              </w:rPr>
              <w:t xml:space="preserve">General </w:t>
            </w:r>
            <w:r w:rsidRPr="00C12632">
              <w:rPr>
                <w:color w:val="FFFFFF"/>
              </w:rPr>
              <w:br/>
              <w:t>government sector</w:t>
            </w:r>
          </w:p>
        </w:tc>
        <w:tc>
          <w:tcPr>
            <w:tcW w:w="2392" w:type="dxa"/>
            <w:gridSpan w:val="2"/>
          </w:tcPr>
          <w:p w:rsidR="00A87C72" w:rsidRPr="00C12632" w:rsidRDefault="00A87C72" w:rsidP="00A87C72">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Public non-financial corporations</w:t>
            </w:r>
          </w:p>
        </w:tc>
      </w:tr>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FFFFFF"/>
              </w:rPr>
            </w:pPr>
            <w:r w:rsidRPr="00C12632">
              <w:rPr>
                <w:color w:val="FFFFFF"/>
              </w:rPr>
              <w:t>2016</w:t>
            </w:r>
          </w:p>
        </w:tc>
        <w:tc>
          <w:tcPr>
            <w:tcW w:w="1196"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FFFFFF"/>
              </w:rPr>
            </w:pPr>
            <w:r w:rsidRPr="00C12632">
              <w:rPr>
                <w:color w:val="FFFFFF"/>
              </w:rPr>
              <w:t>2016</w:t>
            </w:r>
          </w:p>
        </w:tc>
        <w:tc>
          <w:tcPr>
            <w:tcW w:w="1196"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b/>
                <w:color w:val="000000"/>
              </w:rPr>
              <w:t>Assets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4 772</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4 282</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802</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1 092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Advances paid</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4 582</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4 572</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47</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 xml:space="preserve">Receivables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5 566</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5 555</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1 644</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1 442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Investments, loans and placements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2 853</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3 406</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1 052</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989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 xml:space="preserve">Loans receivable from non-financial public sector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nil"/>
            </w:tcBorders>
          </w:tcPr>
          <w:p w:rsidR="00DF17E9" w:rsidRPr="00C12632" w:rsidRDefault="00DF17E9" w:rsidP="00044843">
            <w:pPr>
              <w:ind w:left="113" w:hanging="113"/>
              <w:rPr>
                <w:color w:val="000000"/>
              </w:rPr>
            </w:pPr>
            <w:r w:rsidRPr="00C12632">
              <w:rPr>
                <w:color w:val="000000"/>
              </w:rPr>
              <w:t>Investments accounted for using equity method</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r w:rsidRPr="00C12632">
              <w:rPr>
                <w:color w:val="000000"/>
              </w:rPr>
              <w:t>46</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45</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1 498</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1 565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single" w:sz="6" w:space="0" w:color="auto"/>
            </w:tcBorders>
          </w:tcPr>
          <w:p w:rsidR="00DF17E9" w:rsidRPr="00C12632" w:rsidRDefault="00DF17E9" w:rsidP="00044843">
            <w:pPr>
              <w:ind w:left="113" w:hanging="113"/>
              <w:rPr>
                <w:color w:val="000000"/>
              </w:rPr>
            </w:pPr>
            <w:r w:rsidRPr="00C12632">
              <w:rPr>
                <w:color w:val="000000"/>
              </w:rPr>
              <w:t xml:space="preserve">Investments in other sector entities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pPr>
              <w:rPr>
                <w:color w:val="000000"/>
              </w:rPr>
            </w:pPr>
            <w:r w:rsidRPr="00C12632">
              <w:rPr>
                <w:color w:val="000000"/>
              </w:rPr>
              <w:t>94 710</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82 262</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pPr>
              <w:rPr>
                <w:color w:val="000000"/>
              </w:rPr>
            </w:pPr>
            <w:r w:rsidRPr="00C12632">
              <w:rPr>
                <w:color w:val="000000"/>
              </w:rPr>
              <w:t>..</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 xml:space="preserve">Total financial assets </w:t>
            </w:r>
            <w:r w:rsidRPr="00C12632">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112 531</w:t>
            </w:r>
          </w:p>
        </w:tc>
        <w:tc>
          <w:tcPr>
            <w:tcW w:w="1196"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100 121</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5 043</w:t>
            </w:r>
          </w:p>
        </w:tc>
        <w:tc>
          <w:tcPr>
            <w:tcW w:w="1196"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5 143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tcBorders>
          </w:tcPr>
          <w:p w:rsidR="00DF17E9" w:rsidRPr="00C12632" w:rsidRDefault="00DF17E9" w:rsidP="00044843">
            <w:pPr>
              <w:ind w:left="113" w:hanging="113"/>
              <w:rPr>
                <w:color w:val="000000"/>
              </w:rPr>
            </w:pPr>
            <w:r w:rsidRPr="00C12632">
              <w:rPr>
                <w:b/>
                <w:color w:val="000000"/>
              </w:rPr>
              <w:t>Non-financial assets</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1196"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1196"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Inventories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188</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144</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522</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565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Non-financial assets held for sale</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188</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175</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12</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nil"/>
            </w:tcBorders>
          </w:tcPr>
          <w:p w:rsidR="00DF17E9" w:rsidRPr="00C12632" w:rsidRDefault="00DF17E9" w:rsidP="00044843">
            <w:pPr>
              <w:ind w:left="113" w:hanging="113"/>
              <w:rPr>
                <w:color w:val="000000"/>
              </w:rPr>
            </w:pPr>
            <w:r w:rsidRPr="00C12632">
              <w:rPr>
                <w:color w:val="000000"/>
              </w:rPr>
              <w:t xml:space="preserve">Land, buildings, infrastructure, plant and equipment </w:t>
            </w:r>
            <w:r w:rsidRPr="00C12632">
              <w:rPr>
                <w:color w:val="000000"/>
                <w:vertAlign w:val="superscript"/>
              </w:rPr>
              <w:t>(c)(d)</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114 254</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107 562</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112 227</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99 307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single" w:sz="6" w:space="0" w:color="auto"/>
            </w:tcBorders>
          </w:tcPr>
          <w:p w:rsidR="00DF17E9" w:rsidRPr="00C12632" w:rsidRDefault="00DF17E9" w:rsidP="00044843">
            <w:pPr>
              <w:ind w:left="113" w:hanging="113"/>
              <w:rPr>
                <w:color w:val="000000"/>
              </w:rPr>
            </w:pPr>
            <w:r w:rsidRPr="00C12632">
              <w:rPr>
                <w:color w:val="000000"/>
              </w:rPr>
              <w:t>Other non-financial assets</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pPr>
              <w:rPr>
                <w:color w:val="000000"/>
              </w:rPr>
            </w:pPr>
            <w:r w:rsidRPr="00C12632">
              <w:rPr>
                <w:color w:val="000000"/>
              </w:rPr>
              <w:t>1 081</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1 038</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pPr>
              <w:rPr>
                <w:color w:val="000000"/>
              </w:rPr>
            </w:pPr>
            <w:r w:rsidRPr="00C12632">
              <w:rPr>
                <w:color w:val="000000"/>
              </w:rPr>
              <w:t>1 352</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1 325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 xml:space="preserve">Total non-financial assets </w:t>
            </w:r>
            <w:r w:rsidRPr="00C12632">
              <w:rPr>
                <w:b/>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115 711</w:t>
            </w:r>
          </w:p>
        </w:tc>
        <w:tc>
          <w:tcPr>
            <w:tcW w:w="1196"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108 920</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114 112</w:t>
            </w:r>
          </w:p>
        </w:tc>
        <w:tc>
          <w:tcPr>
            <w:tcW w:w="1196"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101 227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tcBorders>
          </w:tcPr>
          <w:p w:rsidR="00DF17E9" w:rsidRPr="00C12632" w:rsidRDefault="00DF17E9" w:rsidP="00044843">
            <w:pPr>
              <w:ind w:left="113" w:hanging="113"/>
              <w:rPr>
                <w:color w:val="000000"/>
              </w:rPr>
            </w:pPr>
            <w:r w:rsidRPr="00C12632">
              <w:rPr>
                <w:b/>
                <w:color w:val="000000"/>
              </w:rPr>
              <w:t xml:space="preserve">Total assets </w:t>
            </w:r>
            <w:r w:rsidRPr="00C12632">
              <w:rPr>
                <w:b/>
                <w:color w:val="000000"/>
                <w:vertAlign w:val="superscript"/>
              </w:rPr>
              <w:t>(a)(c)</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tcBorders>
          </w:tcPr>
          <w:p w:rsidR="00DF17E9" w:rsidRPr="00C12632" w:rsidRDefault="00DF17E9" w:rsidP="00044843">
            <w:pPr>
              <w:rPr>
                <w:color w:val="000000"/>
              </w:rPr>
            </w:pPr>
            <w:r w:rsidRPr="00C12632">
              <w:rPr>
                <w:b/>
                <w:color w:val="000000"/>
              </w:rPr>
              <w:t>228 242</w:t>
            </w:r>
          </w:p>
        </w:tc>
        <w:tc>
          <w:tcPr>
            <w:tcW w:w="1196"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209 041</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tcBorders>
          </w:tcPr>
          <w:p w:rsidR="00DF17E9" w:rsidRPr="00C12632" w:rsidRDefault="00DF17E9" w:rsidP="00044843">
            <w:pPr>
              <w:rPr>
                <w:color w:val="000000"/>
              </w:rPr>
            </w:pPr>
            <w:r w:rsidRPr="00C12632">
              <w:rPr>
                <w:b/>
                <w:color w:val="000000"/>
              </w:rPr>
              <w:t>119 155</w:t>
            </w:r>
          </w:p>
        </w:tc>
        <w:tc>
          <w:tcPr>
            <w:tcW w:w="1196"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106 370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Deposits held and advances received</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706</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518</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396</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Payables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5 773</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5 704</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1 460</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1 663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Borrowings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33 811</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34 069</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15 778</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15 934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Employee benefits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6 137</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5 605</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414</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379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nil"/>
            </w:tcBorders>
          </w:tcPr>
          <w:p w:rsidR="00DF17E9" w:rsidRPr="00C12632" w:rsidRDefault="00DF17E9" w:rsidP="00044843">
            <w:pPr>
              <w:ind w:left="113" w:hanging="113"/>
              <w:rPr>
                <w:color w:val="000000"/>
              </w:rPr>
            </w:pPr>
            <w:r w:rsidRPr="00C12632">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29 291</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25 947</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r w:rsidRPr="00C12632">
              <w:rPr>
                <w:color w:val="000000"/>
              </w:rPr>
              <w:t>63</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single" w:sz="6" w:space="0" w:color="auto"/>
            </w:tcBorders>
          </w:tcPr>
          <w:p w:rsidR="00DF17E9" w:rsidRPr="00C12632" w:rsidRDefault="00DF17E9" w:rsidP="00044843">
            <w:pPr>
              <w:ind w:left="113" w:hanging="113"/>
              <w:rPr>
                <w:color w:val="000000"/>
              </w:rPr>
            </w:pPr>
            <w:r w:rsidRPr="00C12632">
              <w:rPr>
                <w:color w:val="000000"/>
              </w:rPr>
              <w:t>Other provisions</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r w:rsidRPr="00C12632">
              <w:rPr>
                <w:color w:val="000000"/>
              </w:rPr>
              <w:t>829</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807</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pPr>
              <w:rPr>
                <w:color w:val="000000"/>
              </w:rPr>
            </w:pPr>
            <w:r w:rsidRPr="00C12632">
              <w:rPr>
                <w:color w:val="000000"/>
              </w:rPr>
              <w:t>8 811</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8 874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76 547</w:t>
            </w:r>
          </w:p>
        </w:tc>
        <w:tc>
          <w:tcPr>
            <w:tcW w:w="1196"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72 650</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6" w:space="0" w:color="auto"/>
            </w:tcBorders>
          </w:tcPr>
          <w:p w:rsidR="00DF17E9" w:rsidRPr="00C12632" w:rsidRDefault="00DF17E9" w:rsidP="00044843">
            <w:pPr>
              <w:rPr>
                <w:color w:val="000000"/>
              </w:rPr>
            </w:pPr>
            <w:r w:rsidRPr="00C12632">
              <w:rPr>
                <w:b/>
                <w:color w:val="000000"/>
              </w:rPr>
              <w:t>26 922</w:t>
            </w:r>
          </w:p>
        </w:tc>
        <w:tc>
          <w:tcPr>
            <w:tcW w:w="1196"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27 317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bottom w:val="single" w:sz="12" w:space="0" w:color="auto"/>
            </w:tcBorders>
          </w:tcPr>
          <w:p w:rsidR="00DF17E9" w:rsidRPr="00C12632" w:rsidRDefault="00DF17E9" w:rsidP="00044843">
            <w:pPr>
              <w:ind w:left="113" w:hanging="113"/>
              <w:rPr>
                <w:color w:val="000000"/>
              </w:rPr>
            </w:pPr>
            <w:r w:rsidRPr="00C12632">
              <w:rPr>
                <w:b/>
                <w:color w:val="000000"/>
              </w:rPr>
              <w:t xml:space="preserve">Net assets </w:t>
            </w:r>
            <w:r w:rsidRPr="00C12632">
              <w:rPr>
                <w:b/>
                <w:color w:val="000000"/>
                <w:vertAlign w:val="superscript"/>
              </w:rPr>
              <w:t>(a)(e)</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151 695</w:t>
            </w:r>
          </w:p>
        </w:tc>
        <w:tc>
          <w:tcPr>
            <w:tcW w:w="1196"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136 391</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92 233</w:t>
            </w:r>
          </w:p>
        </w:tc>
        <w:tc>
          <w:tcPr>
            <w:tcW w:w="1196"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79 052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12" w:space="0" w:color="auto"/>
            </w:tcBorders>
          </w:tcPr>
          <w:p w:rsidR="00DF17E9" w:rsidRPr="00C12632" w:rsidRDefault="00DF17E9" w:rsidP="00044843">
            <w:pPr>
              <w:ind w:left="113" w:hanging="113"/>
              <w:rPr>
                <w:color w:val="000000"/>
              </w:rPr>
            </w:pPr>
            <w:r w:rsidRPr="00C12632">
              <w:rPr>
                <w:color w:val="000000"/>
              </w:rPr>
              <w:t xml:space="preserve">Accumulated surplus/(deficit)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96" w:type="dxa"/>
            <w:tcBorders>
              <w:top w:val="single" w:sz="12" w:space="0" w:color="auto"/>
            </w:tcBorders>
          </w:tcPr>
          <w:p w:rsidR="00DF17E9" w:rsidRPr="00C12632" w:rsidRDefault="00DF17E9" w:rsidP="00044843">
            <w:pPr>
              <w:rPr>
                <w:color w:val="000000"/>
              </w:rPr>
            </w:pPr>
            <w:r w:rsidRPr="00C12632">
              <w:rPr>
                <w:color w:val="000000"/>
              </w:rPr>
              <w:t>44 454</w:t>
            </w:r>
          </w:p>
        </w:tc>
        <w:tc>
          <w:tcPr>
            <w:tcW w:w="1196"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45 764</w:t>
            </w:r>
          </w:p>
        </w:tc>
        <w:tc>
          <w:tcPr>
            <w:cnfStyle w:val="000010000000" w:firstRow="0" w:lastRow="0" w:firstColumn="0" w:lastColumn="0" w:oddVBand="1" w:evenVBand="0" w:oddHBand="0" w:evenHBand="0" w:firstRowFirstColumn="0" w:firstRowLastColumn="0" w:lastRowFirstColumn="0" w:lastRowLastColumn="0"/>
            <w:tcW w:w="1196" w:type="dxa"/>
            <w:tcBorders>
              <w:top w:val="single" w:sz="12" w:space="0" w:color="auto"/>
            </w:tcBorders>
          </w:tcPr>
          <w:p w:rsidR="00DF17E9" w:rsidRPr="00C12632" w:rsidRDefault="00DF17E9" w:rsidP="00044843">
            <w:pPr>
              <w:rPr>
                <w:color w:val="000000"/>
              </w:rPr>
            </w:pPr>
            <w:r w:rsidRPr="00C12632">
              <w:rPr>
                <w:color w:val="000000"/>
              </w:rPr>
              <w:t>4 397</w:t>
            </w:r>
          </w:p>
        </w:tc>
        <w:tc>
          <w:tcPr>
            <w:tcW w:w="1196"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4 511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nil"/>
            </w:tcBorders>
          </w:tcPr>
          <w:p w:rsidR="00DF17E9" w:rsidRPr="00C12632" w:rsidRDefault="00DF17E9" w:rsidP="00044843">
            <w:pPr>
              <w:ind w:left="113" w:hanging="113"/>
              <w:rPr>
                <w:color w:val="000000"/>
              </w:rPr>
            </w:pPr>
            <w:r w:rsidRPr="00C12632">
              <w:rPr>
                <w:color w:val="000000"/>
              </w:rPr>
              <w:t xml:space="preserve">Reserves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107 191</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90 577</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87 836</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74 542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single" w:sz="6" w:space="0" w:color="auto"/>
            </w:tcBorders>
          </w:tcPr>
          <w:p w:rsidR="00DF17E9" w:rsidRPr="00C12632" w:rsidRDefault="00DF17E9" w:rsidP="00044843">
            <w:pPr>
              <w:ind w:left="113" w:hanging="113"/>
              <w:rPr>
                <w:color w:val="000000"/>
              </w:rPr>
            </w:pPr>
            <w:r w:rsidRPr="00C12632">
              <w:rPr>
                <w:color w:val="000000"/>
              </w:rPr>
              <w:t>Non-controlling interest</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r w:rsidRPr="00C12632">
              <w:rPr>
                <w:color w:val="000000"/>
              </w:rPr>
              <w:t>50</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6" w:space="0" w:color="auto"/>
            </w:tcBorders>
          </w:tcPr>
          <w:p w:rsidR="00DF17E9" w:rsidRPr="00C12632" w:rsidRDefault="00DF17E9" w:rsidP="00044843">
            <w:pPr>
              <w:rPr>
                <w:color w:val="000000"/>
              </w:rPr>
            </w:pPr>
            <w:r w:rsidRPr="00C12632">
              <w:rPr>
                <w:color w:val="000000"/>
              </w:rPr>
              <w:t>..</w:t>
            </w:r>
          </w:p>
        </w:tc>
        <w:tc>
          <w:tcPr>
            <w:tcW w:w="119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top w:val="single" w:sz="6" w:space="0" w:color="auto"/>
              <w:bottom w:val="single" w:sz="12" w:space="0" w:color="auto"/>
            </w:tcBorders>
          </w:tcPr>
          <w:p w:rsidR="00DF17E9" w:rsidRPr="00C12632" w:rsidRDefault="00DF17E9" w:rsidP="00044843">
            <w:pPr>
              <w:ind w:left="113" w:hanging="113"/>
              <w:rPr>
                <w:color w:val="000000"/>
              </w:rPr>
            </w:pPr>
            <w:r w:rsidRPr="00C12632">
              <w:rPr>
                <w:b/>
                <w:color w:val="000000"/>
              </w:rPr>
              <w:t xml:space="preserve">Net worth </w:t>
            </w:r>
            <w:r w:rsidRPr="00C12632">
              <w:rPr>
                <w:b/>
                <w:color w:val="000000"/>
                <w:vertAlign w:val="superscript"/>
              </w:rPr>
              <w:t>(e)</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151 695</w:t>
            </w:r>
          </w:p>
        </w:tc>
        <w:tc>
          <w:tcPr>
            <w:tcW w:w="1196"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136 391</w:t>
            </w:r>
          </w:p>
        </w:tc>
        <w:tc>
          <w:tcPr>
            <w:cnfStyle w:val="000010000000" w:firstRow="0" w:lastRow="0" w:firstColumn="0" w:lastColumn="0" w:oddVBand="1" w:evenVBand="0" w:oddHBand="0" w:evenHBand="0" w:firstRowFirstColumn="0" w:firstRowLastColumn="0" w:lastRowFirstColumn="0" w:lastRowLastColumn="0"/>
            <w:tcW w:w="119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92 233</w:t>
            </w:r>
          </w:p>
        </w:tc>
        <w:tc>
          <w:tcPr>
            <w:tcW w:w="1196"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79 052</w:t>
            </w:r>
          </w:p>
        </w:tc>
      </w:tr>
      <w:tr w:rsidR="00DF17E9" w:rsidRPr="00C12632"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4847" w:type="dxa"/>
            <w:tcBorders>
              <w:top w:val="single" w:sz="12" w:space="0" w:color="auto"/>
            </w:tcBorders>
          </w:tcPr>
          <w:p w:rsidR="00DF17E9" w:rsidRPr="00C12632" w:rsidRDefault="00DF17E9" w:rsidP="00044843">
            <w:pPr>
              <w:ind w:left="113" w:hanging="113"/>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Borders>
              <w:top w:val="single" w:sz="12" w:space="0" w:color="auto"/>
            </w:tcBorders>
          </w:tcPr>
          <w:p w:rsidR="00DF17E9" w:rsidRPr="00C12632" w:rsidRDefault="00DF17E9" w:rsidP="00044843">
            <w:pPr>
              <w:jc w:val="left"/>
              <w:rPr>
                <w:color w:val="000000"/>
              </w:rPr>
            </w:pPr>
            <w:r w:rsidRPr="00C12632">
              <w:rPr>
                <w:color w:val="000000"/>
              </w:rPr>
              <w:t xml:space="preserve"> </w:t>
            </w:r>
          </w:p>
        </w:tc>
        <w:tc>
          <w:tcPr>
            <w:tcW w:w="1196"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Borders>
              <w:top w:val="single" w:sz="12" w:space="0" w:color="auto"/>
            </w:tcBorders>
          </w:tcPr>
          <w:p w:rsidR="00DF17E9" w:rsidRPr="00C12632" w:rsidRDefault="00DF17E9" w:rsidP="00044843">
            <w:pPr>
              <w:jc w:val="left"/>
              <w:rPr>
                <w:color w:val="000000"/>
              </w:rPr>
            </w:pPr>
            <w:r w:rsidRPr="00C12632">
              <w:rPr>
                <w:color w:val="000000"/>
              </w:rPr>
              <w:t xml:space="preserve"> </w:t>
            </w:r>
          </w:p>
        </w:tc>
        <w:tc>
          <w:tcPr>
            <w:tcW w:w="1196"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b/>
                <w:color w:val="000000"/>
              </w:rPr>
              <w:t>FISCAL AGGREGATES</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b/>
                <w:color w:val="000000"/>
              </w:rPr>
              <w:t xml:space="preserve"> </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Pr>
          <w:p w:rsidR="00DF17E9" w:rsidRPr="00C12632" w:rsidRDefault="00DF17E9" w:rsidP="00044843">
            <w:pPr>
              <w:ind w:left="113" w:hanging="113"/>
              <w:rPr>
                <w:color w:val="000000"/>
              </w:rPr>
            </w:pPr>
            <w:r w:rsidRPr="00C12632">
              <w:rPr>
                <w:color w:val="000000"/>
              </w:rPr>
              <w:t xml:space="preserve">Net financial worth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pPr>
              <w:rPr>
                <w:color w:val="000000"/>
              </w:rPr>
            </w:pPr>
            <w:r w:rsidRPr="00C12632">
              <w:rPr>
                <w:color w:val="000000"/>
              </w:rPr>
              <w:t>35 984</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27 471</w:t>
            </w:r>
          </w:p>
        </w:tc>
        <w:tc>
          <w:tcPr>
            <w:cnfStyle w:val="000010000000" w:firstRow="0" w:lastRow="0" w:firstColumn="0" w:lastColumn="0" w:oddVBand="1" w:evenVBand="0" w:oddHBand="0" w:evenHBand="0" w:firstRowFirstColumn="0" w:firstRowLastColumn="0" w:lastRowFirstColumn="0" w:lastRowLastColumn="0"/>
            <w:tcW w:w="1196" w:type="dxa"/>
          </w:tcPr>
          <w:p w:rsidR="00DF17E9" w:rsidRPr="00C12632" w:rsidRDefault="00DF17E9" w:rsidP="00044843">
            <w:r w:rsidRPr="00C12632">
              <w:rPr>
                <w:color w:val="000000"/>
              </w:rPr>
              <w:t>(21 879)</w:t>
            </w:r>
          </w:p>
        </w:tc>
        <w:tc>
          <w:tcPr>
            <w:tcW w:w="119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(22 175)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nil"/>
            </w:tcBorders>
          </w:tcPr>
          <w:p w:rsidR="00DF17E9" w:rsidRPr="00C12632" w:rsidRDefault="00DF17E9" w:rsidP="00044843">
            <w:pPr>
              <w:ind w:left="113" w:hanging="113"/>
              <w:rPr>
                <w:color w:val="000000"/>
              </w:rPr>
            </w:pPr>
            <w:r w:rsidRPr="00C12632">
              <w:rPr>
                <w:color w:val="000000"/>
              </w:rPr>
              <w:t xml:space="preserve">Net financial liabilities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58 727</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54 791</w:t>
            </w:r>
          </w:p>
        </w:tc>
        <w:tc>
          <w:tcPr>
            <w:cnfStyle w:val="000010000000" w:firstRow="0" w:lastRow="0" w:firstColumn="0" w:lastColumn="0" w:oddVBand="1" w:evenVBand="0" w:oddHBand="0" w:evenHBand="0" w:firstRowFirstColumn="0" w:firstRowLastColumn="0" w:lastRowFirstColumn="0" w:lastRowLastColumn="0"/>
            <w:tcW w:w="1196" w:type="dxa"/>
            <w:tcBorders>
              <w:bottom w:val="nil"/>
            </w:tcBorders>
          </w:tcPr>
          <w:p w:rsidR="00DF17E9" w:rsidRPr="00C12632" w:rsidRDefault="00DF17E9" w:rsidP="00044843">
            <w:pPr>
              <w:rPr>
                <w:color w:val="000000"/>
              </w:rPr>
            </w:pPr>
            <w:r w:rsidRPr="00C12632">
              <w:rPr>
                <w:color w:val="000000"/>
              </w:rPr>
              <w:t>21 879</w:t>
            </w:r>
          </w:p>
        </w:tc>
        <w:tc>
          <w:tcPr>
            <w:tcW w:w="119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22 175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847" w:type="dxa"/>
            <w:tcBorders>
              <w:bottom w:val="single" w:sz="12" w:space="0" w:color="auto"/>
            </w:tcBorders>
          </w:tcPr>
          <w:p w:rsidR="00DF17E9" w:rsidRPr="00C12632" w:rsidRDefault="00DF17E9" w:rsidP="00044843">
            <w:pPr>
              <w:ind w:left="113" w:hanging="113"/>
              <w:rPr>
                <w:color w:val="000000"/>
              </w:rPr>
            </w:pPr>
            <w:r w:rsidRPr="00C12632">
              <w:rPr>
                <w:color w:val="000000"/>
              </w:rPr>
              <w:t>Net debt</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12" w:space="0" w:color="auto"/>
            </w:tcBorders>
          </w:tcPr>
          <w:p w:rsidR="00DF17E9" w:rsidRPr="00C12632" w:rsidRDefault="00DF17E9" w:rsidP="00044843">
            <w:pPr>
              <w:rPr>
                <w:color w:val="000000"/>
              </w:rPr>
            </w:pPr>
            <w:r w:rsidRPr="00C12632">
              <w:rPr>
                <w:color w:val="000000"/>
              </w:rPr>
              <w:t>22 309</w:t>
            </w:r>
          </w:p>
        </w:tc>
        <w:tc>
          <w:tcPr>
            <w:tcW w:w="1196"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22 327</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12" w:space="0" w:color="auto"/>
            </w:tcBorders>
          </w:tcPr>
          <w:p w:rsidR="00DF17E9" w:rsidRPr="00C12632" w:rsidRDefault="00DF17E9" w:rsidP="00044843">
            <w:pPr>
              <w:rPr>
                <w:color w:val="000000"/>
              </w:rPr>
            </w:pPr>
            <w:r w:rsidRPr="00C12632">
              <w:rPr>
                <w:color w:val="000000"/>
              </w:rPr>
              <w:t>14 272</w:t>
            </w:r>
          </w:p>
        </w:tc>
        <w:tc>
          <w:tcPr>
            <w:tcW w:w="1196"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14 223</w:t>
            </w:r>
          </w:p>
        </w:tc>
      </w:tr>
    </w:tbl>
    <w:p w:rsidR="00DF17E9" w:rsidRDefault="00DF17E9" w:rsidP="00044843">
      <w:pPr>
        <w:pStyle w:val="Note"/>
      </w:pPr>
      <w:r>
        <w:t>Notes:</w:t>
      </w:r>
    </w:p>
    <w:p w:rsidR="00DF17E9" w:rsidRDefault="00DF17E9" w:rsidP="00044843">
      <w:pPr>
        <w:pStyle w:val="Note"/>
      </w:pPr>
      <w:r>
        <w:t>(a)</w:t>
      </w:r>
      <w:r>
        <w:tab/>
      </w:r>
      <w:r w:rsidRPr="00C8331E">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(b)</w:t>
      </w:r>
      <w:r>
        <w:tab/>
        <w:t>Loans receivable from the non-financial public sector are reported at amortised cost.</w:t>
      </w:r>
    </w:p>
    <w:p w:rsidR="00DF17E9" w:rsidRDefault="00DF17E9" w:rsidP="00044843">
      <w:pPr>
        <w:pStyle w:val="Note"/>
      </w:pPr>
      <w:r>
        <w:t>(c)</w:t>
      </w:r>
      <w:r>
        <w:tab/>
      </w:r>
      <w:r w:rsidRPr="00C8331E">
        <w:t>June 2015 comparative figures have been restated to finalise the allocation of equity balances between contributed capital and accumulated funds related to prior year</w:t>
      </w:r>
      <w:r>
        <w:t xml:space="preserve"> machinery of government changes.</w:t>
      </w:r>
    </w:p>
    <w:p w:rsidR="00DF17E9" w:rsidRDefault="00DF17E9" w:rsidP="00044843">
      <w:pPr>
        <w:pStyle w:val="Note"/>
      </w:pPr>
      <w:r>
        <w:t>(d)</w:t>
      </w:r>
      <w:r>
        <w:tab/>
        <w:t>On 28 July 2016, the Director of Housing transferred, from the PNFC sector, title of approximately 500 Director owned properties valued at approximately $202m to Aboriginal Housing Victoria. The transfer of property titles at zero cash consideration is underpinned by the principle of self-determination. This will assist Aboriginal Housing Victoria to provide culturally appropriate social housing for Aboriginal Victorians and to develop innovative solutions to promote socioeconomic independence among Aboriginal Victorians.</w:t>
      </w:r>
    </w:p>
    <w:p w:rsidR="00DF17E9" w:rsidRDefault="00DF17E9" w:rsidP="00044843">
      <w:pPr>
        <w:pStyle w:val="Note"/>
      </w:pPr>
      <w:r>
        <w:t>(e)</w:t>
      </w:r>
      <w:r>
        <w:tab/>
        <w:t>The net assets and net worth of the public financial corporations sector incorporates the impact of Treasury Corporation of Victoria’s external loan liabilities being reported at market value while the corresponding assets, that is lending to the non-financial public sector, being reported at amortised cost. This mismatch has contributed to the negative net asset position of the sector.</w:t>
      </w:r>
    </w:p>
    <w:p w:rsidR="00DF17E9" w:rsidRDefault="00DF17E9">
      <w:pPr>
        <w:rPr>
          <w:rFonts w:asciiTheme="majorHAnsi" w:hAnsiTheme="majorHAnsi"/>
          <w:b/>
          <w:spacing w:val="-2"/>
        </w:rPr>
      </w:pPr>
      <w:r>
        <w:br w:type="page"/>
      </w:r>
    </w:p>
    <w:p w:rsidR="00DF17E9" w:rsidRDefault="00DF17E9" w:rsidP="00044843">
      <w:pPr>
        <w:pStyle w:val="Subheading"/>
      </w:pPr>
    </w:p>
    <w:tbl>
      <w:tblPr>
        <w:tblStyle w:val="TableDTFGeneral"/>
        <w:tblW w:w="9636" w:type="dxa"/>
        <w:tblLayout w:type="fixed"/>
        <w:tblLook w:val="0220" w:firstRow="1" w:lastRow="0" w:firstColumn="0" w:lastColumn="0" w:noHBand="1" w:noVBand="0"/>
      </w:tblPr>
      <w:tblGrid>
        <w:gridCol w:w="1604"/>
        <w:gridCol w:w="1604"/>
        <w:gridCol w:w="6"/>
        <w:gridCol w:w="1598"/>
        <w:gridCol w:w="1604"/>
        <w:gridCol w:w="12"/>
        <w:gridCol w:w="1592"/>
        <w:gridCol w:w="1604"/>
        <w:gridCol w:w="12"/>
      </w:tblGrid>
      <w:tr w:rsidR="00A87C72"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214" w:type="dxa"/>
            <w:gridSpan w:val="3"/>
          </w:tcPr>
          <w:p w:rsidR="00A87C72" w:rsidRPr="00C12632" w:rsidRDefault="00A87C72" w:rsidP="00A87C72">
            <w:pPr>
              <w:jc w:val="center"/>
              <w:rPr>
                <w:color w:val="FFFFFF"/>
              </w:rPr>
            </w:pPr>
            <w:r w:rsidRPr="00C12632">
              <w:rPr>
                <w:color w:val="FFFFFF"/>
              </w:rPr>
              <w:t xml:space="preserve">Public financial </w:t>
            </w:r>
            <w:r w:rsidRPr="00C12632">
              <w:rPr>
                <w:color w:val="FFFFFF"/>
              </w:rPr>
              <w:br/>
              <w:t>corporations</w:t>
            </w:r>
          </w:p>
        </w:tc>
        <w:tc>
          <w:tcPr>
            <w:tcW w:w="3214" w:type="dxa"/>
            <w:gridSpan w:val="3"/>
          </w:tcPr>
          <w:p w:rsidR="00A87C72" w:rsidRPr="00C12632" w:rsidRDefault="00A87C72" w:rsidP="00A87C72">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Inter-sector </w:t>
            </w:r>
            <w:r w:rsidRPr="00C12632">
              <w:rPr>
                <w:color w:val="FFFFFF"/>
              </w:rPr>
              <w:br/>
              <w:t>eliminations</w:t>
            </w:r>
          </w:p>
        </w:tc>
        <w:tc>
          <w:tcPr>
            <w:cnfStyle w:val="000010000000" w:firstRow="0" w:lastRow="0" w:firstColumn="0" w:lastColumn="0" w:oddVBand="1" w:evenVBand="0" w:oddHBand="0" w:evenHBand="0" w:firstRowFirstColumn="0" w:firstRowLastColumn="0" w:lastRowFirstColumn="0" w:lastRowLastColumn="0"/>
            <w:tcW w:w="3208" w:type="dxa"/>
            <w:gridSpan w:val="3"/>
          </w:tcPr>
          <w:p w:rsidR="00A87C72" w:rsidRPr="00C12632" w:rsidRDefault="00A87C72" w:rsidP="00A87C72">
            <w:pPr>
              <w:jc w:val="center"/>
              <w:rPr>
                <w:color w:val="FFFFFF"/>
              </w:rPr>
            </w:pPr>
            <w:r w:rsidRPr="00C12632">
              <w:rPr>
                <w:color w:val="FFFFFF"/>
              </w:rPr>
              <w:t xml:space="preserve">State of </w:t>
            </w:r>
            <w:r w:rsidRPr="00C12632">
              <w:rPr>
                <w:color w:val="FFFFFF"/>
              </w:rPr>
              <w:br/>
              <w:t>Victoria</w:t>
            </w:r>
          </w:p>
        </w:tc>
      </w:tr>
      <w:tr w:rsidR="00DF17E9" w:rsidRPr="00C12632" w:rsidTr="00D35D11">
        <w:trPr>
          <w:gridAfter w:val="1"/>
          <w:cnfStyle w:val="100000000000" w:firstRow="1" w:lastRow="0" w:firstColumn="0" w:lastColumn="0" w:oddVBand="0" w:evenVBand="0" w:oddHBand="0" w:evenHBand="0" w:firstRowFirstColumn="0" w:firstRowLastColumn="0" w:lastRowFirstColumn="0" w:lastRowLastColumn="0"/>
          <w:wAfter w:w="12" w:type="dxa"/>
          <w:tblHeader/>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rPr>
                <w:color w:val="FFFFFF"/>
              </w:rPr>
            </w:pPr>
            <w:r w:rsidRPr="00C12632">
              <w:rPr>
                <w:color w:val="FFFFFF"/>
              </w:rPr>
              <w:t>2016</w:t>
            </w:r>
          </w:p>
        </w:tc>
        <w:tc>
          <w:tcPr>
            <w:tcW w:w="160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FFFFFF"/>
              </w:rPr>
            </w:pPr>
            <w:r w:rsidRPr="00C12632">
              <w:rPr>
                <w:color w:val="FFFFFF"/>
              </w:rPr>
              <w:t>2016</w:t>
            </w:r>
          </w:p>
        </w:tc>
        <w:tc>
          <w:tcPr>
            <w:tcW w:w="160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FFFFFF"/>
              </w:rPr>
            </w:pPr>
            <w:r w:rsidRPr="00C12632">
              <w:rPr>
                <w:color w:val="FFFFFF"/>
              </w:rPr>
              <w:t>2016</w:t>
            </w:r>
          </w:p>
        </w:tc>
        <w:tc>
          <w:tcPr>
            <w:tcW w:w="1604"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4 654</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4 719</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(3 552)</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(3 572)</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6 676</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6 521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pPr>
            <w:r w:rsidRPr="00C12632">
              <w:rPr>
                <w:color w:val="000000"/>
              </w:rPr>
              <w:t>14</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46</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(4 491)</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(4 550)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153</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1 943</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1 601</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(1 361)</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(1 728)</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7 793</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6 870</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33 317</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32 122</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(1 689)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(2 200)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35 534</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34 317</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35 169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36 048</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(35 169)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(36 048)</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ind w:left="113" w:hanging="113"/>
              <w:rPr>
                <w:color w:val="000000"/>
              </w:rPr>
            </w:pPr>
            <w:r w:rsidRPr="00C12632">
              <w:rPr>
                <w:color w:val="000000"/>
              </w:rPr>
              <w:t>..</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r w:rsidRPr="00C12632">
              <w:rPr>
                <w:color w:val="000000"/>
              </w:rPr>
              <w:t>374</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411</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1 918</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2 021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ind w:left="113" w:hanging="113"/>
              <w:rPr>
                <w:color w:val="000000"/>
              </w:rPr>
            </w:pPr>
            <w:r w:rsidRPr="00C12632">
              <w:rPr>
                <w:color w:val="000000"/>
              </w:rPr>
              <w:t>..</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r w:rsidRPr="00C12632">
              <w:rPr>
                <w:color w:val="000000"/>
              </w:rPr>
              <w:t>(94 710)</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(82 262)</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rPr>
                <w:color w:val="000000"/>
              </w:rPr>
            </w:pPr>
            <w:r w:rsidRPr="00C12632">
              <w:rPr>
                <w:color w:val="000000"/>
              </w:rPr>
              <w:t>..</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75 097</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74 535</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r w:rsidRPr="00C12632">
              <w:rPr>
                <w:b/>
                <w:color w:val="000000"/>
              </w:rPr>
              <w:t>(140 597)</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(129 949)</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rPr>
                <w:color w:val="000000"/>
              </w:rPr>
            </w:pPr>
            <w:r w:rsidRPr="00C12632">
              <w:rPr>
                <w:b/>
                <w:color w:val="000000"/>
              </w:rPr>
              <w:t>52 074</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49 851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tcBorders>
          </w:tcPr>
          <w:p w:rsidR="00DF17E9" w:rsidRPr="00C12632" w:rsidRDefault="00DF17E9" w:rsidP="00044843">
            <w:pPr>
              <w:ind w:left="113" w:hanging="113"/>
              <w:rPr>
                <w:color w:val="000000"/>
              </w:rPr>
            </w:pPr>
            <w:r w:rsidRPr="00C12632">
              <w:rPr>
                <w:b/>
                <w:color w:val="000000"/>
              </w:rPr>
              <w:t xml:space="preserve"> </w:t>
            </w:r>
          </w:p>
        </w:tc>
        <w:tc>
          <w:tcPr>
            <w:tcW w:w="16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16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rPr>
                <w:color w:val="000000"/>
              </w:rPr>
            </w:pPr>
            <w:r w:rsidRPr="00C12632">
              <w:rPr>
                <w:b/>
                <w:color w:val="000000"/>
              </w:rPr>
              <w:t xml:space="preserve"> </w:t>
            </w:r>
          </w:p>
        </w:tc>
        <w:tc>
          <w:tcPr>
            <w:tcW w:w="16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709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710</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200</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205</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ind w:left="113" w:hanging="113"/>
            </w:pPr>
            <w:r w:rsidRPr="00C12632">
              <w:rPr>
                <w:color w:val="000000"/>
              </w:rPr>
              <w:t>76</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80</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226 557</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206 949</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ind w:left="113" w:hanging="113"/>
              <w:rPr>
                <w:color w:val="000000"/>
              </w:rPr>
            </w:pPr>
            <w:r w:rsidRPr="00C12632">
              <w:rPr>
                <w:color w:val="000000"/>
              </w:rPr>
              <w:t>1 645</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1 036</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r w:rsidRPr="00C12632">
              <w:rPr>
                <w:color w:val="000000"/>
              </w:rPr>
              <w:t>(1 715)</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(1 272)</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rPr>
                <w:color w:val="000000"/>
              </w:rPr>
            </w:pPr>
            <w:r w:rsidRPr="00C12632">
              <w:rPr>
                <w:color w:val="000000"/>
              </w:rPr>
              <w:t>2 363</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2 127</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1 721</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1 116</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r w:rsidRPr="00C12632">
              <w:rPr>
                <w:b/>
                <w:color w:val="000000"/>
              </w:rPr>
              <w:t>(1 715)</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(1 272)</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rPr>
                <w:color w:val="000000"/>
              </w:rPr>
            </w:pPr>
            <w:r w:rsidRPr="00C12632">
              <w:rPr>
                <w:b/>
                <w:color w:val="000000"/>
              </w:rPr>
              <w:t>229 829</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209 991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tcBorders>
          </w:tcPr>
          <w:p w:rsidR="00DF17E9" w:rsidRPr="00C12632" w:rsidRDefault="00DF17E9" w:rsidP="00044843">
            <w:pPr>
              <w:ind w:left="113" w:hanging="113"/>
              <w:rPr>
                <w:color w:val="000000"/>
              </w:rPr>
            </w:pPr>
            <w:r w:rsidRPr="00C12632">
              <w:rPr>
                <w:b/>
                <w:color w:val="000000"/>
              </w:rPr>
              <w:t>76 818</w:t>
            </w:r>
          </w:p>
        </w:tc>
        <w:tc>
          <w:tcPr>
            <w:tcW w:w="16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75 651</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r w:rsidRPr="00C12632">
              <w:rPr>
                <w:b/>
                <w:color w:val="000000"/>
              </w:rPr>
              <w:t>(142 312)</w:t>
            </w:r>
          </w:p>
        </w:tc>
        <w:tc>
          <w:tcPr>
            <w:tcW w:w="16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(131 221)</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tcBorders>
          </w:tcPr>
          <w:p w:rsidR="00DF17E9" w:rsidRPr="00C12632" w:rsidRDefault="00DF17E9" w:rsidP="00044843">
            <w:pPr>
              <w:rPr>
                <w:color w:val="000000"/>
              </w:rPr>
            </w:pPr>
            <w:r w:rsidRPr="00C12632">
              <w:rPr>
                <w:b/>
                <w:color w:val="000000"/>
              </w:rPr>
              <w:t>281 903</w:t>
            </w:r>
          </w:p>
        </w:tc>
        <w:tc>
          <w:tcPr>
            <w:tcW w:w="1604" w:type="dxa"/>
            <w:tcBorders>
              <w:top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259 841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6 647</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6 745</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(5 122)</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(5 368)</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2 628</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2 320</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1 629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1 719</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(925)</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(1 496)</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7 937</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7 591</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color w:val="000000"/>
              </w:rPr>
              <w:t>44 184</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42 721</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(39 813)</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(41 036)</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53 959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51 688</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pPr>
            <w:r w:rsidRPr="00C12632">
              <w:rPr>
                <w:color w:val="000000"/>
              </w:rPr>
              <w:t>96</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91</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color w:val="000000"/>
              </w:rPr>
              <w:t>6 647</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6 076</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ind w:left="113" w:hanging="113"/>
              <w:rPr>
                <w:color w:val="000000"/>
              </w:rPr>
            </w:pPr>
            <w:r w:rsidRPr="00C12632">
              <w:rPr>
                <w:color w:val="000000"/>
              </w:rPr>
              <w:t>..</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29 354</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25 988</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ind w:left="113" w:hanging="113"/>
              <w:rPr>
                <w:color w:val="000000"/>
              </w:rPr>
            </w:pPr>
            <w:r w:rsidRPr="00C12632">
              <w:rPr>
                <w:color w:val="000000"/>
              </w:rPr>
              <w:t>28 040</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25 169</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r w:rsidRPr="00C12632">
              <w:rPr>
                <w:color w:val="000000"/>
              </w:rPr>
              <w:t>(8 594)</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(8 637)</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rPr>
                <w:color w:val="000000"/>
              </w:rPr>
            </w:pPr>
            <w:r w:rsidRPr="00C12632">
              <w:rPr>
                <w:color w:val="000000"/>
              </w:rPr>
              <w:t>29 085</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26 213</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6" w:space="0" w:color="auto"/>
            </w:tcBorders>
          </w:tcPr>
          <w:p w:rsidR="00DF17E9" w:rsidRPr="00C12632" w:rsidRDefault="00DF17E9" w:rsidP="00044843">
            <w:pPr>
              <w:ind w:left="113" w:hanging="113"/>
              <w:rPr>
                <w:color w:val="000000"/>
              </w:rPr>
            </w:pPr>
            <w:r w:rsidRPr="00C12632">
              <w:rPr>
                <w:b/>
                <w:color w:val="000000"/>
              </w:rPr>
              <w:t>80 596</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76 445</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r w:rsidRPr="00C12632">
              <w:rPr>
                <w:b/>
                <w:color w:val="000000"/>
              </w:rPr>
              <w:t>(54 454)</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(56 537)</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6" w:space="0" w:color="auto"/>
            </w:tcBorders>
          </w:tcPr>
          <w:p w:rsidR="00DF17E9" w:rsidRPr="00C12632" w:rsidRDefault="00DF17E9" w:rsidP="00044843">
            <w:pPr>
              <w:rPr>
                <w:color w:val="000000"/>
              </w:rPr>
            </w:pPr>
            <w:r w:rsidRPr="00C12632">
              <w:rPr>
                <w:b/>
                <w:color w:val="000000"/>
              </w:rPr>
              <w:t>129 611</w:t>
            </w:r>
          </w:p>
        </w:tc>
        <w:tc>
          <w:tcPr>
            <w:tcW w:w="1604" w:type="dxa"/>
            <w:tcBorders>
              <w:top w:val="single" w:sz="6"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119 876</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12" w:space="0" w:color="auto"/>
            </w:tcBorders>
          </w:tcPr>
          <w:p w:rsidR="00DF17E9" w:rsidRPr="00C12632" w:rsidRDefault="00DF17E9" w:rsidP="00044843">
            <w:pPr>
              <w:ind w:left="113" w:hanging="113"/>
            </w:pPr>
            <w:r w:rsidRPr="00C12632">
              <w:rPr>
                <w:b/>
                <w:color w:val="000000"/>
              </w:rPr>
              <w:t>(3 778)</w:t>
            </w:r>
          </w:p>
        </w:tc>
        <w:tc>
          <w:tcPr>
            <w:tcW w:w="16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(794)</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r w:rsidRPr="00C12632">
              <w:rPr>
                <w:b/>
                <w:color w:val="000000"/>
              </w:rPr>
              <w:t>(87 858)</w:t>
            </w:r>
          </w:p>
        </w:tc>
        <w:tc>
          <w:tcPr>
            <w:tcW w:w="16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(74 684)</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rPr>
                <w:color w:val="000000"/>
              </w:rPr>
            </w:pPr>
            <w:r w:rsidRPr="00C12632">
              <w:rPr>
                <w:b/>
                <w:color w:val="000000"/>
              </w:rPr>
              <w:t>152 291</w:t>
            </w:r>
          </w:p>
        </w:tc>
        <w:tc>
          <w:tcPr>
            <w:tcW w:w="16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139 966</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12" w:space="0" w:color="auto"/>
            </w:tcBorders>
          </w:tcPr>
          <w:p w:rsidR="00DF17E9" w:rsidRPr="00C12632" w:rsidRDefault="00DF17E9" w:rsidP="00044843">
            <w:pPr>
              <w:ind w:left="113" w:hanging="113"/>
            </w:pPr>
            <w:r w:rsidRPr="00C12632">
              <w:rPr>
                <w:color w:val="000000"/>
              </w:rPr>
              <w:t>(3 849)</w:t>
            </w:r>
          </w:p>
        </w:tc>
        <w:tc>
          <w:tcPr>
            <w:tcW w:w="1604"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(1 009)</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rPr>
                <w:color w:val="000000"/>
              </w:rPr>
            </w:pPr>
            <w:r w:rsidRPr="00C12632">
              <w:rPr>
                <w:color w:val="000000"/>
              </w:rPr>
              <w:t>11 232</w:t>
            </w:r>
          </w:p>
        </w:tc>
        <w:tc>
          <w:tcPr>
            <w:tcW w:w="1604"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12 019</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rPr>
                <w:color w:val="000000"/>
              </w:rPr>
            </w:pPr>
            <w:r w:rsidRPr="00C12632">
              <w:rPr>
                <w:color w:val="000000"/>
              </w:rPr>
              <w:t>56 234</w:t>
            </w:r>
          </w:p>
        </w:tc>
        <w:tc>
          <w:tcPr>
            <w:tcW w:w="1604"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61 285</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ind w:left="113" w:hanging="113"/>
            </w:pPr>
            <w:r w:rsidRPr="00C12632">
              <w:rPr>
                <w:color w:val="000000"/>
              </w:rPr>
              <w:t>71</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215</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r w:rsidRPr="00C12632">
              <w:rPr>
                <w:color w:val="000000"/>
              </w:rPr>
              <w:t>(99 090)</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(86 703)</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96 008</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78 630</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6" w:space="0" w:color="auto"/>
            </w:tcBorders>
          </w:tcPr>
          <w:p w:rsidR="00DF17E9" w:rsidRPr="00C12632" w:rsidRDefault="00DF17E9" w:rsidP="00044843">
            <w:pPr>
              <w:ind w:left="113" w:hanging="113"/>
              <w:rPr>
                <w:color w:val="000000"/>
              </w:rPr>
            </w:pPr>
            <w:r w:rsidRPr="00C12632">
              <w:rPr>
                <w:color w:val="000000"/>
              </w:rPr>
              <w:t>..</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pPr>
              <w:rPr>
                <w:color w:val="000000"/>
              </w:rPr>
            </w:pPr>
            <w:r w:rsidRPr="00C12632">
              <w:rPr>
                <w:color w:val="000000"/>
              </w:rPr>
              <w:t>..</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6" w:space="0" w:color="auto"/>
            </w:tcBorders>
          </w:tcPr>
          <w:p w:rsidR="00DF17E9" w:rsidRPr="00C12632" w:rsidRDefault="00DF17E9" w:rsidP="00044843">
            <w:r w:rsidRPr="00C12632">
              <w:rPr>
                <w:color w:val="000000"/>
              </w:rPr>
              <w:t>50</w:t>
            </w:r>
          </w:p>
        </w:tc>
        <w:tc>
          <w:tcPr>
            <w:tcW w:w="160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50</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top w:val="single" w:sz="6" w:space="0" w:color="auto"/>
              <w:bottom w:val="single" w:sz="12" w:space="0" w:color="auto"/>
            </w:tcBorders>
          </w:tcPr>
          <w:p w:rsidR="00DF17E9" w:rsidRPr="00C12632" w:rsidRDefault="00DF17E9" w:rsidP="00044843">
            <w:pPr>
              <w:ind w:left="113" w:hanging="113"/>
            </w:pPr>
            <w:r w:rsidRPr="00C12632">
              <w:rPr>
                <w:b/>
                <w:color w:val="000000"/>
              </w:rPr>
              <w:t>(3 778)</w:t>
            </w:r>
          </w:p>
        </w:tc>
        <w:tc>
          <w:tcPr>
            <w:tcW w:w="16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(794)</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r w:rsidRPr="00C12632">
              <w:rPr>
                <w:b/>
                <w:color w:val="000000"/>
              </w:rPr>
              <w:t>(87 858)</w:t>
            </w:r>
          </w:p>
        </w:tc>
        <w:tc>
          <w:tcPr>
            <w:tcW w:w="16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(74 684)</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6" w:space="0" w:color="auto"/>
              <w:bottom w:val="single" w:sz="12" w:space="0" w:color="auto"/>
            </w:tcBorders>
          </w:tcPr>
          <w:p w:rsidR="00DF17E9" w:rsidRPr="00C12632" w:rsidRDefault="00DF17E9" w:rsidP="00044843">
            <w:pPr>
              <w:rPr>
                <w:color w:val="000000"/>
              </w:rPr>
            </w:pPr>
            <w:r w:rsidRPr="00C12632">
              <w:rPr>
                <w:b/>
                <w:color w:val="000000"/>
              </w:rPr>
              <w:t>152 291</w:t>
            </w:r>
          </w:p>
        </w:tc>
        <w:tc>
          <w:tcPr>
            <w:tcW w:w="160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139 966</w:t>
            </w:r>
          </w:p>
        </w:tc>
      </w:tr>
      <w:tr w:rsidR="00DF17E9" w:rsidRPr="00C12632" w:rsidTr="00D35D11">
        <w:trPr>
          <w:gridAfter w:val="1"/>
          <w:wAfter w:w="12" w:type="dxa"/>
          <w:trHeight w:hRule="exact" w:val="120"/>
        </w:trPr>
        <w:tc>
          <w:tcPr>
            <w:cnfStyle w:val="000010000000" w:firstRow="0" w:lastRow="0" w:firstColumn="0" w:lastColumn="0" w:oddVBand="1" w:evenVBand="0" w:oddHBand="0" w:evenHBand="0" w:firstRowFirstColumn="0" w:firstRowLastColumn="0" w:lastRowFirstColumn="0" w:lastRowLastColumn="0"/>
            <w:tcW w:w="1604" w:type="dxa"/>
            <w:tcBorders>
              <w:top w:val="single" w:sz="12" w:space="0" w:color="auto"/>
            </w:tcBorders>
          </w:tcPr>
          <w:p w:rsidR="00DF17E9" w:rsidRPr="00C12632" w:rsidRDefault="00DF17E9" w:rsidP="00044843">
            <w:pPr>
              <w:ind w:left="113" w:hanging="113"/>
              <w:rPr>
                <w:color w:val="000000"/>
              </w:rPr>
            </w:pPr>
            <w:r w:rsidRPr="00C12632">
              <w:rPr>
                <w:color w:val="000000"/>
              </w:rPr>
              <w:t xml:space="preserve"> </w:t>
            </w:r>
          </w:p>
        </w:tc>
        <w:tc>
          <w:tcPr>
            <w:tcW w:w="160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jc w:val="left"/>
              <w:rPr>
                <w:color w:val="000000"/>
              </w:rPr>
            </w:pPr>
            <w:r w:rsidRPr="00C12632">
              <w:rPr>
                <w:color w:val="000000"/>
              </w:rPr>
              <w:t xml:space="preserve"> </w:t>
            </w:r>
          </w:p>
        </w:tc>
        <w:tc>
          <w:tcPr>
            <w:tcW w:w="160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Borders>
              <w:top w:val="single" w:sz="12" w:space="0" w:color="auto"/>
            </w:tcBorders>
          </w:tcPr>
          <w:p w:rsidR="00DF17E9" w:rsidRPr="00C12632" w:rsidRDefault="00DF17E9" w:rsidP="00044843">
            <w:pPr>
              <w:jc w:val="left"/>
              <w:rPr>
                <w:color w:val="000000"/>
              </w:rPr>
            </w:pPr>
            <w:r w:rsidRPr="00C12632">
              <w:rPr>
                <w:color w:val="000000"/>
              </w:rPr>
              <w:t xml:space="preserve"> </w:t>
            </w:r>
          </w:p>
        </w:tc>
        <w:tc>
          <w:tcPr>
            <w:tcW w:w="160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 xml:space="preserve"> </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pPr>
              <w:rPr>
                <w:color w:val="000000"/>
              </w:rPr>
            </w:pPr>
            <w:r w:rsidRPr="00C12632">
              <w:rPr>
                <w:b/>
                <w:color w:val="000000"/>
              </w:rPr>
              <w:t xml:space="preserve"> </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Pr>
          <w:p w:rsidR="00DF17E9" w:rsidRPr="00C12632" w:rsidRDefault="00DF17E9" w:rsidP="00044843">
            <w:pPr>
              <w:ind w:left="113" w:hanging="113"/>
            </w:pPr>
            <w:r w:rsidRPr="00C12632">
              <w:rPr>
                <w:color w:val="000000"/>
              </w:rPr>
              <w:t>(5 499)</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(1 910)</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(86 143)</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(73 412)</w:t>
            </w:r>
          </w:p>
        </w:tc>
        <w:tc>
          <w:tcPr>
            <w:cnfStyle w:val="000010000000" w:firstRow="0" w:lastRow="0" w:firstColumn="0" w:lastColumn="0" w:oddVBand="1" w:evenVBand="0" w:oddHBand="0" w:evenHBand="0" w:firstRowFirstColumn="0" w:firstRowLastColumn="0" w:lastRowFirstColumn="0" w:lastRowLastColumn="0"/>
            <w:tcW w:w="1604" w:type="dxa"/>
            <w:gridSpan w:val="2"/>
          </w:tcPr>
          <w:p w:rsidR="00DF17E9" w:rsidRPr="00C12632" w:rsidRDefault="00DF17E9" w:rsidP="00044843">
            <w:r w:rsidRPr="00C12632">
              <w:rPr>
                <w:color w:val="000000"/>
              </w:rPr>
              <w:t>(77 538)</w:t>
            </w:r>
          </w:p>
        </w:tc>
        <w:tc>
          <w:tcPr>
            <w:tcW w:w="160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(70 025)</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nil"/>
            </w:tcBorders>
          </w:tcPr>
          <w:p w:rsidR="00DF17E9" w:rsidRPr="00C12632" w:rsidRDefault="00DF17E9" w:rsidP="00044843">
            <w:pPr>
              <w:ind w:left="113" w:hanging="113"/>
              <w:rPr>
                <w:color w:val="000000"/>
              </w:rPr>
            </w:pPr>
            <w:r w:rsidRPr="00C12632">
              <w:rPr>
                <w:color w:val="000000"/>
              </w:rPr>
              <w:t>5 499</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1 910</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r w:rsidRPr="00C12632">
              <w:rPr>
                <w:color w:val="000000"/>
              </w:rPr>
              <w:t>(8 567)</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(8 850)</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nil"/>
            </w:tcBorders>
          </w:tcPr>
          <w:p w:rsidR="00DF17E9" w:rsidRPr="00C12632" w:rsidRDefault="00DF17E9" w:rsidP="00044843">
            <w:pPr>
              <w:rPr>
                <w:color w:val="000000"/>
              </w:rPr>
            </w:pPr>
            <w:r w:rsidRPr="00C12632">
              <w:rPr>
                <w:color w:val="000000"/>
              </w:rPr>
              <w:t>77 538</w:t>
            </w:r>
          </w:p>
        </w:tc>
        <w:tc>
          <w:tcPr>
            <w:tcW w:w="160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70 025</w:t>
            </w:r>
          </w:p>
        </w:tc>
      </w:tr>
      <w:tr w:rsidR="00DF17E9" w:rsidRPr="00C12632" w:rsidTr="00D35D11">
        <w:trPr>
          <w:gridAfter w:val="1"/>
          <w:wAfter w:w="12" w:type="dxa"/>
        </w:trPr>
        <w:tc>
          <w:tcPr>
            <w:cnfStyle w:val="000010000000" w:firstRow="0" w:lastRow="0" w:firstColumn="0" w:lastColumn="0" w:oddVBand="1" w:evenVBand="0" w:oddHBand="0" w:evenHBand="0" w:firstRowFirstColumn="0" w:firstRowLastColumn="0" w:lastRowFirstColumn="0" w:lastRowLastColumn="0"/>
            <w:tcW w:w="1604" w:type="dxa"/>
            <w:tcBorders>
              <w:bottom w:val="single" w:sz="12" w:space="0" w:color="auto"/>
            </w:tcBorders>
          </w:tcPr>
          <w:p w:rsidR="00DF17E9" w:rsidRPr="00C12632" w:rsidRDefault="00DF17E9" w:rsidP="00044843">
            <w:pPr>
              <w:ind w:left="113" w:hanging="113"/>
            </w:pPr>
            <w:r w:rsidRPr="00C12632">
              <w:rPr>
                <w:color w:val="000000"/>
              </w:rPr>
              <w:t>(22 322)</w:t>
            </w:r>
          </w:p>
        </w:tc>
        <w:tc>
          <w:tcPr>
            <w:tcW w:w="1604"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(23 469)</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12" w:space="0" w:color="auto"/>
            </w:tcBorders>
          </w:tcPr>
          <w:p w:rsidR="00DF17E9" w:rsidRPr="00C12632" w:rsidRDefault="00DF17E9" w:rsidP="00044843">
            <w:r w:rsidRPr="00C12632">
              <w:rPr>
                <w:color w:val="000000"/>
              </w:rPr>
              <w:t>(35)</w:t>
            </w:r>
          </w:p>
        </w:tc>
        <w:tc>
          <w:tcPr>
            <w:tcW w:w="1604"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w:t>
            </w:r>
          </w:p>
        </w:tc>
        <w:tc>
          <w:tcPr>
            <w:cnfStyle w:val="000010000000" w:firstRow="0" w:lastRow="0" w:firstColumn="0" w:lastColumn="0" w:oddVBand="1" w:evenVBand="0" w:oddHBand="0" w:evenHBand="0" w:firstRowFirstColumn="0" w:firstRowLastColumn="0" w:lastRowFirstColumn="0" w:lastRowLastColumn="0"/>
            <w:tcW w:w="1604" w:type="dxa"/>
            <w:gridSpan w:val="2"/>
            <w:tcBorders>
              <w:bottom w:val="single" w:sz="12" w:space="0" w:color="auto"/>
            </w:tcBorders>
          </w:tcPr>
          <w:p w:rsidR="00DF17E9" w:rsidRPr="00C12632" w:rsidRDefault="00DF17E9" w:rsidP="00044843">
            <w:pPr>
              <w:rPr>
                <w:color w:val="000000"/>
              </w:rPr>
            </w:pPr>
            <w:r w:rsidRPr="00C12632">
              <w:rPr>
                <w:color w:val="000000"/>
              </w:rPr>
              <w:t>14 224</w:t>
            </w:r>
          </w:p>
        </w:tc>
        <w:tc>
          <w:tcPr>
            <w:tcW w:w="1604" w:type="dxa"/>
            <w:tcBorders>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13 048</w:t>
            </w:r>
          </w:p>
        </w:tc>
      </w:tr>
    </w:tbl>
    <w:p w:rsidR="00DF17E9" w:rsidRPr="001976DE" w:rsidRDefault="00DF17E9" w:rsidP="00044843"/>
    <w:p w:rsidR="00DF17E9" w:rsidRDefault="00DF17E9" w:rsidP="00044843">
      <w:pPr>
        <w:rPr>
          <w:rFonts w:asciiTheme="majorHAnsi" w:eastAsiaTheme="majorEastAsia" w:hAnsiTheme="majorHAnsi" w:cstheme="majorBidi"/>
          <w:b/>
          <w:bCs/>
          <w:spacing w:val="-2"/>
          <w:szCs w:val="26"/>
        </w:rPr>
      </w:pPr>
      <w:r>
        <w:br w:type="page"/>
      </w:r>
    </w:p>
    <w:p w:rsidR="00DF17E9" w:rsidRPr="00C12632" w:rsidRDefault="00DF17E9" w:rsidP="00044843">
      <w:pPr>
        <w:pStyle w:val="Subheading"/>
        <w:rPr>
          <w:bCs/>
          <w:lang w:val="en-US"/>
        </w:rPr>
      </w:pPr>
      <w:r w:rsidRPr="001E6E6F">
        <w:lastRenderedPageBreak/>
        <w:t xml:space="preserve">Disaggregated </w:t>
      </w:r>
      <w:r>
        <w:t>cash flow statement</w:t>
      </w:r>
      <w:r w:rsidRPr="001E6E6F">
        <w:t xml:space="preserve"> for the f</w:t>
      </w:r>
      <w:r>
        <w:t>inancial year ended 30 June</w:t>
      </w:r>
      <w:r>
        <w:tab/>
      </w:r>
      <w:r w:rsidRPr="00B31A9B">
        <w:rPr>
          <w:rStyle w:val="TableUnitsChar"/>
        </w:rPr>
        <w:t>($ million)</w:t>
      </w:r>
    </w:p>
    <w:tbl>
      <w:tblPr>
        <w:tblStyle w:val="TableDTFGeneral"/>
        <w:tblW w:w="9668" w:type="dxa"/>
        <w:tblLayout w:type="fixed"/>
        <w:tblLook w:val="02A0" w:firstRow="1" w:lastRow="0" w:firstColumn="1" w:lastColumn="0" w:noHBand="1" w:noVBand="0"/>
      </w:tblPr>
      <w:tblGrid>
        <w:gridCol w:w="5274"/>
        <w:gridCol w:w="1098"/>
        <w:gridCol w:w="1099"/>
        <w:gridCol w:w="1098"/>
        <w:gridCol w:w="1099"/>
      </w:tblGrid>
      <w:tr w:rsidR="00A87C72" w:rsidRPr="00C12632" w:rsidTr="00F814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rsidR="00A87C72" w:rsidRPr="00C12632" w:rsidRDefault="00A87C72" w:rsidP="00A87C72">
            <w:pPr>
              <w:spacing w:before="0" w:after="0"/>
              <w:ind w:left="0" w:firstLine="0"/>
              <w:rPr>
                <w:color w:val="FFFFFF"/>
                <w:sz w:val="15"/>
                <w:szCs w:val="15"/>
              </w:rPr>
            </w:pPr>
          </w:p>
        </w:tc>
        <w:tc>
          <w:tcPr>
            <w:cnfStyle w:val="000010000000" w:firstRow="0" w:lastRow="0" w:firstColumn="0" w:lastColumn="0" w:oddVBand="1" w:evenVBand="0" w:oddHBand="0" w:evenHBand="0" w:firstRowFirstColumn="0" w:firstRowLastColumn="0" w:lastRowFirstColumn="0" w:lastRowLastColumn="0"/>
            <w:tcW w:w="2197" w:type="dxa"/>
            <w:gridSpan w:val="2"/>
          </w:tcPr>
          <w:p w:rsidR="00A87C72" w:rsidRPr="00C12632" w:rsidRDefault="00A87C72" w:rsidP="00A87C72">
            <w:pPr>
              <w:spacing w:before="0" w:after="0"/>
              <w:jc w:val="center"/>
              <w:rPr>
                <w:color w:val="FFFFFF"/>
                <w:sz w:val="15"/>
                <w:szCs w:val="15"/>
              </w:rPr>
            </w:pPr>
            <w:r w:rsidRPr="00C12632">
              <w:rPr>
                <w:color w:val="FFFFFF"/>
                <w:sz w:val="15"/>
                <w:szCs w:val="15"/>
              </w:rPr>
              <w:t xml:space="preserve">General </w:t>
            </w:r>
            <w:r>
              <w:rPr>
                <w:color w:val="FFFFFF"/>
                <w:sz w:val="15"/>
                <w:szCs w:val="15"/>
              </w:rPr>
              <w:br/>
            </w:r>
            <w:r w:rsidRPr="00C12632">
              <w:rPr>
                <w:color w:val="FFFFFF"/>
                <w:sz w:val="15"/>
                <w:szCs w:val="15"/>
              </w:rPr>
              <w:t>government sector</w:t>
            </w:r>
          </w:p>
        </w:tc>
        <w:tc>
          <w:tcPr>
            <w:tcW w:w="2197" w:type="dxa"/>
            <w:gridSpan w:val="2"/>
          </w:tcPr>
          <w:p w:rsidR="00A87C72" w:rsidRPr="00C12632" w:rsidRDefault="00A87C72" w:rsidP="00044843">
            <w:pPr>
              <w:spacing w:before="0" w:after="0"/>
              <w:jc w:val="center"/>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Public non-financial corporations</w:t>
            </w:r>
          </w:p>
        </w:tc>
      </w:tr>
      <w:tr w:rsidR="00DF17E9" w:rsidRPr="00C12632" w:rsidTr="00F814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jc w:val="right"/>
              <w:rPr>
                <w:color w:val="FFFFFF"/>
                <w:sz w:val="15"/>
                <w:szCs w:val="15"/>
              </w:rPr>
            </w:pPr>
            <w:r w:rsidRPr="00C12632">
              <w:rPr>
                <w:color w:val="FFFFFF"/>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FFFFFF"/>
                <w:sz w:val="15"/>
                <w:szCs w:val="15"/>
              </w:rPr>
            </w:pPr>
            <w:r w:rsidRPr="00C12632">
              <w:rPr>
                <w:color w:val="FFFFFF"/>
                <w:sz w:val="15"/>
                <w:szCs w:val="15"/>
              </w:rPr>
              <w:t>2016</w:t>
            </w:r>
          </w:p>
        </w:tc>
        <w:tc>
          <w:tcPr>
            <w:tcW w:w="1099" w:type="dxa"/>
          </w:tcPr>
          <w:p w:rsidR="00DF17E9" w:rsidRPr="00C12632"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2015</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FFFFFF"/>
                <w:sz w:val="15"/>
                <w:szCs w:val="15"/>
              </w:rPr>
            </w:pPr>
            <w:r w:rsidRPr="00C12632">
              <w:rPr>
                <w:color w:val="FFFFFF"/>
                <w:sz w:val="15"/>
                <w:szCs w:val="15"/>
              </w:rPr>
              <w:t>2016</w:t>
            </w:r>
          </w:p>
        </w:tc>
        <w:tc>
          <w:tcPr>
            <w:tcW w:w="1099" w:type="dxa"/>
          </w:tcPr>
          <w:p w:rsidR="00DF17E9" w:rsidRPr="00C12632"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2015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b/>
                <w:color w:val="000000"/>
                <w:sz w:val="15"/>
                <w:szCs w:val="15"/>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center"/>
              <w:rPr>
                <w:color w:val="000000"/>
                <w:sz w:val="15"/>
                <w:szCs w:val="15"/>
              </w:rPr>
            </w:pPr>
            <w:r w:rsidRPr="00C12632">
              <w:rPr>
                <w:i/>
                <w:color w:val="000000"/>
                <w:sz w:val="15"/>
                <w:szCs w:val="15"/>
              </w:rPr>
              <w:t xml:space="preserve"> </w:t>
            </w:r>
          </w:p>
        </w:tc>
        <w:tc>
          <w:tcPr>
            <w:tcW w:w="1099" w:type="dxa"/>
          </w:tcPr>
          <w:p w:rsidR="00DF17E9" w:rsidRPr="00C12632" w:rsidRDefault="00DF17E9" w:rsidP="00044843">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center"/>
              <w:rPr>
                <w:color w:val="000000"/>
                <w:sz w:val="15"/>
                <w:szCs w:val="15"/>
              </w:rPr>
            </w:pPr>
            <w:r w:rsidRPr="00C12632">
              <w:rPr>
                <w:i/>
                <w:color w:val="000000"/>
                <w:sz w:val="15"/>
                <w:szCs w:val="15"/>
              </w:rPr>
              <w:t xml:space="preserve"> </w:t>
            </w:r>
          </w:p>
        </w:tc>
        <w:tc>
          <w:tcPr>
            <w:tcW w:w="1099" w:type="dxa"/>
          </w:tcPr>
          <w:p w:rsidR="00DF17E9" w:rsidRPr="00C12632" w:rsidRDefault="00DF17E9" w:rsidP="00044843">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b/>
                <w:color w:val="000000"/>
                <w:sz w:val="15"/>
                <w:szCs w:val="15"/>
              </w:rPr>
              <w:t>Receipts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center"/>
              <w:rPr>
                <w:color w:val="000000"/>
                <w:sz w:val="15"/>
                <w:szCs w:val="15"/>
              </w:rPr>
            </w:pPr>
            <w:r w:rsidRPr="00C12632">
              <w:rPr>
                <w:i/>
                <w:color w:val="000000"/>
                <w:sz w:val="15"/>
                <w:szCs w:val="15"/>
              </w:rPr>
              <w:t xml:space="preserve"> </w:t>
            </w:r>
          </w:p>
        </w:tc>
        <w:tc>
          <w:tcPr>
            <w:tcW w:w="1099" w:type="dxa"/>
          </w:tcPr>
          <w:p w:rsidR="00DF17E9" w:rsidRPr="00C12632" w:rsidRDefault="00DF17E9" w:rsidP="00044843">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center"/>
              <w:rPr>
                <w:color w:val="000000"/>
                <w:sz w:val="15"/>
                <w:szCs w:val="15"/>
              </w:rPr>
            </w:pPr>
            <w:r w:rsidRPr="00C12632">
              <w:rPr>
                <w:i/>
                <w:color w:val="000000"/>
                <w:sz w:val="15"/>
                <w:szCs w:val="15"/>
              </w:rPr>
              <w:t xml:space="preserve"> </w:t>
            </w:r>
          </w:p>
        </w:tc>
        <w:tc>
          <w:tcPr>
            <w:tcW w:w="1099" w:type="dxa"/>
          </w:tcPr>
          <w:p w:rsidR="00DF17E9" w:rsidRPr="00C12632" w:rsidRDefault="00DF17E9" w:rsidP="00044843">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Taxes received</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19 775</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18 416</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Grants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25 375</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24 499</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3 072</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2 870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Sales of goods and services </w:t>
            </w:r>
            <w:r w:rsidRPr="00C12632">
              <w:rPr>
                <w:color w:val="000000"/>
                <w:sz w:val="15"/>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7 253</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7 002</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6 788</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6 736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Interest received </w:t>
            </w:r>
            <w:r w:rsidRPr="00C12632">
              <w:rPr>
                <w:color w:val="000000"/>
                <w:sz w:val="15"/>
                <w:szCs w:val="15"/>
                <w:vertAlign w:val="superscript"/>
              </w:rPr>
              <w:t>(b)</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sz w:val="15"/>
              </w:rPr>
            </w:pPr>
            <w:r w:rsidRPr="00C12632">
              <w:rPr>
                <w:color w:val="000000"/>
                <w:sz w:val="15"/>
                <w:szCs w:val="15"/>
              </w:rPr>
              <w:t>786</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812</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sz w:val="15"/>
              </w:rPr>
            </w:pPr>
            <w:r w:rsidRPr="00C12632">
              <w:rPr>
                <w:color w:val="000000"/>
                <w:sz w:val="15"/>
                <w:szCs w:val="15"/>
              </w:rPr>
              <w:t>41</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37</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Dividends and income tax equivalent and rate equivalent receipts</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802</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1 015</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23</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Other receipts </w:t>
            </w:r>
            <w:r w:rsidRPr="00C12632">
              <w:rPr>
                <w:color w:val="000000"/>
                <w:sz w:val="15"/>
                <w:szCs w:val="15"/>
                <w:vertAlign w:val="superscript"/>
              </w:rPr>
              <w:t xml:space="preserve">(c) </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2 436</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1 984</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166</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290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 xml:space="preserve">Total receipts </w:t>
            </w:r>
            <w:r w:rsidRPr="00C12632">
              <w:rPr>
                <w:b/>
                <w:color w:val="000000"/>
                <w:sz w:val="15"/>
                <w:szCs w:val="15"/>
                <w:vertAlign w:val="superscript"/>
              </w:rPr>
              <w:t xml:space="preserve">(b)(c) </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56 428</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53 728</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10 091</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9 959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b/>
                <w:color w:val="000000"/>
                <w:sz w:val="15"/>
                <w:szCs w:val="15"/>
              </w:rPr>
              <w:t>Payments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Payments for employees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(19 621)</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(18 619)</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(1 121)</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(1 054)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Superannuation</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(2 877)</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(2 771)</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sz w:val="15"/>
              </w:rPr>
            </w:pPr>
            <w:r w:rsidRPr="00C12632">
              <w:rPr>
                <w:color w:val="000000"/>
                <w:sz w:val="15"/>
                <w:szCs w:val="15"/>
              </w:rPr>
              <w:t>(113)</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(106)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Interest paid</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(2 040)</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(2 062)</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(1 048)</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(1 158)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Grants and subsidies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(8 538)</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(8 564)</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sz w:val="15"/>
              </w:rPr>
            </w:pPr>
            <w:r w:rsidRPr="00C12632">
              <w:rPr>
                <w:color w:val="000000"/>
                <w:sz w:val="15"/>
                <w:szCs w:val="15"/>
              </w:rPr>
              <w:t>(162)</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Goods and services </w:t>
            </w:r>
            <w:r w:rsidRPr="00C12632">
              <w:rPr>
                <w:color w:val="000000"/>
                <w:sz w:val="15"/>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(17 257)</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(16 835)</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(3 822)</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(3 954)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Other payments</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(736)</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(1 057)</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(1 986)</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(1 968)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Total payments</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(51 069)</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(49 908)</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(8 253)</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(8 309)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 xml:space="preserve">Net cash flows from operating activities </w:t>
            </w:r>
            <w:r w:rsidRPr="00C12632">
              <w:rPr>
                <w:b/>
                <w:color w:val="000000"/>
                <w:sz w:val="15"/>
                <w:szCs w:val="15"/>
                <w:vertAlign w:val="superscript"/>
              </w:rPr>
              <w:t xml:space="preserve">(b)(c) </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5 359</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3 819</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1 838</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1 650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b/>
                <w:color w:val="000000"/>
                <w:sz w:val="15"/>
                <w:szCs w:val="15"/>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Purchases of non-financial assets </w:t>
            </w:r>
            <w:r w:rsidRPr="00C12632">
              <w:rPr>
                <w:color w:val="000000"/>
                <w:sz w:val="15"/>
                <w:szCs w:val="15"/>
                <w:vertAlign w:val="superscript"/>
              </w:rPr>
              <w:t>(d)</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(4 420)</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(4 369)</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(2 381)</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(2 211)</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Sales of non-financial assets</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190</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398</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263</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196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 xml:space="preserve">Cash flows from investments in non-financial assets </w:t>
            </w:r>
            <w:r w:rsidRPr="00C12632">
              <w:rPr>
                <w:b/>
                <w:color w:val="000000"/>
                <w:sz w:val="15"/>
                <w:szCs w:val="15"/>
                <w:vertAlign w:val="superscript"/>
              </w:rPr>
              <w:t>(d)</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(4 230)</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(3 972)</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(2 118)</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(2 015)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b/>
                <w:color w:val="000000"/>
                <w:sz w:val="15"/>
                <w:szCs w:val="15"/>
                <w:vertAlign w:val="superscript"/>
              </w:rPr>
            </w:pPr>
            <w:r w:rsidRPr="00C12632">
              <w:rPr>
                <w:b/>
                <w:color w:val="000000"/>
                <w:sz w:val="15"/>
                <w:szCs w:val="15"/>
              </w:rPr>
              <w:t xml:space="preserve">Cash flows from investments in financial assets for policy purposes </w:t>
            </w:r>
            <w:r w:rsidRPr="00C12632">
              <w:rPr>
                <w:b/>
                <w:color w:val="000000"/>
                <w:sz w:val="15"/>
                <w:szCs w:val="15"/>
                <w:vertAlign w:val="superscript"/>
              </w:rPr>
              <w:t>(c)(d)</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Cash inflows </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564</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361</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74</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vertAlign w:val="superscript"/>
              </w:rPr>
            </w:pPr>
            <w:r w:rsidRPr="00C12632">
              <w:rPr>
                <w:color w:val="000000"/>
                <w:sz w:val="15"/>
                <w:szCs w:val="15"/>
              </w:rPr>
              <w:t xml:space="preserve">Cash outflows </w:t>
            </w:r>
            <w:r w:rsidRPr="00C12632">
              <w:rPr>
                <w:color w:val="000000"/>
                <w:sz w:val="15"/>
                <w:szCs w:val="15"/>
                <w:vertAlign w:val="superscript"/>
              </w:rPr>
              <w:t>(c)(d)</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(471)</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(1 243)</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(5)</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(23)</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Net cash flows from investments in financial assets for policy purposes</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93</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(883)</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69</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39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917C2D">
            <w:pPr>
              <w:spacing w:before="0" w:after="0"/>
              <w:ind w:left="113" w:hanging="113"/>
              <w:rPr>
                <w:color w:val="000000"/>
                <w:sz w:val="15"/>
                <w:szCs w:val="15"/>
              </w:rPr>
            </w:pPr>
            <w:r w:rsidRPr="00C12632">
              <w:rPr>
                <w:b/>
                <w:color w:val="000000"/>
                <w:sz w:val="15"/>
                <w:szCs w:val="15"/>
              </w:rPr>
              <w:t xml:space="preserve">Cash flows from investments in financial assets for liquidity management purposes </w:t>
            </w:r>
            <w:r w:rsidRPr="00C12632">
              <w:rPr>
                <w:b/>
                <w:color w:val="000000"/>
                <w:sz w:val="15"/>
                <w:szCs w:val="15"/>
                <w:vertAlign w:val="superscript"/>
              </w:rPr>
              <w:t>(b)(e)(f)</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sz w:val="15"/>
              </w:rPr>
            </w:pPr>
            <w:r w:rsidRPr="00C12632">
              <w:rPr>
                <w:color w:val="000000"/>
                <w:sz w:val="15"/>
                <w:szCs w:val="15"/>
              </w:rPr>
              <w:t>Cash inflows</w:t>
            </w:r>
            <w:r w:rsidRPr="00C12632">
              <w:rPr>
                <w:color w:val="000000"/>
                <w:sz w:val="15"/>
                <w:szCs w:val="15"/>
                <w:vertAlign w:val="superscript"/>
              </w:rPr>
              <w:t xml:space="preserve"> (</w:t>
            </w:r>
            <w:r w:rsidRPr="00C12632">
              <w:rPr>
                <w:sz w:val="15"/>
                <w:vertAlign w:val="superscript"/>
              </w:rPr>
              <w:t>b)</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2 384</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891</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307</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242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vertAlign w:val="superscript"/>
              </w:rPr>
            </w:pPr>
            <w:r w:rsidRPr="00C12632">
              <w:rPr>
                <w:color w:val="000000"/>
                <w:sz w:val="15"/>
                <w:szCs w:val="15"/>
              </w:rPr>
              <w:t xml:space="preserve">Cash outflows </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(1 848)</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(1 261)</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(281)</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(145)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rsidR="00DF17E9" w:rsidRPr="00C12632" w:rsidRDefault="00DF17E9" w:rsidP="00917C2D">
            <w:pPr>
              <w:spacing w:before="0" w:after="0"/>
              <w:ind w:left="113" w:hanging="113"/>
              <w:rPr>
                <w:color w:val="000000"/>
                <w:sz w:val="15"/>
                <w:szCs w:val="15"/>
              </w:rPr>
            </w:pPr>
            <w:r w:rsidRPr="00C12632">
              <w:rPr>
                <w:b/>
                <w:color w:val="000000"/>
                <w:sz w:val="15"/>
                <w:szCs w:val="15"/>
              </w:rPr>
              <w:t>Net cash flows from investments in financial assets for liquidity management purposes</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sz w:val="15"/>
              </w:rPr>
            </w:pPr>
            <w:r w:rsidRPr="00C12632">
              <w:rPr>
                <w:b/>
                <w:color w:val="000000"/>
                <w:sz w:val="15"/>
                <w:szCs w:val="15"/>
              </w:rPr>
              <w:t>535</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(370)</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sz w:val="15"/>
              </w:rPr>
            </w:pPr>
            <w:r w:rsidRPr="00C12632">
              <w:rPr>
                <w:b/>
                <w:color w:val="000000"/>
                <w:sz w:val="15"/>
                <w:szCs w:val="15"/>
              </w:rPr>
              <w:t>25</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97</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b/>
                <w:color w:val="000000"/>
                <w:sz w:val="15"/>
                <w:szCs w:val="15"/>
                <w:vertAlign w:val="superscript"/>
              </w:rPr>
            </w:pPr>
            <w:r w:rsidRPr="00C12632">
              <w:rPr>
                <w:b/>
                <w:color w:val="000000"/>
                <w:sz w:val="15"/>
                <w:szCs w:val="15"/>
              </w:rPr>
              <w:t xml:space="preserve">Net cash flows from investing activities </w:t>
            </w:r>
            <w:r w:rsidRPr="00C12632">
              <w:rPr>
                <w:b/>
                <w:color w:val="000000"/>
                <w:sz w:val="15"/>
                <w:szCs w:val="15"/>
                <w:vertAlign w:val="superscript"/>
              </w:rPr>
              <w:t>(b)(c)(d)</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(3 602)</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(5 224)</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(2 024)</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(1 878)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sz w:val="15"/>
              </w:rPr>
            </w:pPr>
            <w:r w:rsidRPr="00C12632">
              <w:rPr>
                <w:b/>
                <w:color w:val="000000"/>
                <w:sz w:val="15"/>
                <w:szCs w:val="15"/>
              </w:rPr>
              <w:t>Cash flows from financing activities</w:t>
            </w:r>
            <w:r w:rsidRPr="00C12632">
              <w:rPr>
                <w:color w:val="000000"/>
                <w:sz w:val="15"/>
                <w:szCs w:val="15"/>
              </w:rPr>
              <w:t xml:space="preserve"> </w:t>
            </w:r>
            <w:r w:rsidRPr="00C12632">
              <w:rPr>
                <w:sz w:val="15"/>
                <w:vertAlign w:val="superscript"/>
              </w:rPr>
              <w:t>(c)(d)</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Advances received</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2</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Advances repaid</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(4)</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Advances received (net) </w:t>
            </w:r>
            <w:r w:rsidRPr="00C12632">
              <w:rPr>
                <w:color w:val="000000"/>
                <w:sz w:val="15"/>
                <w:szCs w:val="15"/>
                <w:vertAlign w:val="superscript"/>
              </w:rPr>
              <w:t>(e)</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(2)</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Borrowings received</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291</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1 306</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461</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736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Borrowings repaid</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(1 623)</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(293)</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(639)</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(1 212)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Net borrowings </w:t>
            </w:r>
            <w:r w:rsidRPr="00C12632">
              <w:rPr>
                <w:color w:val="000000"/>
                <w:sz w:val="15"/>
                <w:szCs w:val="15"/>
                <w:vertAlign w:val="superscript"/>
              </w:rPr>
              <w:t xml:space="preserve">(e) </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(1 332)</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1 013</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(178)</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(475)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Deposits received</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799</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431</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72</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Deposits repaid</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(734)</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(340)</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(99)</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(52)</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Deposits received (net) </w:t>
            </w:r>
            <w:r w:rsidRPr="00C12632">
              <w:rPr>
                <w:color w:val="000000"/>
                <w:sz w:val="15"/>
                <w:szCs w:val="15"/>
                <w:vertAlign w:val="superscript"/>
              </w:rPr>
              <w:t>(e)</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65</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91</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(27)</w:t>
            </w:r>
          </w:p>
        </w:tc>
        <w:tc>
          <w:tcPr>
            <w:tcW w:w="1099"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9</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sz w:val="15"/>
              </w:rPr>
            </w:pPr>
            <w:r w:rsidRPr="00C12632">
              <w:rPr>
                <w:color w:val="000000"/>
                <w:sz w:val="15"/>
                <w:szCs w:val="15"/>
              </w:rPr>
              <w:t xml:space="preserve">Other financing inflows </w:t>
            </w:r>
            <w:r w:rsidRPr="00C12632">
              <w:rPr>
                <w:sz w:val="15"/>
                <w:vertAlign w:val="superscript"/>
              </w:rPr>
              <w:t>(c)</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454</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1 004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sz w:val="15"/>
              </w:rPr>
            </w:pPr>
            <w:r w:rsidRPr="00C12632">
              <w:rPr>
                <w:color w:val="000000"/>
                <w:sz w:val="15"/>
                <w:szCs w:val="15"/>
              </w:rPr>
              <w:t xml:space="preserve">Other financing outflows </w:t>
            </w:r>
            <w:r w:rsidRPr="00C12632">
              <w:rPr>
                <w:sz w:val="15"/>
                <w:vertAlign w:val="superscript"/>
              </w:rPr>
              <w:t>(d)</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(350)</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(216)</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Other financing (net) </w:t>
            </w:r>
            <w:r w:rsidRPr="00C12632">
              <w:rPr>
                <w:color w:val="000000"/>
                <w:sz w:val="15"/>
                <w:szCs w:val="15"/>
                <w:vertAlign w:val="superscript"/>
              </w:rPr>
              <w:t>(c)(d)(e)</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sz w:val="15"/>
              </w:rPr>
            </w:pPr>
            <w:r w:rsidRPr="00C12632">
              <w:rPr>
                <w:color w:val="000000"/>
                <w:sz w:val="15"/>
                <w:szCs w:val="15"/>
              </w:rPr>
              <w:t>103</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788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(1 267)</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1 105</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6" w:space="0" w:color="auto"/>
            </w:tcBorders>
          </w:tcPr>
          <w:p w:rsidR="00DF17E9" w:rsidRPr="00C12632" w:rsidRDefault="00DF17E9" w:rsidP="00044843">
            <w:pPr>
              <w:spacing w:before="0" w:after="0"/>
              <w:rPr>
                <w:sz w:val="15"/>
              </w:rPr>
            </w:pPr>
            <w:r w:rsidRPr="00C12632">
              <w:rPr>
                <w:b/>
                <w:color w:val="000000"/>
                <w:sz w:val="15"/>
                <w:szCs w:val="15"/>
              </w:rPr>
              <w:t>(104)</w:t>
            </w:r>
          </w:p>
        </w:tc>
        <w:tc>
          <w:tcPr>
            <w:tcW w:w="1099"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337</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nil"/>
            </w:tcBorders>
          </w:tcPr>
          <w:p w:rsidR="00DF17E9" w:rsidRPr="00C12632" w:rsidRDefault="00DF17E9" w:rsidP="00044843">
            <w:pPr>
              <w:spacing w:before="0" w:after="0"/>
              <w:ind w:left="0" w:firstLine="0"/>
              <w:rPr>
                <w:color w:val="000000"/>
                <w:sz w:val="15"/>
                <w:szCs w:val="15"/>
              </w:rPr>
            </w:pPr>
            <w:r w:rsidRPr="00C12632">
              <w:rPr>
                <w:b/>
                <w:color w:val="000000"/>
                <w:sz w:val="15"/>
                <w:szCs w:val="15"/>
              </w:rPr>
              <w:t>Net increase/(decrease) in cash and cash equivalents</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nil"/>
            </w:tcBorders>
          </w:tcPr>
          <w:p w:rsidR="00DF17E9" w:rsidRPr="00C12632" w:rsidRDefault="00DF17E9" w:rsidP="00044843">
            <w:pPr>
              <w:spacing w:before="0" w:after="0"/>
              <w:rPr>
                <w:sz w:val="15"/>
              </w:rPr>
            </w:pPr>
            <w:r w:rsidRPr="00C12632">
              <w:rPr>
                <w:b/>
                <w:color w:val="000000"/>
                <w:sz w:val="15"/>
                <w:szCs w:val="15"/>
              </w:rPr>
              <w:t>490</w:t>
            </w:r>
          </w:p>
        </w:tc>
        <w:tc>
          <w:tcPr>
            <w:tcW w:w="1099" w:type="dxa"/>
            <w:tcBorders>
              <w:top w:val="single" w:sz="6" w:space="0" w:color="auto"/>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(301)</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nil"/>
            </w:tcBorders>
          </w:tcPr>
          <w:p w:rsidR="00DF17E9" w:rsidRPr="00C12632" w:rsidRDefault="00DF17E9" w:rsidP="00044843">
            <w:pPr>
              <w:spacing w:before="0" w:after="0"/>
              <w:rPr>
                <w:sz w:val="15"/>
              </w:rPr>
            </w:pPr>
            <w:r w:rsidRPr="00C12632">
              <w:rPr>
                <w:b/>
                <w:color w:val="000000"/>
                <w:sz w:val="15"/>
                <w:szCs w:val="15"/>
              </w:rPr>
              <w:t>(290)</w:t>
            </w:r>
          </w:p>
        </w:tc>
        <w:tc>
          <w:tcPr>
            <w:tcW w:w="1099" w:type="dxa"/>
            <w:tcBorders>
              <w:top w:val="single" w:sz="6" w:space="0" w:color="auto"/>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108</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Cash and cash equivalents at beginning of the financial year</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4 282</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4 582</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1 092</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984</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 xml:space="preserve">Cash and cash equivalents at end of the financial year </w:t>
            </w:r>
            <w:r w:rsidRPr="00C12632">
              <w:rPr>
                <w:b/>
                <w:color w:val="000000"/>
                <w:sz w:val="15"/>
                <w:szCs w:val="15"/>
                <w:vertAlign w:val="superscript"/>
              </w:rPr>
              <w:t>(g)</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12" w:space="0" w:color="auto"/>
            </w:tcBorders>
          </w:tcPr>
          <w:p w:rsidR="00DF17E9" w:rsidRPr="00C12632" w:rsidRDefault="00DF17E9" w:rsidP="00044843">
            <w:pPr>
              <w:spacing w:before="0" w:after="0"/>
              <w:rPr>
                <w:color w:val="000000"/>
                <w:sz w:val="15"/>
                <w:szCs w:val="15"/>
              </w:rPr>
            </w:pPr>
            <w:r w:rsidRPr="00C12632">
              <w:rPr>
                <w:b/>
                <w:color w:val="000000"/>
                <w:sz w:val="15"/>
                <w:szCs w:val="15"/>
              </w:rPr>
              <w:t>4 772</w:t>
            </w:r>
          </w:p>
        </w:tc>
        <w:tc>
          <w:tcPr>
            <w:tcW w:w="1099"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4 282</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12" w:space="0" w:color="auto"/>
            </w:tcBorders>
          </w:tcPr>
          <w:p w:rsidR="00DF17E9" w:rsidRPr="00C12632" w:rsidRDefault="00DF17E9" w:rsidP="00044843">
            <w:pPr>
              <w:spacing w:before="0" w:after="0"/>
              <w:rPr>
                <w:sz w:val="15"/>
              </w:rPr>
            </w:pPr>
            <w:r w:rsidRPr="00C12632">
              <w:rPr>
                <w:b/>
                <w:color w:val="000000"/>
                <w:sz w:val="15"/>
                <w:szCs w:val="15"/>
              </w:rPr>
              <w:t>802</w:t>
            </w:r>
          </w:p>
        </w:tc>
        <w:tc>
          <w:tcPr>
            <w:tcW w:w="1099"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1 092</w:t>
            </w:r>
          </w:p>
        </w:tc>
      </w:tr>
      <w:tr w:rsidR="00DF17E9" w:rsidRPr="00C12632" w:rsidTr="00F81416">
        <w:trPr>
          <w:trHeight w:hRule="exact" w:val="120"/>
        </w:trPr>
        <w:tc>
          <w:tcPr>
            <w:cnfStyle w:val="001000000000" w:firstRow="0" w:lastRow="0" w:firstColumn="1" w:lastColumn="0" w:oddVBand="0" w:evenVBand="0" w:oddHBand="0" w:evenHBand="0" w:firstRowFirstColumn="0" w:firstRowLastColumn="0" w:lastRowFirstColumn="0" w:lastRowLastColumn="0"/>
            <w:tcW w:w="5274" w:type="dxa"/>
            <w:tcBorders>
              <w:top w:val="single" w:sz="12" w:space="0" w:color="auto"/>
            </w:tcBorders>
          </w:tcPr>
          <w:p w:rsidR="00DF17E9" w:rsidRPr="00C12632" w:rsidRDefault="00DF17E9" w:rsidP="00044843">
            <w:pPr>
              <w:spacing w:before="0" w:after="0"/>
              <w:ind w:left="0" w:firstLine="0"/>
              <w:rPr>
                <w:color w:val="000000"/>
                <w:sz w:val="15"/>
                <w:szCs w:val="15"/>
              </w:rPr>
            </w:pPr>
            <w:r w:rsidRPr="00C12632">
              <w:rPr>
                <w:b/>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Borders>
              <w:top w:val="single" w:sz="12" w:space="0" w:color="auto"/>
            </w:tcBorders>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Borders>
              <w:top w:val="single" w:sz="12" w:space="0" w:color="auto"/>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Borders>
              <w:top w:val="single" w:sz="12" w:space="0" w:color="auto"/>
            </w:tcBorders>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Borders>
              <w:top w:val="single" w:sz="12" w:space="0" w:color="auto"/>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b/>
                <w:color w:val="000000"/>
                <w:sz w:val="15"/>
                <w:szCs w:val="15"/>
              </w:rPr>
              <w:t>FISCAL AGGREGATES</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jc w:val="left"/>
              <w:rPr>
                <w:color w:val="000000"/>
                <w:sz w:val="15"/>
                <w:szCs w:val="15"/>
              </w:rPr>
            </w:pPr>
            <w:r w:rsidRPr="00C12632">
              <w:rPr>
                <w:color w:val="000000"/>
                <w:sz w:val="15"/>
                <w:szCs w:val="15"/>
              </w:rPr>
              <w:t xml:space="preserve"> </w:t>
            </w:r>
          </w:p>
        </w:tc>
        <w:tc>
          <w:tcPr>
            <w:tcW w:w="1099" w:type="dxa"/>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Net cash flows from operating activities </w:t>
            </w:r>
            <w:r w:rsidRPr="00C12632">
              <w:rPr>
                <w:color w:val="000000"/>
                <w:sz w:val="15"/>
                <w:szCs w:val="15"/>
                <w:vertAlign w:val="superscript"/>
              </w:rPr>
              <w:t xml:space="preserve">(b)(c) </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5 359</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3 819</w:t>
            </w:r>
          </w:p>
        </w:tc>
        <w:tc>
          <w:tcPr>
            <w:cnfStyle w:val="000010000000" w:firstRow="0" w:lastRow="0" w:firstColumn="0" w:lastColumn="0" w:oddVBand="1" w:evenVBand="0" w:oddHBand="0" w:evenHBand="0" w:firstRowFirstColumn="0" w:firstRowLastColumn="0" w:lastRowFirstColumn="0" w:lastRowLastColumn="0"/>
            <w:tcW w:w="1098" w:type="dxa"/>
          </w:tcPr>
          <w:p w:rsidR="00DF17E9" w:rsidRPr="00C12632" w:rsidRDefault="00DF17E9" w:rsidP="00044843">
            <w:pPr>
              <w:spacing w:before="0" w:after="0"/>
              <w:rPr>
                <w:color w:val="000000"/>
                <w:sz w:val="15"/>
                <w:szCs w:val="15"/>
              </w:rPr>
            </w:pPr>
            <w:r w:rsidRPr="00C12632">
              <w:rPr>
                <w:color w:val="000000"/>
                <w:sz w:val="15"/>
                <w:szCs w:val="15"/>
              </w:rPr>
              <w:t>1 838</w:t>
            </w:r>
          </w:p>
        </w:tc>
        <w:tc>
          <w:tcPr>
            <w:tcW w:w="1099"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1 650</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nil"/>
            </w:tcBorders>
          </w:tcPr>
          <w:p w:rsidR="00DF17E9" w:rsidRPr="00C12632" w:rsidRDefault="00DF17E9" w:rsidP="00044843">
            <w:pPr>
              <w:spacing w:before="0" w:after="0"/>
              <w:ind w:left="0" w:firstLine="0"/>
              <w:rPr>
                <w:color w:val="000000"/>
                <w:sz w:val="15"/>
                <w:szCs w:val="15"/>
              </w:rPr>
            </w:pPr>
            <w:r w:rsidRPr="00C12632">
              <w:rPr>
                <w:color w:val="000000"/>
                <w:sz w:val="15"/>
                <w:szCs w:val="15"/>
              </w:rPr>
              <w:t>Dividends paid</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098" w:type="dxa"/>
            <w:tcBorders>
              <w:bottom w:val="nil"/>
            </w:tcBorders>
          </w:tcPr>
          <w:p w:rsidR="00DF17E9" w:rsidRPr="00C12632" w:rsidRDefault="00DF17E9" w:rsidP="00044843">
            <w:pPr>
              <w:spacing w:before="0" w:after="0"/>
              <w:rPr>
                <w:sz w:val="15"/>
              </w:rPr>
            </w:pPr>
            <w:r w:rsidRPr="00C12632">
              <w:rPr>
                <w:color w:val="000000"/>
                <w:sz w:val="15"/>
                <w:szCs w:val="15"/>
              </w:rPr>
              <w:t>(149)</w:t>
            </w:r>
          </w:p>
        </w:tc>
        <w:tc>
          <w:tcPr>
            <w:tcW w:w="1099"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(255)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rsidR="00DF17E9" w:rsidRPr="00C12632" w:rsidRDefault="00DF17E9" w:rsidP="00044843">
            <w:pPr>
              <w:spacing w:before="0" w:after="0"/>
              <w:ind w:left="0" w:firstLine="0"/>
              <w:rPr>
                <w:color w:val="000000"/>
                <w:sz w:val="15"/>
                <w:szCs w:val="15"/>
              </w:rPr>
            </w:pPr>
            <w:r w:rsidRPr="00C12632">
              <w:rPr>
                <w:color w:val="000000"/>
                <w:sz w:val="15"/>
                <w:szCs w:val="15"/>
              </w:rPr>
              <w:t xml:space="preserve">Net cash flows from investments in non-financial assets </w:t>
            </w:r>
            <w:r w:rsidRPr="00C12632">
              <w:rPr>
                <w:color w:val="000000"/>
                <w:sz w:val="15"/>
                <w:szCs w:val="15"/>
                <w:vertAlign w:val="superscript"/>
              </w:rPr>
              <w:t>(d)</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(4 230)</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(3 972)</w:t>
            </w:r>
          </w:p>
        </w:tc>
        <w:tc>
          <w:tcPr>
            <w:cnfStyle w:val="000010000000" w:firstRow="0" w:lastRow="0" w:firstColumn="0" w:lastColumn="0" w:oddVBand="1" w:evenVBand="0" w:oddHBand="0" w:evenHBand="0" w:firstRowFirstColumn="0" w:firstRowLastColumn="0" w:lastRowFirstColumn="0" w:lastRowLastColumn="0"/>
            <w:tcW w:w="1098"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(2 118)</w:t>
            </w:r>
          </w:p>
        </w:tc>
        <w:tc>
          <w:tcPr>
            <w:tcW w:w="1099"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(2 015)</w:t>
            </w:r>
          </w:p>
        </w:tc>
      </w:tr>
      <w:tr w:rsidR="00DF17E9" w:rsidRPr="00C12632" w:rsidTr="00F81416">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rsidR="00DF17E9" w:rsidRPr="00C12632" w:rsidRDefault="00DF17E9" w:rsidP="00044843">
            <w:pPr>
              <w:spacing w:before="0" w:after="0"/>
              <w:ind w:left="0" w:firstLine="0"/>
              <w:rPr>
                <w:sz w:val="15"/>
              </w:rPr>
            </w:pPr>
            <w:r w:rsidRPr="00C12632">
              <w:rPr>
                <w:b/>
                <w:color w:val="000000"/>
                <w:sz w:val="15"/>
                <w:szCs w:val="15"/>
              </w:rPr>
              <w:t>Cash surplus/(deficit)</w:t>
            </w:r>
            <w:r w:rsidRPr="00C12632">
              <w:rPr>
                <w:color w:val="000000"/>
                <w:sz w:val="15"/>
                <w:szCs w:val="15"/>
              </w:rPr>
              <w:t xml:space="preserve"> </w:t>
            </w:r>
            <w:r w:rsidRPr="00C12632">
              <w:rPr>
                <w:sz w:val="15"/>
                <w:vertAlign w:val="superscript"/>
              </w:rPr>
              <w:t>(b)(c)(d)</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12" w:space="0" w:color="auto"/>
            </w:tcBorders>
          </w:tcPr>
          <w:p w:rsidR="00DF17E9" w:rsidRPr="00C12632" w:rsidRDefault="00DF17E9" w:rsidP="00044843">
            <w:pPr>
              <w:spacing w:before="0" w:after="0"/>
              <w:rPr>
                <w:color w:val="000000"/>
                <w:sz w:val="15"/>
                <w:szCs w:val="15"/>
              </w:rPr>
            </w:pPr>
            <w:r w:rsidRPr="00C12632">
              <w:rPr>
                <w:b/>
                <w:color w:val="000000"/>
                <w:sz w:val="15"/>
                <w:szCs w:val="15"/>
              </w:rPr>
              <w:t>1 129</w:t>
            </w:r>
          </w:p>
        </w:tc>
        <w:tc>
          <w:tcPr>
            <w:tcW w:w="1099"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(152)</w:t>
            </w:r>
          </w:p>
        </w:tc>
        <w:tc>
          <w:tcPr>
            <w:cnfStyle w:val="000010000000" w:firstRow="0" w:lastRow="0" w:firstColumn="0" w:lastColumn="0" w:oddVBand="1" w:evenVBand="0" w:oddHBand="0" w:evenHBand="0" w:firstRowFirstColumn="0" w:firstRowLastColumn="0" w:lastRowFirstColumn="0" w:lastRowLastColumn="0"/>
            <w:tcW w:w="1098" w:type="dxa"/>
            <w:tcBorders>
              <w:top w:val="single" w:sz="6" w:space="0" w:color="auto"/>
              <w:bottom w:val="single" w:sz="12" w:space="0" w:color="auto"/>
            </w:tcBorders>
          </w:tcPr>
          <w:p w:rsidR="00DF17E9" w:rsidRPr="00C12632" w:rsidRDefault="00DF17E9" w:rsidP="00044843">
            <w:pPr>
              <w:spacing w:before="0" w:after="0"/>
              <w:rPr>
                <w:sz w:val="15"/>
              </w:rPr>
            </w:pPr>
            <w:r w:rsidRPr="00C12632">
              <w:rPr>
                <w:b/>
                <w:color w:val="000000"/>
                <w:sz w:val="15"/>
                <w:szCs w:val="15"/>
              </w:rPr>
              <w:t>(429)</w:t>
            </w:r>
          </w:p>
        </w:tc>
        <w:tc>
          <w:tcPr>
            <w:tcW w:w="1099"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(621)</w:t>
            </w:r>
          </w:p>
        </w:tc>
      </w:tr>
    </w:tbl>
    <w:p w:rsidR="00DF17E9" w:rsidRDefault="00DF17E9" w:rsidP="00044843">
      <w:pPr>
        <w:pStyle w:val="Note"/>
      </w:pPr>
      <w:r>
        <w:t>Notes:</w:t>
      </w:r>
    </w:p>
    <w:p w:rsidR="00DF17E9" w:rsidRDefault="00DF17E9" w:rsidP="00044843">
      <w:pPr>
        <w:pStyle w:val="Note"/>
      </w:pPr>
      <w:r>
        <w:t>(a)</w:t>
      </w:r>
      <w:r>
        <w:tab/>
        <w:t>These items include goods and services tax.</w:t>
      </w:r>
    </w:p>
    <w:p w:rsidR="00DF17E9" w:rsidRDefault="00DF17E9" w:rsidP="00044843">
      <w:pPr>
        <w:pStyle w:val="Note"/>
      </w:pPr>
      <w:r>
        <w:t>(b)</w:t>
      </w:r>
      <w:r>
        <w:tab/>
      </w:r>
      <w:r w:rsidRPr="00C8331E">
        <w:t>June 2015 comparative figures have been restated to more consistently reflect the classification of insurance entities</w:t>
      </w:r>
      <w:r>
        <w:t>’</w:t>
      </w:r>
      <w:r w:rsidRPr="00C8331E">
        <w:t xml:space="preserve"> investment income between years.</w:t>
      </w:r>
    </w:p>
    <w:p w:rsidR="00DF17E9" w:rsidRDefault="00DF17E9" w:rsidP="00044843">
      <w:pPr>
        <w:pStyle w:val="Note"/>
      </w:pPr>
      <w:r>
        <w:t>(c)</w:t>
      </w:r>
      <w:r>
        <w:tab/>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(d)</w:t>
      </w:r>
      <w:r>
        <w:tab/>
        <w:t>June 2015 comparative figures have been restated to correct contributed capital and accumulated fund balances from the prior year machinery of government changes.</w:t>
      </w:r>
    </w:p>
    <w:p w:rsidR="00DF17E9" w:rsidRDefault="00DF17E9" w:rsidP="00044843">
      <w:pPr>
        <w:pStyle w:val="Note"/>
      </w:pPr>
      <w:r>
        <w:t>(e)</w:t>
      </w:r>
      <w:r>
        <w:tab/>
        <w:t>In accordance with AASB 107, Treasury Corporation of Victoria (TCV) is not required to gross up their cash flow information for whole of government consolidation purposes. The net cash movements for TCV have been added to cash inflows or outflows for both financial years ended 30 June 2016 and 30 June 2015.</w:t>
      </w:r>
    </w:p>
    <w:p w:rsidR="00DF17E9" w:rsidRDefault="00DF17E9" w:rsidP="00044843">
      <w:pPr>
        <w:pStyle w:val="Note"/>
      </w:pPr>
      <w:r>
        <w:t>(f)</w:t>
      </w:r>
      <w:r>
        <w:tab/>
        <w:t>The June 2015 cash flows resulting from the schools investments in financial assets for liquidity management purposes are reported on a net basis, with the net cash movement added to cash inflows or outflows.</w:t>
      </w:r>
    </w:p>
    <w:p w:rsidR="00DF17E9" w:rsidRDefault="00DF17E9" w:rsidP="00044843">
      <w:pPr>
        <w:pStyle w:val="Note"/>
      </w:pPr>
      <w:r>
        <w:t>(g)</w:t>
      </w:r>
      <w:r>
        <w:tab/>
        <w:t>Cash and cash equivalents at the end of the reporting period does not equal cash and deposits on the balance sheet. This is due to overdrafts being included in the cash flow statement balances. See Note 5.3.</w:t>
      </w:r>
    </w:p>
    <w:p w:rsidR="00DF17E9" w:rsidRPr="00C12632" w:rsidRDefault="00DF17E9" w:rsidP="00044843">
      <w:pPr>
        <w:pStyle w:val="Subheading"/>
        <w:rPr>
          <w:lang w:val="en-US"/>
        </w:rPr>
      </w:pPr>
    </w:p>
    <w:tbl>
      <w:tblPr>
        <w:tblStyle w:val="TableDTFGeneral"/>
        <w:tblW w:w="9636" w:type="dxa"/>
        <w:tblLayout w:type="fixed"/>
        <w:tblLook w:val="0220" w:firstRow="1" w:lastRow="0" w:firstColumn="0" w:lastColumn="0" w:noHBand="1" w:noVBand="0"/>
      </w:tblPr>
      <w:tblGrid>
        <w:gridCol w:w="1606"/>
        <w:gridCol w:w="1606"/>
        <w:gridCol w:w="1606"/>
        <w:gridCol w:w="1606"/>
        <w:gridCol w:w="1606"/>
        <w:gridCol w:w="1606"/>
      </w:tblGrid>
      <w:tr w:rsidR="00A87C72"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212" w:type="dxa"/>
            <w:gridSpan w:val="2"/>
          </w:tcPr>
          <w:p w:rsidR="00A87C72" w:rsidRPr="00C12632" w:rsidRDefault="00A87C72" w:rsidP="00A87C72">
            <w:pPr>
              <w:spacing w:before="0" w:after="0"/>
              <w:jc w:val="center"/>
              <w:rPr>
                <w:color w:val="FFFFFF"/>
                <w:sz w:val="15"/>
                <w:szCs w:val="15"/>
              </w:rPr>
            </w:pPr>
            <w:r w:rsidRPr="00C12632">
              <w:rPr>
                <w:color w:val="FFFFFF"/>
                <w:sz w:val="15"/>
                <w:szCs w:val="15"/>
              </w:rPr>
              <w:t>Public</w:t>
            </w:r>
            <w:r>
              <w:rPr>
                <w:color w:val="FFFFFF"/>
                <w:sz w:val="15"/>
                <w:szCs w:val="15"/>
              </w:rPr>
              <w:br/>
            </w:r>
            <w:r w:rsidRPr="00C12632">
              <w:rPr>
                <w:color w:val="FFFFFF"/>
                <w:sz w:val="15"/>
                <w:szCs w:val="15"/>
              </w:rPr>
              <w:t>financial corporations</w:t>
            </w:r>
          </w:p>
        </w:tc>
        <w:tc>
          <w:tcPr>
            <w:tcW w:w="3212" w:type="dxa"/>
            <w:gridSpan w:val="2"/>
          </w:tcPr>
          <w:p w:rsidR="00A87C72" w:rsidRPr="00C12632" w:rsidRDefault="00A87C72" w:rsidP="00044843">
            <w:pPr>
              <w:spacing w:before="0" w:after="0"/>
              <w:jc w:val="center"/>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 xml:space="preserve">Inter-sector </w:t>
            </w:r>
            <w:r w:rsidRPr="00C12632">
              <w:rPr>
                <w:color w:val="FFFFFF"/>
                <w:sz w:val="15"/>
                <w:szCs w:val="15"/>
              </w:rPr>
              <w:br/>
              <w:t>eliminations</w:t>
            </w:r>
          </w:p>
        </w:tc>
        <w:tc>
          <w:tcPr>
            <w:cnfStyle w:val="000010000000" w:firstRow="0" w:lastRow="0" w:firstColumn="0" w:lastColumn="0" w:oddVBand="1" w:evenVBand="0" w:oddHBand="0" w:evenHBand="0" w:firstRowFirstColumn="0" w:firstRowLastColumn="0" w:lastRowFirstColumn="0" w:lastRowLastColumn="0"/>
            <w:tcW w:w="3212" w:type="dxa"/>
            <w:gridSpan w:val="2"/>
          </w:tcPr>
          <w:p w:rsidR="00A87C72" w:rsidRPr="00C12632" w:rsidRDefault="00A87C72" w:rsidP="00A87C72">
            <w:pPr>
              <w:spacing w:before="0" w:after="0"/>
              <w:jc w:val="center"/>
              <w:rPr>
                <w:color w:val="FFFFFF"/>
                <w:sz w:val="15"/>
                <w:szCs w:val="15"/>
              </w:rPr>
            </w:pPr>
            <w:r w:rsidRPr="00C12632">
              <w:rPr>
                <w:color w:val="FFFFFF"/>
                <w:sz w:val="15"/>
                <w:szCs w:val="15"/>
              </w:rPr>
              <w:t xml:space="preserve">State of </w:t>
            </w:r>
            <w:r w:rsidRPr="00C12632">
              <w:rPr>
                <w:color w:val="FFFFFF"/>
                <w:sz w:val="15"/>
                <w:szCs w:val="15"/>
              </w:rPr>
              <w:br/>
              <w:t>Victoria</w:t>
            </w:r>
          </w:p>
        </w:tc>
      </w:tr>
      <w:tr w:rsidR="00DF17E9" w:rsidRPr="00C12632" w:rsidTr="00D35D1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FFFFFF"/>
                <w:sz w:val="15"/>
                <w:szCs w:val="15"/>
              </w:rPr>
            </w:pPr>
            <w:r w:rsidRPr="00C12632">
              <w:rPr>
                <w:color w:val="FFFFFF"/>
                <w:sz w:val="15"/>
                <w:szCs w:val="15"/>
              </w:rPr>
              <w:t>2016</w:t>
            </w:r>
          </w:p>
        </w:tc>
        <w:tc>
          <w:tcPr>
            <w:tcW w:w="1606" w:type="dxa"/>
          </w:tcPr>
          <w:p w:rsidR="00DF17E9" w:rsidRPr="00C12632"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2015</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FFFFFF"/>
                <w:sz w:val="15"/>
                <w:szCs w:val="15"/>
              </w:rPr>
            </w:pPr>
            <w:r w:rsidRPr="00C12632">
              <w:rPr>
                <w:color w:val="FFFFFF"/>
                <w:sz w:val="15"/>
                <w:szCs w:val="15"/>
              </w:rPr>
              <w:t>2016</w:t>
            </w:r>
          </w:p>
        </w:tc>
        <w:tc>
          <w:tcPr>
            <w:tcW w:w="1606" w:type="dxa"/>
          </w:tcPr>
          <w:p w:rsidR="00DF17E9" w:rsidRPr="00C12632"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2015</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FFFFFF"/>
                <w:sz w:val="15"/>
                <w:szCs w:val="15"/>
              </w:rPr>
            </w:pPr>
            <w:r w:rsidRPr="00C12632">
              <w:rPr>
                <w:color w:val="FFFFFF"/>
                <w:sz w:val="15"/>
                <w:szCs w:val="15"/>
              </w:rPr>
              <w:t>2016</w:t>
            </w:r>
          </w:p>
        </w:tc>
        <w:tc>
          <w:tcPr>
            <w:tcW w:w="1606" w:type="dxa"/>
          </w:tcPr>
          <w:p w:rsidR="00DF17E9" w:rsidRPr="00C12632" w:rsidRDefault="00DF17E9" w:rsidP="00044843">
            <w:pPr>
              <w:spacing w:before="0" w:after="0"/>
              <w:cnfStyle w:val="100000000000" w:firstRow="1" w:lastRow="0" w:firstColumn="0" w:lastColumn="0" w:oddVBand="0" w:evenVBand="0" w:oddHBand="0" w:evenHBand="0" w:firstRowFirstColumn="0" w:firstRowLastColumn="0" w:lastRowFirstColumn="0" w:lastRowLastColumn="0"/>
              <w:rPr>
                <w:color w:val="FFFFFF"/>
                <w:sz w:val="15"/>
                <w:szCs w:val="15"/>
              </w:rPr>
            </w:pPr>
            <w:r w:rsidRPr="00C12632">
              <w:rPr>
                <w:color w:val="FFFFFF"/>
                <w:sz w:val="15"/>
                <w:szCs w:val="15"/>
              </w:rPr>
              <w:t>2015</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i/>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i/>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i/>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i/>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i/>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i/>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(450)</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(403)</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19 325</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18 013</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(3 244)</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(3 007)</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25 203</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24 363</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4 582</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4 442</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(2 732)</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(2 855)</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15 892</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15 325</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2 078</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2 341</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(2 348)</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(2 450)</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557</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741</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szCs w:val="15"/>
              </w:rPr>
            </w:pPr>
            <w:r w:rsidRPr="00C12632">
              <w:rPr>
                <w:color w:val="000000"/>
                <w:sz w:val="15"/>
                <w:szCs w:val="15"/>
              </w:rPr>
              <w:t xml:space="preserve">1 </w:t>
            </w:r>
            <w:r w:rsidRPr="00C12632">
              <w:rPr>
                <w:sz w:val="15"/>
                <w:szCs w:val="15"/>
              </w:rPr>
              <w:t>111</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724</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(777)</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(996)</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szCs w:val="15"/>
              </w:rPr>
            </w:pPr>
            <w:r w:rsidRPr="00C12632">
              <w:rPr>
                <w:color w:val="000000"/>
                <w:sz w:val="15"/>
                <w:szCs w:val="15"/>
              </w:rPr>
              <w:t xml:space="preserve">1 </w:t>
            </w:r>
            <w:r w:rsidRPr="00C12632">
              <w:rPr>
                <w:sz w:val="15"/>
                <w:szCs w:val="15"/>
              </w:rPr>
              <w:t>158</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768</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58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52</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(33)</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2 627</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2 331</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7 829</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7 558</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(9 585)</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(9 704)</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64 763</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61 541</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(287)</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(274)</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384</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354</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(20 645)</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(19 593)</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(24)</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(23)</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(3 014)</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(2 900)</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szCs w:val="15"/>
              </w:rPr>
            </w:pPr>
            <w:r w:rsidRPr="00C12632">
              <w:rPr>
                <w:color w:val="000000"/>
                <w:sz w:val="15"/>
                <w:szCs w:val="15"/>
              </w:rPr>
              <w:t>(1 971</w:t>
            </w:r>
            <w:r w:rsidRPr="00C12632">
              <w:rPr>
                <w:sz w:val="15"/>
                <w:szCs w:val="15"/>
              </w:rPr>
              <w:t>)</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(2 111)</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2 348</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2 450</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(2 711)</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(2 882)</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(89)</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3 165</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2 886</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(5 623)</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(5 747)</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(4 199)</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(4 257)</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914</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1 211</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(24 365)</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(23 835)</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(138)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(23)</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2 391</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1 986</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(468)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(1 062)</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(6 707)</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(6 687)</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9 202</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8 886</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(56 826)</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(56 019)</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szCs w:val="15"/>
              </w:rPr>
            </w:pPr>
            <w:r w:rsidRPr="00C12632">
              <w:rPr>
                <w:b/>
                <w:color w:val="000000"/>
                <w:sz w:val="15"/>
                <w:szCs w:val="15"/>
              </w:rPr>
              <w:t>1 121</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871</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(382)</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(818)</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7 936</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5 522</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(34)</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(32)</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21</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(6 836)</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(6 591)</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454</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595</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(33)</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(30)</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21</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color w:val="000000"/>
                <w:sz w:val="15"/>
                <w:szCs w:val="15"/>
              </w:rPr>
            </w:pPr>
            <w:r w:rsidRPr="00C12632">
              <w:rPr>
                <w:b/>
                <w:color w:val="000000"/>
                <w:sz w:val="15"/>
                <w:szCs w:val="15"/>
              </w:rPr>
              <w:t>(6 382)</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(5 996)</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1 768</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(449)</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(47)</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189</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2 144</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(27)</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(423)</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325</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1 122</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(179)</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(567)</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(27)</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1 344</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(124)</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sz w:val="15"/>
                <w:szCs w:val="15"/>
              </w:rPr>
            </w:pPr>
            <w:r w:rsidRPr="00C12632">
              <w:rPr>
                <w:b/>
                <w:color w:val="000000"/>
                <w:sz w:val="15"/>
                <w:szCs w:val="15"/>
              </w:rPr>
              <w:t>1</w:t>
            </w:r>
            <w:r w:rsidRPr="00C12632">
              <w:rPr>
                <w:b/>
                <w:sz w:val="15"/>
                <w:szCs w:val="15"/>
              </w:rPr>
              <w:t xml:space="preserve"> 075</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11</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1 576</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F81416" w:rsidRDefault="00F81416" w:rsidP="00044843">
            <w:pPr>
              <w:spacing w:before="0" w:after="0"/>
              <w:rPr>
                <w:color w:val="000000"/>
                <w:sz w:val="15"/>
                <w:szCs w:val="15"/>
              </w:rPr>
            </w:pPr>
          </w:p>
          <w:p w:rsidR="00DF17E9" w:rsidRPr="00C12632" w:rsidRDefault="00DF17E9" w:rsidP="00044843">
            <w:pPr>
              <w:spacing w:before="0" w:after="0"/>
              <w:rPr>
                <w:color w:val="000000"/>
                <w:sz w:val="15"/>
                <w:szCs w:val="15"/>
              </w:rPr>
            </w:pPr>
            <w:r w:rsidRPr="00C12632">
              <w:rPr>
                <w:color w:val="000000"/>
                <w:sz w:val="15"/>
                <w:szCs w:val="15"/>
              </w:rPr>
              <w:t>11 203</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22 130</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szCs w:val="15"/>
              </w:rPr>
            </w:pPr>
            <w:r w:rsidRPr="00C12632">
              <w:rPr>
                <w:color w:val="000000"/>
                <w:sz w:val="15"/>
                <w:szCs w:val="15"/>
              </w:rPr>
              <w:t xml:space="preserve">(2 </w:t>
            </w:r>
            <w:r w:rsidRPr="00C12632">
              <w:rPr>
                <w:sz w:val="15"/>
                <w:szCs w:val="15"/>
              </w:rPr>
              <w:t>269)</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(480)</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11 625</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22 783</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(11 624)</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(25 056)</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808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1 360</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(12 945)</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(25 102)</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Default="00DF17E9" w:rsidP="00044843">
            <w:pPr>
              <w:spacing w:before="0" w:after="0"/>
              <w:rPr>
                <w:b/>
                <w:color w:val="000000"/>
                <w:sz w:val="15"/>
                <w:szCs w:val="15"/>
              </w:rPr>
            </w:pPr>
            <w:r w:rsidRPr="00C12632">
              <w:rPr>
                <w:b/>
                <w:color w:val="000000"/>
                <w:sz w:val="15"/>
                <w:szCs w:val="15"/>
              </w:rPr>
              <w:t>(421)</w:t>
            </w:r>
          </w:p>
          <w:p w:rsidR="00F81416" w:rsidRPr="00C12632" w:rsidRDefault="00F81416" w:rsidP="00044843">
            <w:pPr>
              <w:spacing w:before="0" w:after="0"/>
              <w:rPr>
                <w:sz w:val="15"/>
              </w:rPr>
            </w:pP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5"/>
                <w:szCs w:val="15"/>
              </w:rPr>
            </w:pPr>
            <w:r w:rsidRPr="00C12632">
              <w:rPr>
                <w:b/>
                <w:color w:val="000000"/>
                <w:sz w:val="15"/>
                <w:szCs w:val="15"/>
              </w:rPr>
              <w:t>(2 926)</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b/>
                <w:sz w:val="15"/>
                <w:szCs w:val="15"/>
              </w:rPr>
            </w:pPr>
            <w:r w:rsidRPr="00C12632">
              <w:rPr>
                <w:b/>
                <w:color w:val="000000"/>
                <w:sz w:val="15"/>
                <w:szCs w:val="15"/>
              </w:rPr>
              <w:t>(1</w:t>
            </w:r>
            <w:r w:rsidRPr="00C12632">
              <w:rPr>
                <w:b/>
                <w:sz w:val="15"/>
                <w:szCs w:val="15"/>
              </w:rPr>
              <w:t xml:space="preserve"> 460)</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879</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b/>
                <w:color w:val="000000"/>
                <w:sz w:val="15"/>
                <w:szCs w:val="15"/>
              </w:rPr>
            </w:pPr>
            <w:r w:rsidRPr="00C12632">
              <w:rPr>
                <w:b/>
                <w:color w:val="000000"/>
                <w:sz w:val="15"/>
                <w:szCs w:val="15"/>
              </w:rPr>
              <w:t>(1 320)</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5"/>
                <w:szCs w:val="15"/>
              </w:rPr>
            </w:pPr>
            <w:r w:rsidRPr="00C12632">
              <w:rPr>
                <w:b/>
                <w:color w:val="000000"/>
                <w:sz w:val="15"/>
                <w:szCs w:val="15"/>
              </w:rPr>
              <w:t>(2 319)</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b/>
                <w:color w:val="000000"/>
                <w:sz w:val="15"/>
                <w:szCs w:val="15"/>
              </w:rPr>
              <w:t>(482)</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5"/>
                <w:szCs w:val="15"/>
              </w:rPr>
            </w:pPr>
            <w:r w:rsidRPr="00C12632">
              <w:rPr>
                <w:b/>
                <w:color w:val="000000"/>
                <w:sz w:val="15"/>
                <w:szCs w:val="15"/>
              </w:rPr>
              <w:t>(1 612)</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b/>
                <w:sz w:val="15"/>
                <w:szCs w:val="15"/>
              </w:rPr>
            </w:pPr>
            <w:r w:rsidRPr="00C12632">
              <w:rPr>
                <w:b/>
                <w:color w:val="000000"/>
                <w:sz w:val="15"/>
                <w:szCs w:val="15"/>
              </w:rPr>
              <w:t>(1</w:t>
            </w:r>
            <w:r w:rsidRPr="00C12632">
              <w:rPr>
                <w:b/>
                <w:sz w:val="15"/>
                <w:szCs w:val="15"/>
              </w:rPr>
              <w:t xml:space="preserve"> 585)</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5"/>
                <w:szCs w:val="15"/>
              </w:rPr>
            </w:pPr>
            <w:r w:rsidRPr="00C12632">
              <w:rPr>
                <w:b/>
                <w:color w:val="000000"/>
                <w:sz w:val="15"/>
                <w:szCs w:val="15"/>
              </w:rPr>
              <w:t>1 975</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b/>
                <w:color w:val="000000"/>
                <w:sz w:val="15"/>
                <w:szCs w:val="15"/>
              </w:rPr>
            </w:pPr>
            <w:r w:rsidRPr="00C12632">
              <w:rPr>
                <w:b/>
                <w:color w:val="000000"/>
                <w:sz w:val="15"/>
                <w:szCs w:val="15"/>
              </w:rPr>
              <w:t>(7 692)</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b/>
                <w:color w:val="000000"/>
                <w:sz w:val="15"/>
                <w:szCs w:val="15"/>
              </w:rPr>
            </w:pPr>
            <w:r w:rsidRPr="00C12632">
              <w:rPr>
                <w:b/>
                <w:color w:val="000000"/>
                <w:sz w:val="15"/>
                <w:szCs w:val="15"/>
              </w:rPr>
              <w:t>(6 739)</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196</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64</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(26)</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(36)</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172</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45</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(147)</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(30)</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28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27</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(123)</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49</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34</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2</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(9)</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48</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39</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(86)</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78</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(627)</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(1 859)</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39</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263</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(88)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(649)</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1 925</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1 088</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(425)</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(1 066)</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(173)</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(571)</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1 298</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(770)</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(386)</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(803)</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245</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935</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(28)</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(758)</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szCs w:val="15"/>
              </w:rPr>
            </w:pPr>
            <w:r w:rsidRPr="00C12632">
              <w:rPr>
                <w:color w:val="000000"/>
                <w:sz w:val="15"/>
                <w:szCs w:val="15"/>
              </w:rPr>
              <w:t>1</w:t>
            </w:r>
            <w:r w:rsidRPr="00C12632">
              <w:rPr>
                <w:sz w:val="15"/>
                <w:szCs w:val="15"/>
              </w:rPr>
              <w:t xml:space="preserve"> 088</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668</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(267)</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(151)</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272</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84</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(828)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(458)</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(23)</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784</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244</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(674)</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tcBorders>
          </w:tcPr>
          <w:p w:rsidR="00DF17E9" w:rsidRPr="00C12632" w:rsidRDefault="00DF17E9" w:rsidP="00044843">
            <w:pPr>
              <w:spacing w:before="0" w:after="0"/>
              <w:rPr>
                <w:sz w:val="15"/>
              </w:rPr>
            </w:pPr>
            <w:r w:rsidRPr="00C12632">
              <w:rPr>
                <w:color w:val="000000"/>
                <w:sz w:val="15"/>
                <w:szCs w:val="15"/>
              </w:rPr>
              <w:t>259</w:t>
            </w:r>
          </w:p>
        </w:tc>
        <w:tc>
          <w:tcPr>
            <w:tcW w:w="1606"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210</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3</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(457)</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(1 004)</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(550)</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(489)</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900</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705</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sz w:val="15"/>
              </w:rPr>
            </w:pPr>
            <w:r w:rsidRPr="00C12632">
              <w:rPr>
                <w:color w:val="000000"/>
                <w:sz w:val="15"/>
                <w:szCs w:val="15"/>
              </w:rPr>
              <w:t>(547)</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(489)</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sz w:val="15"/>
              </w:rPr>
            </w:pPr>
            <w:r w:rsidRPr="00C12632">
              <w:rPr>
                <w:color w:val="000000"/>
                <w:sz w:val="15"/>
                <w:szCs w:val="15"/>
              </w:rPr>
              <w:t>443</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(299)</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sz w:val="15"/>
              </w:rPr>
            </w:pPr>
            <w:r w:rsidRPr="00C12632">
              <w:rPr>
                <w:color w:val="000000"/>
                <w:sz w:val="15"/>
                <w:szCs w:val="15"/>
              </w:rPr>
              <w:t>..</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sz w:val="15"/>
              </w:rPr>
            </w:pPr>
            <w:r w:rsidRPr="00C12632">
              <w:rPr>
                <w:b/>
                <w:color w:val="000000"/>
                <w:sz w:val="15"/>
                <w:szCs w:val="15"/>
              </w:rPr>
              <w:t>(695)</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(242)</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b/>
                <w:sz w:val="15"/>
                <w:szCs w:val="15"/>
              </w:rPr>
            </w:pPr>
            <w:r w:rsidRPr="00C12632">
              <w:rPr>
                <w:b/>
                <w:color w:val="000000"/>
                <w:sz w:val="15"/>
                <w:szCs w:val="15"/>
              </w:rPr>
              <w:t xml:space="preserve">1 </w:t>
            </w:r>
            <w:r w:rsidRPr="00C12632">
              <w:rPr>
                <w:b/>
                <w:sz w:val="15"/>
                <w:szCs w:val="15"/>
              </w:rPr>
              <w:t>987</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(1 753)</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6" w:space="0" w:color="auto"/>
            </w:tcBorders>
          </w:tcPr>
          <w:p w:rsidR="00DF17E9" w:rsidRPr="00C12632" w:rsidRDefault="00DF17E9" w:rsidP="00044843">
            <w:pPr>
              <w:spacing w:before="0" w:after="0"/>
              <w:rPr>
                <w:sz w:val="15"/>
              </w:rPr>
            </w:pPr>
            <w:r w:rsidRPr="00C12632">
              <w:rPr>
                <w:b/>
                <w:color w:val="000000"/>
                <w:sz w:val="15"/>
                <w:szCs w:val="15"/>
              </w:rPr>
              <w:t>(79)</w:t>
            </w:r>
          </w:p>
        </w:tc>
        <w:tc>
          <w:tcPr>
            <w:tcW w:w="1606" w:type="dxa"/>
            <w:tcBorders>
              <w:top w:val="single" w:sz="6" w:space="0" w:color="auto"/>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(554)</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nil"/>
            </w:tcBorders>
          </w:tcPr>
          <w:p w:rsidR="00DF17E9" w:rsidRPr="00C12632" w:rsidRDefault="00DF17E9" w:rsidP="00044843">
            <w:pPr>
              <w:spacing w:before="0" w:after="0"/>
              <w:rPr>
                <w:sz w:val="15"/>
              </w:rPr>
            </w:pPr>
            <w:r w:rsidRPr="00C12632">
              <w:rPr>
                <w:b/>
                <w:color w:val="000000"/>
                <w:sz w:val="15"/>
                <w:szCs w:val="15"/>
              </w:rPr>
              <w:t>(55)</w:t>
            </w:r>
          </w:p>
        </w:tc>
        <w:tc>
          <w:tcPr>
            <w:tcW w:w="1606" w:type="dxa"/>
            <w:tcBorders>
              <w:top w:val="single" w:sz="6" w:space="0" w:color="auto"/>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(983)</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nil"/>
            </w:tcBorders>
          </w:tcPr>
          <w:p w:rsidR="00DF17E9" w:rsidRPr="00C12632" w:rsidRDefault="00DF17E9" w:rsidP="00044843">
            <w:pPr>
              <w:spacing w:before="0" w:after="0"/>
              <w:rPr>
                <w:sz w:val="15"/>
              </w:rPr>
            </w:pPr>
            <w:r w:rsidRPr="00C12632">
              <w:rPr>
                <w:b/>
                <w:color w:val="000000"/>
                <w:sz w:val="15"/>
                <w:szCs w:val="15"/>
              </w:rPr>
              <w:t>20</w:t>
            </w:r>
          </w:p>
        </w:tc>
        <w:tc>
          <w:tcPr>
            <w:tcW w:w="1606" w:type="dxa"/>
            <w:tcBorders>
              <w:top w:val="single" w:sz="6" w:space="0" w:color="auto"/>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(595)</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nil"/>
            </w:tcBorders>
          </w:tcPr>
          <w:p w:rsidR="00DF17E9" w:rsidRPr="00C12632" w:rsidRDefault="00DF17E9" w:rsidP="00044843">
            <w:pPr>
              <w:spacing w:before="0" w:after="0"/>
              <w:rPr>
                <w:sz w:val="15"/>
              </w:rPr>
            </w:pPr>
            <w:r w:rsidRPr="00C12632">
              <w:rPr>
                <w:b/>
                <w:color w:val="000000"/>
                <w:sz w:val="15"/>
                <w:szCs w:val="15"/>
              </w:rPr>
              <w:t>166</w:t>
            </w:r>
          </w:p>
        </w:tc>
        <w:tc>
          <w:tcPr>
            <w:tcW w:w="1606" w:type="dxa"/>
            <w:tcBorders>
              <w:top w:val="single" w:sz="6" w:space="0" w:color="auto"/>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(1 771)</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4 708</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5 691</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(3 572)</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(2 976)</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6 510</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8 281</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12" w:space="0" w:color="auto"/>
            </w:tcBorders>
          </w:tcPr>
          <w:p w:rsidR="00DF17E9" w:rsidRPr="00C12632" w:rsidRDefault="00DF17E9" w:rsidP="00044843">
            <w:pPr>
              <w:spacing w:before="0" w:after="0"/>
              <w:rPr>
                <w:color w:val="000000"/>
                <w:sz w:val="15"/>
                <w:szCs w:val="15"/>
              </w:rPr>
            </w:pPr>
            <w:r w:rsidRPr="00C12632">
              <w:rPr>
                <w:b/>
                <w:color w:val="000000"/>
                <w:sz w:val="15"/>
                <w:szCs w:val="15"/>
              </w:rPr>
              <w:t>4 654</w:t>
            </w:r>
          </w:p>
        </w:tc>
        <w:tc>
          <w:tcPr>
            <w:tcW w:w="1606"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4 708</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12" w:space="0" w:color="auto"/>
            </w:tcBorders>
          </w:tcPr>
          <w:p w:rsidR="00DF17E9" w:rsidRPr="00C12632" w:rsidRDefault="00DF17E9" w:rsidP="00044843">
            <w:pPr>
              <w:spacing w:before="0" w:after="0"/>
              <w:rPr>
                <w:color w:val="000000"/>
                <w:sz w:val="15"/>
                <w:szCs w:val="15"/>
              </w:rPr>
            </w:pPr>
            <w:r w:rsidRPr="00C12632">
              <w:rPr>
                <w:b/>
                <w:color w:val="000000"/>
                <w:sz w:val="15"/>
                <w:szCs w:val="15"/>
              </w:rPr>
              <w:t>(3 552)</w:t>
            </w:r>
          </w:p>
        </w:tc>
        <w:tc>
          <w:tcPr>
            <w:tcW w:w="1606"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(3 572)</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12" w:space="0" w:color="auto"/>
            </w:tcBorders>
          </w:tcPr>
          <w:p w:rsidR="00DF17E9" w:rsidRPr="00C12632" w:rsidRDefault="00DF17E9" w:rsidP="00044843">
            <w:pPr>
              <w:spacing w:before="0" w:after="0"/>
              <w:rPr>
                <w:color w:val="000000"/>
                <w:sz w:val="15"/>
                <w:szCs w:val="15"/>
              </w:rPr>
            </w:pPr>
            <w:r w:rsidRPr="00C12632">
              <w:rPr>
                <w:b/>
                <w:color w:val="000000"/>
                <w:sz w:val="15"/>
                <w:szCs w:val="15"/>
              </w:rPr>
              <w:t>6 676</w:t>
            </w:r>
          </w:p>
        </w:tc>
        <w:tc>
          <w:tcPr>
            <w:tcW w:w="1606"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b/>
                <w:color w:val="000000"/>
                <w:sz w:val="15"/>
                <w:szCs w:val="15"/>
              </w:rPr>
              <w:t>6 510</w:t>
            </w:r>
          </w:p>
        </w:tc>
      </w:tr>
      <w:tr w:rsidR="00DF17E9" w:rsidRPr="00C12632" w:rsidTr="00D35D11">
        <w:trPr>
          <w:trHeight w:hRule="exact" w:val="120"/>
        </w:trPr>
        <w:tc>
          <w:tcPr>
            <w:cnfStyle w:val="000010000000" w:firstRow="0" w:lastRow="0" w:firstColumn="0" w:lastColumn="0" w:oddVBand="1" w:evenVBand="0" w:oddHBand="0" w:evenHBand="0" w:firstRowFirstColumn="0" w:firstRowLastColumn="0" w:lastRowFirstColumn="0" w:lastRowLastColumn="0"/>
            <w:tcW w:w="1606" w:type="dxa"/>
            <w:tcBorders>
              <w:top w:val="single" w:sz="12" w:space="0" w:color="auto"/>
            </w:tcBorders>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Borders>
              <w:top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Borders>
              <w:top w:val="single" w:sz="12" w:space="0" w:color="auto"/>
            </w:tcBorders>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Borders>
              <w:top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Borders>
              <w:top w:val="single" w:sz="12" w:space="0" w:color="auto"/>
            </w:tcBorders>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Borders>
              <w:top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 xml:space="preserve"> </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 xml:space="preserve"> </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szCs w:val="15"/>
              </w:rPr>
            </w:pPr>
            <w:r w:rsidRPr="00C12632">
              <w:rPr>
                <w:color w:val="000000"/>
                <w:sz w:val="15"/>
                <w:szCs w:val="15"/>
              </w:rPr>
              <w:t>1 121</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871</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sz w:val="15"/>
              </w:rPr>
            </w:pPr>
            <w:r w:rsidRPr="00C12632">
              <w:rPr>
                <w:color w:val="000000"/>
                <w:sz w:val="15"/>
                <w:szCs w:val="15"/>
              </w:rPr>
              <w:t>(382)</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(818)</w:t>
            </w:r>
          </w:p>
        </w:tc>
        <w:tc>
          <w:tcPr>
            <w:cnfStyle w:val="000010000000" w:firstRow="0" w:lastRow="0" w:firstColumn="0" w:lastColumn="0" w:oddVBand="1" w:evenVBand="0" w:oddHBand="0" w:evenHBand="0" w:firstRowFirstColumn="0" w:firstRowLastColumn="0" w:lastRowFirstColumn="0" w:lastRowLastColumn="0"/>
            <w:tcW w:w="1606" w:type="dxa"/>
          </w:tcPr>
          <w:p w:rsidR="00DF17E9" w:rsidRPr="00C12632" w:rsidRDefault="00DF17E9" w:rsidP="00044843">
            <w:pPr>
              <w:spacing w:before="0" w:after="0"/>
              <w:rPr>
                <w:color w:val="000000"/>
                <w:sz w:val="15"/>
                <w:szCs w:val="15"/>
              </w:rPr>
            </w:pPr>
            <w:r w:rsidRPr="00C12632">
              <w:rPr>
                <w:color w:val="000000"/>
                <w:sz w:val="15"/>
                <w:szCs w:val="15"/>
              </w:rPr>
              <w:t>7 936</w:t>
            </w:r>
          </w:p>
        </w:tc>
        <w:tc>
          <w:tcPr>
            <w:tcW w:w="1606" w:type="dxa"/>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5 522</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(239)</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(566)</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sz w:val="15"/>
              </w:rPr>
            </w:pPr>
            <w:r w:rsidRPr="00C12632">
              <w:rPr>
                <w:color w:val="000000"/>
                <w:sz w:val="15"/>
                <w:szCs w:val="15"/>
              </w:rPr>
              <w:t>387</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822</w:t>
            </w:r>
          </w:p>
        </w:tc>
        <w:tc>
          <w:tcPr>
            <w:cnfStyle w:val="000010000000" w:firstRow="0" w:lastRow="0" w:firstColumn="0" w:lastColumn="0" w:oddVBand="1" w:evenVBand="0" w:oddHBand="0" w:evenHBand="0" w:firstRowFirstColumn="0" w:firstRowLastColumn="0" w:lastRowFirstColumn="0" w:lastRowLastColumn="0"/>
            <w:tcW w:w="1606" w:type="dxa"/>
            <w:tcBorders>
              <w:bottom w:val="nil"/>
            </w:tcBorders>
          </w:tcPr>
          <w:p w:rsidR="00DF17E9" w:rsidRPr="00C12632" w:rsidRDefault="00DF17E9" w:rsidP="00044843">
            <w:pPr>
              <w:spacing w:before="0" w:after="0"/>
              <w:rPr>
                <w:color w:val="000000"/>
                <w:sz w:val="15"/>
                <w:szCs w:val="15"/>
              </w:rPr>
            </w:pPr>
            <w:r w:rsidRPr="00C12632">
              <w:rPr>
                <w:color w:val="000000"/>
                <w:sz w:val="15"/>
                <w:szCs w:val="15"/>
              </w:rPr>
              <w:t>..</w:t>
            </w:r>
          </w:p>
        </w:tc>
        <w:tc>
          <w:tcPr>
            <w:tcW w:w="1606" w:type="dxa"/>
            <w:tcBorders>
              <w:bottom w:val="nil"/>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(33)</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(30)</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sz w:val="15"/>
              </w:rPr>
            </w:pPr>
            <w:r w:rsidRPr="00C12632">
              <w:rPr>
                <w:color w:val="000000"/>
                <w:sz w:val="15"/>
                <w:szCs w:val="15"/>
              </w:rPr>
              <w:t>..</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color w:val="000000"/>
                <w:sz w:val="15"/>
                <w:szCs w:val="15"/>
              </w:rPr>
              <w:t>21</w:t>
            </w:r>
          </w:p>
        </w:tc>
        <w:tc>
          <w:tcPr>
            <w:cnfStyle w:val="000010000000" w:firstRow="0" w:lastRow="0" w:firstColumn="0" w:lastColumn="0" w:oddVBand="1" w:evenVBand="0" w:oddHBand="0" w:evenHBand="0" w:firstRowFirstColumn="0" w:firstRowLastColumn="0" w:lastRowFirstColumn="0" w:lastRowLastColumn="0"/>
            <w:tcW w:w="1606" w:type="dxa"/>
            <w:tcBorders>
              <w:bottom w:val="single" w:sz="6" w:space="0" w:color="auto"/>
            </w:tcBorders>
          </w:tcPr>
          <w:p w:rsidR="00DF17E9" w:rsidRPr="00C12632" w:rsidRDefault="00DF17E9" w:rsidP="00044843">
            <w:pPr>
              <w:spacing w:before="0" w:after="0"/>
              <w:rPr>
                <w:color w:val="000000"/>
                <w:sz w:val="15"/>
                <w:szCs w:val="15"/>
              </w:rPr>
            </w:pPr>
            <w:r w:rsidRPr="00C12632">
              <w:rPr>
                <w:color w:val="000000"/>
                <w:sz w:val="15"/>
                <w:szCs w:val="15"/>
              </w:rPr>
              <w:t>(6 382)</w:t>
            </w:r>
          </w:p>
        </w:tc>
        <w:tc>
          <w:tcPr>
            <w:tcW w:w="1606"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5"/>
                <w:szCs w:val="15"/>
              </w:rPr>
            </w:pPr>
            <w:r w:rsidRPr="00C12632">
              <w:rPr>
                <w:color w:val="000000"/>
                <w:sz w:val="15"/>
                <w:szCs w:val="15"/>
              </w:rPr>
              <w:t>(5 996)</w:t>
            </w:r>
          </w:p>
        </w:tc>
      </w:tr>
      <w:tr w:rsidR="00DF17E9" w:rsidRPr="00C12632" w:rsidTr="00D35D11">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12" w:space="0" w:color="auto"/>
            </w:tcBorders>
          </w:tcPr>
          <w:p w:rsidR="00DF17E9" w:rsidRPr="00C12632" w:rsidRDefault="00DF17E9" w:rsidP="00044843">
            <w:pPr>
              <w:spacing w:before="0" w:after="0"/>
              <w:rPr>
                <w:sz w:val="15"/>
              </w:rPr>
            </w:pPr>
            <w:r w:rsidRPr="00C12632">
              <w:rPr>
                <w:b/>
                <w:color w:val="000000"/>
                <w:sz w:val="15"/>
                <w:szCs w:val="15"/>
              </w:rPr>
              <w:t>849</w:t>
            </w:r>
          </w:p>
        </w:tc>
        <w:tc>
          <w:tcPr>
            <w:tcW w:w="1606"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274</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12" w:space="0" w:color="auto"/>
            </w:tcBorders>
          </w:tcPr>
          <w:p w:rsidR="00DF17E9" w:rsidRPr="00C12632" w:rsidRDefault="00DF17E9" w:rsidP="00044843">
            <w:pPr>
              <w:spacing w:before="0" w:after="0"/>
              <w:rPr>
                <w:sz w:val="15"/>
              </w:rPr>
            </w:pPr>
            <w:r w:rsidRPr="00C12632">
              <w:rPr>
                <w:b/>
                <w:color w:val="000000"/>
                <w:sz w:val="15"/>
                <w:szCs w:val="15"/>
              </w:rPr>
              <w:t>4</w:t>
            </w:r>
          </w:p>
        </w:tc>
        <w:tc>
          <w:tcPr>
            <w:tcW w:w="1606"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25</w:t>
            </w:r>
          </w:p>
        </w:tc>
        <w:tc>
          <w:tcPr>
            <w:cnfStyle w:val="000010000000" w:firstRow="0" w:lastRow="0" w:firstColumn="0" w:lastColumn="0" w:oddVBand="1" w:evenVBand="0" w:oddHBand="0" w:evenHBand="0" w:firstRowFirstColumn="0" w:firstRowLastColumn="0" w:lastRowFirstColumn="0" w:lastRowLastColumn="0"/>
            <w:tcW w:w="1606" w:type="dxa"/>
            <w:tcBorders>
              <w:top w:val="single" w:sz="6" w:space="0" w:color="auto"/>
              <w:bottom w:val="single" w:sz="12" w:space="0" w:color="auto"/>
            </w:tcBorders>
          </w:tcPr>
          <w:p w:rsidR="00DF17E9" w:rsidRPr="00C12632" w:rsidRDefault="00DF17E9" w:rsidP="00044843">
            <w:pPr>
              <w:spacing w:before="0" w:after="0"/>
              <w:rPr>
                <w:color w:val="000000"/>
                <w:sz w:val="15"/>
                <w:szCs w:val="15"/>
              </w:rPr>
            </w:pPr>
            <w:r w:rsidRPr="00C12632">
              <w:rPr>
                <w:b/>
                <w:color w:val="000000"/>
                <w:sz w:val="15"/>
                <w:szCs w:val="15"/>
              </w:rPr>
              <w:t>1 554</w:t>
            </w:r>
          </w:p>
        </w:tc>
        <w:tc>
          <w:tcPr>
            <w:tcW w:w="1606"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5"/>
              </w:rPr>
            </w:pPr>
            <w:r w:rsidRPr="00C12632">
              <w:rPr>
                <w:b/>
                <w:color w:val="000000"/>
                <w:sz w:val="15"/>
                <w:szCs w:val="15"/>
              </w:rPr>
              <w:t>(474)</w:t>
            </w:r>
          </w:p>
        </w:tc>
      </w:tr>
    </w:tbl>
    <w:p w:rsidR="00DF17E9" w:rsidRDefault="00DF17E9" w:rsidP="00044843"/>
    <w:p w:rsidR="00DF17E9" w:rsidRDefault="00DF17E9" w:rsidP="00044843">
      <w:pPr>
        <w:sectPr w:rsidR="00DF17E9" w:rsidSect="00044843">
          <w:headerReference w:type="default" r:id="rId258"/>
          <w:pgSz w:w="11906" w:h="16838" w:code="9"/>
          <w:pgMar w:top="1134" w:right="1134" w:bottom="1134" w:left="1134" w:header="624" w:footer="567" w:gutter="0"/>
          <w:cols w:space="708"/>
          <w:docGrid w:linePitch="360"/>
        </w:sectPr>
      </w:pPr>
    </w:p>
    <w:p w:rsidR="00DF17E9" w:rsidRPr="00C12632" w:rsidRDefault="00DF17E9" w:rsidP="00044843">
      <w:pPr>
        <w:pStyle w:val="Subheading"/>
        <w:rPr>
          <w:bCs/>
          <w:lang w:val="en-US"/>
        </w:rPr>
      </w:pPr>
      <w:r w:rsidRPr="001E6E6F">
        <w:lastRenderedPageBreak/>
        <w:t>Disaggregated statement of changes in equity for the f</w:t>
      </w:r>
      <w:r>
        <w:t xml:space="preserve">inancial year ended 30 June </w:t>
      </w:r>
      <w:r>
        <w:tab/>
      </w:r>
      <w:r>
        <w:tab/>
      </w:r>
      <w:r w:rsidRPr="001E6E6F">
        <w:rPr>
          <w:rStyle w:val="TableUnitsChar"/>
        </w:rPr>
        <w:t>($ million)</w:t>
      </w:r>
    </w:p>
    <w:tbl>
      <w:tblPr>
        <w:tblStyle w:val="TableDTFGeneral"/>
        <w:tblW w:w="14743" w:type="dxa"/>
        <w:tblLayout w:type="fixed"/>
        <w:tblLook w:val="02A0" w:firstRow="1" w:lastRow="0" w:firstColumn="1" w:lastColumn="0" w:noHBand="1" w:noVBand="0"/>
      </w:tblPr>
      <w:tblGrid>
        <w:gridCol w:w="4139"/>
        <w:gridCol w:w="1514"/>
        <w:gridCol w:w="1514"/>
        <w:gridCol w:w="1514"/>
        <w:gridCol w:w="1979"/>
        <w:gridCol w:w="1843"/>
        <w:gridCol w:w="1134"/>
        <w:gridCol w:w="1106"/>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Borders>
              <w:top w:val="nil"/>
              <w:left w:val="nil"/>
            </w:tcBorders>
          </w:tcPr>
          <w:p w:rsidR="00DF17E9" w:rsidRPr="00C12632" w:rsidRDefault="00DF17E9" w:rsidP="00044843">
            <w:pPr>
              <w:ind w:left="0" w:firstLine="0"/>
              <w:rPr>
                <w:color w:val="FFFFFF"/>
              </w:rPr>
            </w:pPr>
            <w:r w:rsidRPr="00C12632">
              <w:rPr>
                <w:color w:val="FFFFFF"/>
              </w:rPr>
              <w:t xml:space="preserve">2016 </w:t>
            </w:r>
          </w:p>
        </w:tc>
        <w:tc>
          <w:tcPr>
            <w:cnfStyle w:val="000010000000" w:firstRow="0" w:lastRow="0" w:firstColumn="0" w:lastColumn="0" w:oddVBand="1" w:evenVBand="0" w:oddHBand="0" w:evenHBand="0" w:firstRowFirstColumn="0" w:firstRowLastColumn="0" w:lastRowFirstColumn="0" w:lastRowLastColumn="0"/>
            <w:tcW w:w="1514" w:type="dxa"/>
            <w:tcBorders>
              <w:top w:val="nil"/>
            </w:tcBorders>
          </w:tcPr>
          <w:p w:rsidR="00DF17E9" w:rsidRPr="00C12632" w:rsidRDefault="00DF17E9" w:rsidP="00044843">
            <w:pPr>
              <w:rPr>
                <w:color w:val="FFFFFF"/>
              </w:rPr>
            </w:pPr>
            <w:r w:rsidRPr="00C12632">
              <w:rPr>
                <w:color w:val="FFFFFF"/>
              </w:rPr>
              <w:t>Accumulated surplus/(deficit)</w:t>
            </w:r>
          </w:p>
        </w:tc>
        <w:tc>
          <w:tcPr>
            <w:tcW w:w="1514" w:type="dxa"/>
            <w:tcBorders>
              <w:top w:val="nil"/>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Contribution by owners</w:t>
            </w:r>
          </w:p>
        </w:tc>
        <w:tc>
          <w:tcPr>
            <w:cnfStyle w:val="000010000000" w:firstRow="0" w:lastRow="0" w:firstColumn="0" w:lastColumn="0" w:oddVBand="1" w:evenVBand="0" w:oddHBand="0" w:evenHBand="0" w:firstRowFirstColumn="0" w:firstRowLastColumn="0" w:lastRowFirstColumn="0" w:lastRowLastColumn="0"/>
            <w:tcW w:w="1514" w:type="dxa"/>
            <w:tcBorders>
              <w:top w:val="nil"/>
            </w:tcBorders>
          </w:tcPr>
          <w:p w:rsidR="00DF17E9" w:rsidRPr="00C12632" w:rsidRDefault="00DF17E9" w:rsidP="00044843">
            <w:pPr>
              <w:rPr>
                <w:color w:val="FFFFFF"/>
              </w:rPr>
            </w:pPr>
            <w:r w:rsidRPr="00C12632">
              <w:rPr>
                <w:color w:val="FFFFFF"/>
              </w:rPr>
              <w:t>Non-controlling Interest</w:t>
            </w:r>
          </w:p>
        </w:tc>
        <w:tc>
          <w:tcPr>
            <w:tcW w:w="1979" w:type="dxa"/>
            <w:tcBorders>
              <w:top w:val="nil"/>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Non-financial assets revaluation surplus </w:t>
            </w:r>
            <w:r w:rsidRPr="00C12632">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1843" w:type="dxa"/>
            <w:tcBorders>
              <w:top w:val="nil"/>
            </w:tcBorders>
          </w:tcPr>
          <w:p w:rsidR="00DF17E9" w:rsidRPr="00C12632" w:rsidRDefault="00DF17E9" w:rsidP="00044843">
            <w:pPr>
              <w:rPr>
                <w:color w:val="FFFFFF"/>
              </w:rPr>
            </w:pPr>
            <w:r w:rsidRPr="00C12632">
              <w:rPr>
                <w:color w:val="FFFFFF"/>
              </w:rPr>
              <w:t>Investment in other sector entities revaluation surplus</w:t>
            </w:r>
          </w:p>
        </w:tc>
        <w:tc>
          <w:tcPr>
            <w:tcW w:w="1134" w:type="dxa"/>
            <w:tcBorders>
              <w:top w:val="nil"/>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Other reserves</w:t>
            </w:r>
          </w:p>
        </w:tc>
        <w:tc>
          <w:tcPr>
            <w:cnfStyle w:val="000010000000" w:firstRow="0" w:lastRow="0" w:firstColumn="0" w:lastColumn="0" w:oddVBand="1" w:evenVBand="0" w:oddHBand="0" w:evenHBand="0" w:firstRowFirstColumn="0" w:firstRowLastColumn="0" w:lastRowFirstColumn="0" w:lastRowLastColumn="0"/>
            <w:tcW w:w="1106" w:type="dxa"/>
            <w:tcBorders>
              <w:top w:val="nil"/>
              <w:right w:val="nil"/>
            </w:tcBorders>
          </w:tcPr>
          <w:p w:rsidR="00DF17E9" w:rsidRPr="00C12632" w:rsidRDefault="00DF17E9" w:rsidP="00044843">
            <w:pPr>
              <w:rPr>
                <w:color w:val="FFFFFF"/>
              </w:rPr>
            </w:pPr>
            <w:r w:rsidRPr="00C12632">
              <w:rPr>
                <w:color w:val="FFFFFF"/>
              </w:rPr>
              <w:t>Total</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b/>
                <w:color w:val="000000"/>
              </w:rPr>
              <w:t>General government sector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b/>
                <w:color w:val="000000"/>
              </w:rPr>
              <w:t xml:space="preserve"> </w:t>
            </w:r>
          </w:p>
        </w:tc>
        <w:tc>
          <w:tcPr>
            <w:tcW w:w="1514"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jc w:val="left"/>
              <w:rPr>
                <w:color w:val="000000"/>
              </w:rPr>
            </w:pPr>
            <w:r w:rsidRPr="00C12632">
              <w:rPr>
                <w:b/>
                <w:color w:val="000000"/>
              </w:rPr>
              <w:t xml:space="preserve"> </w:t>
            </w:r>
          </w:p>
        </w:tc>
        <w:tc>
          <w:tcPr>
            <w:tcW w:w="1979"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jc w:val="left"/>
              <w:rPr>
                <w:color w:val="000000"/>
              </w:rPr>
            </w:pPr>
            <w:r w:rsidRPr="00C12632">
              <w:rPr>
                <w:b/>
                <w:color w:val="000000"/>
              </w:rPr>
              <w:t xml:space="preserve"> </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Balance at 1 July 2015 </w:t>
            </w:r>
            <w:r w:rsidRPr="00C12632">
              <w:rPr>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45 764</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50</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43 355</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46 494</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728</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136 391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1 817</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1 817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(3 106)</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6 236</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10 533</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(177)</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13 486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nil"/>
            </w:tcBorders>
          </w:tcPr>
          <w:p w:rsidR="00DF17E9" w:rsidRPr="00C12632" w:rsidRDefault="00DF17E9" w:rsidP="00044843">
            <w:pPr>
              <w:ind w:left="0" w:firstLine="0"/>
              <w:rPr>
                <w:color w:val="000000"/>
              </w:rPr>
            </w:pPr>
            <w:r w:rsidRPr="00C12632">
              <w:rPr>
                <w:color w:val="000000"/>
              </w:rPr>
              <w:t xml:space="preserve">Transfer to/(from) accumulated surplus </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(22)</w:t>
            </w:r>
          </w:p>
        </w:tc>
        <w:tc>
          <w:tcPr>
            <w:tcW w:w="151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w:t>
            </w:r>
          </w:p>
        </w:tc>
        <w:tc>
          <w:tcPr>
            <w:tcW w:w="1979"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22</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C12632" w:rsidRDefault="00DF17E9" w:rsidP="00044843">
            <w:pPr>
              <w:rPr>
                <w:color w:val="000000"/>
              </w:rPr>
            </w:pPr>
            <w:r w:rsidRPr="00C12632">
              <w:rPr>
                <w:color w:val="000000"/>
              </w:rPr>
              <w:t>..</w:t>
            </w:r>
          </w:p>
        </w:tc>
        <w:tc>
          <w:tcPr>
            <w:tcW w:w="113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nil"/>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single" w:sz="6" w:space="0" w:color="auto"/>
            </w:tcBorders>
          </w:tcPr>
          <w:p w:rsidR="00DF17E9" w:rsidRPr="00C12632" w:rsidRDefault="00DF17E9" w:rsidP="00044843">
            <w:pPr>
              <w:ind w:left="0" w:firstLine="0"/>
              <w:rPr>
                <w:color w:val="000000"/>
              </w:rPr>
            </w:pPr>
            <w:r w:rsidRPr="00C12632">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514"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979"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134"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bottom w:val="single" w:sz="6" w:space="0" w:color="auto"/>
              <w:right w:val="nil"/>
            </w:tcBorders>
          </w:tcPr>
          <w:p w:rsidR="00DF17E9" w:rsidRPr="00C12632" w:rsidRDefault="002E0661" w:rsidP="00044843">
            <w:pPr>
              <w:rPr>
                <w:color w:val="000000"/>
              </w:rPr>
            </w:pPr>
            <w:r>
              <w:rPr>
                <w:color w:val="000000"/>
              </w:rPr>
              <w:t>..</w:t>
            </w:r>
            <w:r w:rsidR="00DF17E9"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color w:val="000000"/>
              </w:rPr>
            </w:pPr>
            <w:r w:rsidRPr="00C12632">
              <w:rPr>
                <w:b/>
                <w:color w:val="000000"/>
              </w:rPr>
              <w:t>Total equity as at 30 June 2016</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44 454</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50</w:t>
            </w:r>
          </w:p>
        </w:tc>
        <w:tc>
          <w:tcPr>
            <w:tcW w:w="1979"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49 613</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57 027</w:t>
            </w:r>
          </w:p>
        </w:tc>
        <w:tc>
          <w:tcPr>
            <w:tcW w:w="113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551</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151 695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12" w:space="0" w:color="auto"/>
              <w:left w:val="nil"/>
            </w:tcBorders>
          </w:tcPr>
          <w:p w:rsidR="00DF17E9" w:rsidRPr="00C12632" w:rsidRDefault="00DF17E9" w:rsidP="00044843">
            <w:pPr>
              <w:ind w:left="0" w:firstLine="0"/>
              <w:rPr>
                <w:color w:val="000000"/>
              </w:rPr>
            </w:pPr>
            <w:r w:rsidRPr="00C12632">
              <w:rPr>
                <w:b/>
                <w:color w:val="000000"/>
              </w:rPr>
              <w:t>PNFC sector</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tcBorders>
          </w:tcPr>
          <w:p w:rsidR="00DF17E9" w:rsidRPr="00C12632" w:rsidRDefault="00DF17E9" w:rsidP="00044843">
            <w:pPr>
              <w:rPr>
                <w:color w:val="000000"/>
              </w:rPr>
            </w:pPr>
            <w:r w:rsidRPr="00C12632">
              <w:rPr>
                <w:b/>
                <w:color w:val="000000"/>
              </w:rPr>
              <w:t xml:space="preserve"> </w:t>
            </w:r>
          </w:p>
        </w:tc>
        <w:tc>
          <w:tcPr>
            <w:tcW w:w="151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1979"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1134"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top w:val="single" w:sz="12" w:space="0" w:color="auto"/>
              <w:right w:val="nil"/>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Balance at 1 July 2015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4 511</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49 943</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24 161</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437</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79 052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314</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314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(280)</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11 057</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10 791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Transfer to/(from) accumulated surplus </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nil"/>
            </w:tcBorders>
          </w:tcPr>
          <w:p w:rsidR="00DF17E9" w:rsidRPr="00C12632" w:rsidRDefault="00DF17E9" w:rsidP="00044843">
            <w:pPr>
              <w:ind w:left="0" w:firstLine="0"/>
              <w:rPr>
                <w:color w:val="000000"/>
              </w:rPr>
            </w:pPr>
            <w:r w:rsidRPr="00C12632">
              <w:rPr>
                <w:color w:val="000000"/>
              </w:rPr>
              <w:t>Dividends paid</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(149)</w:t>
            </w:r>
          </w:p>
        </w:tc>
        <w:tc>
          <w:tcPr>
            <w:tcW w:w="151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w:t>
            </w:r>
          </w:p>
        </w:tc>
        <w:tc>
          <w:tcPr>
            <w:tcW w:w="1979"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C12632" w:rsidRDefault="00DF17E9" w:rsidP="00044843">
            <w:pPr>
              <w:rPr>
                <w:color w:val="000000"/>
              </w:rPr>
            </w:pPr>
            <w:r w:rsidRPr="00C12632">
              <w:rPr>
                <w:color w:val="000000"/>
              </w:rPr>
              <w:t>..</w:t>
            </w:r>
          </w:p>
        </w:tc>
        <w:tc>
          <w:tcPr>
            <w:tcW w:w="113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nil"/>
              <w:right w:val="nil"/>
            </w:tcBorders>
          </w:tcPr>
          <w:p w:rsidR="00DF17E9" w:rsidRPr="00C12632" w:rsidRDefault="00DF17E9" w:rsidP="00044843">
            <w:pPr>
              <w:rPr>
                <w:color w:val="000000"/>
              </w:rPr>
            </w:pPr>
            <w:r w:rsidRPr="00C12632">
              <w:rPr>
                <w:color w:val="000000"/>
              </w:rPr>
              <w:t>(149)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single" w:sz="6" w:space="0" w:color="auto"/>
            </w:tcBorders>
          </w:tcPr>
          <w:p w:rsidR="00DF17E9" w:rsidRPr="00C12632" w:rsidRDefault="00DF17E9" w:rsidP="00044843">
            <w:pPr>
              <w:ind w:left="0" w:firstLine="0"/>
              <w:rPr>
                <w:color w:val="000000"/>
              </w:rPr>
            </w:pPr>
            <w:r w:rsidRPr="00C12632">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DF17E9" w:rsidP="00044843">
            <w:pPr>
              <w:rPr>
                <w:color w:val="000000"/>
              </w:rPr>
            </w:pPr>
            <w:r w:rsidRPr="00C12632">
              <w:rPr>
                <w:color w:val="000000"/>
              </w:rPr>
              <w:t>..</w:t>
            </w:r>
          </w:p>
        </w:tc>
        <w:tc>
          <w:tcPr>
            <w:tcW w:w="151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2 224</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DF17E9" w:rsidP="00044843">
            <w:pPr>
              <w:rPr>
                <w:color w:val="000000"/>
              </w:rPr>
            </w:pPr>
            <w:r w:rsidRPr="00C12632">
              <w:rPr>
                <w:color w:val="000000"/>
              </w:rPr>
              <w:t>..</w:t>
            </w:r>
          </w:p>
        </w:tc>
        <w:tc>
          <w:tcPr>
            <w:tcW w:w="1979"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C12632" w:rsidRDefault="00DF17E9" w:rsidP="00044843">
            <w:pPr>
              <w:rPr>
                <w:color w:val="000000"/>
              </w:rPr>
            </w:pPr>
            <w:r w:rsidRPr="00C12632">
              <w:rPr>
                <w:color w:val="000000"/>
              </w:rPr>
              <w:t>..</w:t>
            </w:r>
          </w:p>
        </w:tc>
        <w:tc>
          <w:tcPr>
            <w:tcW w:w="113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single" w:sz="6" w:space="0" w:color="auto"/>
              <w:right w:val="nil"/>
            </w:tcBorders>
          </w:tcPr>
          <w:p w:rsidR="00DF17E9" w:rsidRPr="00C12632" w:rsidRDefault="00DF17E9" w:rsidP="00044843">
            <w:pPr>
              <w:rPr>
                <w:color w:val="000000"/>
              </w:rPr>
            </w:pPr>
            <w:r w:rsidRPr="00C12632">
              <w:rPr>
                <w:color w:val="000000"/>
              </w:rPr>
              <w:t>2 224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color w:val="000000"/>
              </w:rPr>
            </w:pPr>
            <w:r w:rsidRPr="00C12632">
              <w:rPr>
                <w:b/>
                <w:color w:val="000000"/>
              </w:rPr>
              <w:t>Total equity as at 30 June 2016</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4 397</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52 166</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979"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35 219</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13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451</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92 233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12" w:space="0" w:color="auto"/>
              <w:left w:val="nil"/>
            </w:tcBorders>
          </w:tcPr>
          <w:p w:rsidR="00DF17E9" w:rsidRPr="00C12632" w:rsidRDefault="00DF17E9" w:rsidP="00044843">
            <w:pPr>
              <w:ind w:left="0" w:firstLine="0"/>
              <w:rPr>
                <w:color w:val="000000"/>
              </w:rPr>
            </w:pPr>
            <w:r w:rsidRPr="00C12632">
              <w:rPr>
                <w:b/>
                <w:color w:val="000000"/>
              </w:rPr>
              <w:t>PFC sector</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tcBorders>
          </w:tcPr>
          <w:p w:rsidR="00DF17E9" w:rsidRPr="00C12632" w:rsidRDefault="00DF17E9" w:rsidP="00044843">
            <w:pPr>
              <w:rPr>
                <w:color w:val="000000"/>
              </w:rPr>
            </w:pPr>
            <w:r w:rsidRPr="00C12632">
              <w:rPr>
                <w:b/>
                <w:color w:val="000000"/>
              </w:rPr>
              <w:t xml:space="preserve"> </w:t>
            </w:r>
          </w:p>
        </w:tc>
        <w:tc>
          <w:tcPr>
            <w:tcW w:w="151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1979"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1134"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top w:val="single" w:sz="12" w:space="0" w:color="auto"/>
              <w:right w:val="nil"/>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Balance at 1 July 2015</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(1 009)</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177</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35</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(794)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(2 438)</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(2 438)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(5)</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Transfer to/(from) accumulated surplus </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(159)</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159</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w:t>
            </w:r>
          </w:p>
        </w:tc>
        <w:tc>
          <w:tcPr>
            <w:tcW w:w="1979"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rsidR="00DF17E9" w:rsidRPr="00C12632" w:rsidRDefault="00DF17E9" w:rsidP="00044843">
            <w:pPr>
              <w:rPr>
                <w:color w:val="000000"/>
              </w:rPr>
            </w:pPr>
            <w:r w:rsidRPr="00C12632">
              <w:rPr>
                <w:color w:val="000000"/>
              </w:rPr>
              <w:t>..</w:t>
            </w:r>
          </w:p>
        </w:tc>
        <w:tc>
          <w:tcPr>
            <w:tcW w:w="113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nil"/>
            </w:tcBorders>
          </w:tcPr>
          <w:p w:rsidR="00DF17E9" w:rsidRPr="00C12632" w:rsidRDefault="00DF17E9" w:rsidP="00044843">
            <w:pPr>
              <w:ind w:left="0" w:firstLine="0"/>
              <w:rPr>
                <w:color w:val="000000"/>
              </w:rPr>
            </w:pPr>
            <w:r w:rsidRPr="00C12632">
              <w:rPr>
                <w:color w:val="000000"/>
              </w:rPr>
              <w:t>Dividends paid</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(239)</w:t>
            </w:r>
          </w:p>
        </w:tc>
        <w:tc>
          <w:tcPr>
            <w:tcW w:w="151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w:t>
            </w:r>
          </w:p>
        </w:tc>
        <w:tc>
          <w:tcPr>
            <w:tcW w:w="1979"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tcPr>
          <w:p w:rsidR="00DF17E9" w:rsidRPr="00C12632" w:rsidRDefault="00DF17E9" w:rsidP="00044843">
            <w:pPr>
              <w:rPr>
                <w:color w:val="000000"/>
              </w:rPr>
            </w:pPr>
            <w:r w:rsidRPr="00C12632">
              <w:rPr>
                <w:color w:val="000000"/>
              </w:rPr>
              <w:t>..</w:t>
            </w:r>
          </w:p>
        </w:tc>
        <w:tc>
          <w:tcPr>
            <w:tcW w:w="113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nil"/>
              <w:right w:val="nil"/>
            </w:tcBorders>
          </w:tcPr>
          <w:p w:rsidR="00DF17E9" w:rsidRPr="00C12632" w:rsidRDefault="00DF17E9" w:rsidP="00044843">
            <w:pPr>
              <w:rPr>
                <w:color w:val="000000"/>
              </w:rPr>
            </w:pPr>
            <w:r w:rsidRPr="00C12632">
              <w:rPr>
                <w:color w:val="000000"/>
              </w:rPr>
              <w:t>(239)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single" w:sz="6" w:space="0" w:color="auto"/>
            </w:tcBorders>
          </w:tcPr>
          <w:p w:rsidR="00DF17E9" w:rsidRPr="00C12632" w:rsidRDefault="00DF17E9" w:rsidP="00044843">
            <w:pPr>
              <w:ind w:left="0" w:firstLine="0"/>
              <w:rPr>
                <w:color w:val="000000"/>
              </w:rPr>
            </w:pPr>
            <w:r w:rsidRPr="00C12632">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DF17E9" w:rsidP="00044843">
            <w:pPr>
              <w:rPr>
                <w:color w:val="000000"/>
              </w:rPr>
            </w:pPr>
            <w:r w:rsidRPr="00C12632">
              <w:rPr>
                <w:color w:val="000000"/>
              </w:rPr>
              <w:t>..</w:t>
            </w:r>
          </w:p>
        </w:tc>
        <w:tc>
          <w:tcPr>
            <w:tcW w:w="151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(308)</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DF17E9" w:rsidP="00044843">
            <w:pPr>
              <w:rPr>
                <w:color w:val="000000"/>
              </w:rPr>
            </w:pPr>
            <w:r w:rsidRPr="00C12632">
              <w:rPr>
                <w:color w:val="000000"/>
              </w:rPr>
              <w:t>..</w:t>
            </w:r>
          </w:p>
        </w:tc>
        <w:tc>
          <w:tcPr>
            <w:tcW w:w="1979"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tcPr>
          <w:p w:rsidR="00DF17E9" w:rsidRPr="00C12632" w:rsidRDefault="00DF17E9" w:rsidP="00044843">
            <w:pPr>
              <w:rPr>
                <w:color w:val="000000"/>
              </w:rPr>
            </w:pPr>
            <w:r w:rsidRPr="00C12632">
              <w:rPr>
                <w:color w:val="000000"/>
              </w:rPr>
              <w:t>..</w:t>
            </w:r>
          </w:p>
        </w:tc>
        <w:tc>
          <w:tcPr>
            <w:tcW w:w="113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single" w:sz="6" w:space="0" w:color="auto"/>
              <w:right w:val="nil"/>
            </w:tcBorders>
          </w:tcPr>
          <w:p w:rsidR="00DF17E9" w:rsidRPr="00C12632" w:rsidRDefault="00DF17E9" w:rsidP="00044843">
            <w:pPr>
              <w:rPr>
                <w:color w:val="000000"/>
              </w:rPr>
            </w:pPr>
            <w:r w:rsidRPr="00C12632">
              <w:rPr>
                <w:color w:val="000000"/>
              </w:rPr>
              <w:t>(308)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color w:val="000000"/>
              </w:rPr>
            </w:pPr>
            <w:r w:rsidRPr="00C12632">
              <w:rPr>
                <w:b/>
                <w:color w:val="000000"/>
              </w:rPr>
              <w:t>Total equity as at 30 June 2016</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(3 849)</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29</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979"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13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40</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(3 778)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12" w:space="0" w:color="auto"/>
              <w:left w:val="nil"/>
              <w:bottom w:val="single" w:sz="6" w:space="0" w:color="auto"/>
            </w:tcBorders>
          </w:tcPr>
          <w:p w:rsidR="00DF17E9" w:rsidRPr="00C12632" w:rsidRDefault="00DF17E9" w:rsidP="00044843">
            <w:pPr>
              <w:ind w:left="0" w:firstLine="0"/>
              <w:rPr>
                <w:color w:val="000000"/>
              </w:rPr>
            </w:pPr>
            <w:r w:rsidRPr="00C12632">
              <w:rPr>
                <w:color w:val="000000"/>
              </w:rPr>
              <w:t>Eliminations</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bottom w:val="single" w:sz="6" w:space="0" w:color="auto"/>
            </w:tcBorders>
          </w:tcPr>
          <w:p w:rsidR="00DF17E9" w:rsidRPr="00C12632" w:rsidRDefault="00DF17E9" w:rsidP="00044843">
            <w:pPr>
              <w:rPr>
                <w:color w:val="000000"/>
              </w:rPr>
            </w:pPr>
            <w:r w:rsidRPr="00C12632">
              <w:rPr>
                <w:color w:val="000000"/>
              </w:rPr>
              <w:t>11 232</w:t>
            </w:r>
          </w:p>
        </w:tc>
        <w:tc>
          <w:tcPr>
            <w:tcW w:w="1514" w:type="dxa"/>
            <w:tcBorders>
              <w:top w:val="single" w:sz="12"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(52 195)</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bottom w:val="single" w:sz="6" w:space="0" w:color="auto"/>
            </w:tcBorders>
          </w:tcPr>
          <w:p w:rsidR="00DF17E9" w:rsidRPr="00C12632" w:rsidRDefault="00DF17E9" w:rsidP="00044843">
            <w:pPr>
              <w:rPr>
                <w:color w:val="000000"/>
              </w:rPr>
            </w:pPr>
            <w:r w:rsidRPr="00C12632">
              <w:rPr>
                <w:color w:val="000000"/>
              </w:rPr>
              <w:t>..</w:t>
            </w:r>
          </w:p>
        </w:tc>
        <w:tc>
          <w:tcPr>
            <w:tcW w:w="1979" w:type="dxa"/>
            <w:tcBorders>
              <w:top w:val="single" w:sz="12"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10 131</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auto"/>
              <w:bottom w:val="single" w:sz="6" w:space="0" w:color="auto"/>
            </w:tcBorders>
          </w:tcPr>
          <w:p w:rsidR="00DF17E9" w:rsidRPr="00C12632" w:rsidRDefault="00DF17E9" w:rsidP="00044843">
            <w:pPr>
              <w:rPr>
                <w:color w:val="000000"/>
              </w:rPr>
            </w:pPr>
            <w:r w:rsidRPr="00C12632">
              <w:rPr>
                <w:color w:val="000000"/>
              </w:rPr>
              <w:t>(57 027)</w:t>
            </w:r>
          </w:p>
        </w:tc>
        <w:tc>
          <w:tcPr>
            <w:tcW w:w="1134" w:type="dxa"/>
            <w:tcBorders>
              <w:top w:val="single" w:sz="12"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top w:val="single" w:sz="12" w:space="0" w:color="auto"/>
              <w:bottom w:val="single" w:sz="6" w:space="0" w:color="auto"/>
              <w:right w:val="nil"/>
            </w:tcBorders>
          </w:tcPr>
          <w:p w:rsidR="00DF17E9" w:rsidRPr="00C12632" w:rsidRDefault="00DF17E9" w:rsidP="00044843">
            <w:pPr>
              <w:rPr>
                <w:color w:val="000000"/>
              </w:rPr>
            </w:pPr>
            <w:r w:rsidRPr="00C12632">
              <w:rPr>
                <w:color w:val="000000"/>
              </w:rPr>
              <w:t>(87 858)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b/>
                <w:color w:val="000000"/>
              </w:rPr>
            </w:pPr>
            <w:r w:rsidRPr="00C12632">
              <w:rPr>
                <w:b/>
                <w:color w:val="000000"/>
              </w:rPr>
              <w:t>Total State of Victoria</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56 234</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50</w:t>
            </w:r>
          </w:p>
        </w:tc>
        <w:tc>
          <w:tcPr>
            <w:tcW w:w="1979"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94 965</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13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1 042</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152 291</w:t>
            </w:r>
          </w:p>
        </w:tc>
      </w:tr>
    </w:tbl>
    <w:p w:rsidR="00DF17E9" w:rsidRDefault="00DF17E9" w:rsidP="00044843">
      <w:pPr>
        <w:pStyle w:val="Note"/>
      </w:pPr>
      <w:r>
        <w:t>Notes:</w:t>
      </w:r>
    </w:p>
    <w:p w:rsidR="00DF17E9" w:rsidRDefault="00DF17E9" w:rsidP="00044843">
      <w:pPr>
        <w:pStyle w:val="Note"/>
      </w:pPr>
      <w:r>
        <w:t>(a)</w:t>
      </w:r>
      <w:r>
        <w:tab/>
        <w:t>Non-financial assets revaluation surplus relates to revaluation of land, buildings, infrastructure, plant and equipment.</w:t>
      </w:r>
    </w:p>
    <w:p w:rsidR="00DF17E9" w:rsidRPr="008418E9" w:rsidRDefault="00DF17E9" w:rsidP="00044843">
      <w:pPr>
        <w:pStyle w:val="Note"/>
      </w:pPr>
      <w:r w:rsidRPr="008418E9">
        <w:t>(b)</w:t>
      </w:r>
      <w:r w:rsidRPr="008418E9">
        <w:tab/>
        <w:t>1 July 2015 opening balances have been restated to reflect an adjustment to Coliban Water’s deferred tax liability balances in the PNFC sector attributable to a change in valuation policy in 2015-16.</w:t>
      </w:r>
    </w:p>
    <w:p w:rsidR="00DF17E9" w:rsidRDefault="00DF17E9" w:rsidP="00044843">
      <w:pPr>
        <w:pStyle w:val="Note"/>
      </w:pPr>
      <w:r w:rsidRPr="008418E9">
        <w:t>(c)</w:t>
      </w:r>
      <w:r>
        <w:tab/>
      </w:r>
      <w:r w:rsidRPr="008418E9">
        <w:t>1 July 2015 opening balances have been restated to finalise the allocation of equity balances between contributed capital and accumulated funds related to prior year machinery of government changes</w:t>
      </w:r>
    </w:p>
    <w:p w:rsidR="00DF17E9" w:rsidRDefault="00DF17E9" w:rsidP="00044843"/>
    <w:p w:rsidR="00DF17E9" w:rsidRDefault="00DF17E9" w:rsidP="00044843">
      <w:r>
        <w:br w:type="page"/>
      </w:r>
    </w:p>
    <w:p w:rsidR="00DF17E9" w:rsidRPr="00C12632" w:rsidRDefault="00DF17E9" w:rsidP="00044843">
      <w:pPr>
        <w:pStyle w:val="Subheading"/>
        <w:rPr>
          <w:bCs/>
          <w:i/>
          <w:spacing w:val="4"/>
          <w:sz w:val="17"/>
          <w:lang w:val="en-US"/>
        </w:rPr>
      </w:pPr>
      <w:r>
        <w:lastRenderedPageBreak/>
        <w:t xml:space="preserve"> </w:t>
      </w:r>
      <w:r w:rsidRPr="001E6E6F">
        <w:t>Disaggregated statement of changes in equity for the f</w:t>
      </w:r>
      <w:r>
        <w:t xml:space="preserve">inancial year ended 30 June </w:t>
      </w:r>
      <w:r w:rsidRPr="004A42E5">
        <w:rPr>
          <w:i/>
        </w:rPr>
        <w:t>(continued)</w:t>
      </w:r>
      <w:r>
        <w:tab/>
      </w:r>
      <w:r>
        <w:tab/>
      </w:r>
      <w:r w:rsidRPr="001235E4">
        <w:rPr>
          <w:rStyle w:val="TableUnitsChar"/>
        </w:rPr>
        <w:t>($ million)</w:t>
      </w:r>
    </w:p>
    <w:tbl>
      <w:tblPr>
        <w:tblStyle w:val="TableDTFGeneral"/>
        <w:tblW w:w="14741" w:type="dxa"/>
        <w:tblLayout w:type="fixed"/>
        <w:tblLook w:val="02A0" w:firstRow="1" w:lastRow="0" w:firstColumn="1" w:lastColumn="0" w:noHBand="1" w:noVBand="0"/>
      </w:tblPr>
      <w:tblGrid>
        <w:gridCol w:w="4139"/>
        <w:gridCol w:w="1514"/>
        <w:gridCol w:w="1514"/>
        <w:gridCol w:w="1508"/>
        <w:gridCol w:w="1984"/>
        <w:gridCol w:w="1984"/>
        <w:gridCol w:w="992"/>
        <w:gridCol w:w="1106"/>
      </w:tblGrid>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Borders>
              <w:top w:val="nil"/>
              <w:left w:val="nil"/>
            </w:tcBorders>
          </w:tcPr>
          <w:p w:rsidR="00DF17E9" w:rsidRPr="00C12632" w:rsidRDefault="00DF17E9" w:rsidP="00044843">
            <w:pPr>
              <w:ind w:left="0" w:firstLine="0"/>
              <w:rPr>
                <w:color w:val="FFFFFF"/>
              </w:rPr>
            </w:pPr>
            <w:r w:rsidRPr="00C12632">
              <w:rPr>
                <w:color w:val="FFFFFF"/>
              </w:rPr>
              <w:t xml:space="preserve">2015 </w:t>
            </w:r>
          </w:p>
        </w:tc>
        <w:tc>
          <w:tcPr>
            <w:cnfStyle w:val="000010000000" w:firstRow="0" w:lastRow="0" w:firstColumn="0" w:lastColumn="0" w:oddVBand="1" w:evenVBand="0" w:oddHBand="0" w:evenHBand="0" w:firstRowFirstColumn="0" w:firstRowLastColumn="0" w:lastRowFirstColumn="0" w:lastRowLastColumn="0"/>
            <w:tcW w:w="1514" w:type="dxa"/>
            <w:tcBorders>
              <w:top w:val="nil"/>
            </w:tcBorders>
          </w:tcPr>
          <w:p w:rsidR="00DF17E9" w:rsidRPr="00C12632" w:rsidRDefault="00DF17E9" w:rsidP="00044843">
            <w:pPr>
              <w:rPr>
                <w:color w:val="FFFFFF"/>
              </w:rPr>
            </w:pPr>
            <w:r w:rsidRPr="00C12632">
              <w:rPr>
                <w:color w:val="FFFFFF"/>
              </w:rPr>
              <w:t>Accumulated surplus/(deficit)</w:t>
            </w:r>
          </w:p>
        </w:tc>
        <w:tc>
          <w:tcPr>
            <w:tcW w:w="1514" w:type="dxa"/>
            <w:tcBorders>
              <w:top w:val="nil"/>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Contribution by owners</w:t>
            </w:r>
          </w:p>
        </w:tc>
        <w:tc>
          <w:tcPr>
            <w:cnfStyle w:val="000010000000" w:firstRow="0" w:lastRow="0" w:firstColumn="0" w:lastColumn="0" w:oddVBand="1" w:evenVBand="0" w:oddHBand="0" w:evenHBand="0" w:firstRowFirstColumn="0" w:firstRowLastColumn="0" w:lastRowFirstColumn="0" w:lastRowLastColumn="0"/>
            <w:tcW w:w="1508" w:type="dxa"/>
            <w:tcBorders>
              <w:top w:val="nil"/>
            </w:tcBorders>
          </w:tcPr>
          <w:p w:rsidR="00DF17E9" w:rsidRPr="00C12632" w:rsidRDefault="00DF17E9" w:rsidP="00044843">
            <w:pPr>
              <w:rPr>
                <w:color w:val="FFFFFF"/>
              </w:rPr>
            </w:pPr>
            <w:r w:rsidRPr="00C12632">
              <w:rPr>
                <w:color w:val="FFFFFF"/>
              </w:rPr>
              <w:t>Non-controlling Interest</w:t>
            </w:r>
          </w:p>
        </w:tc>
        <w:tc>
          <w:tcPr>
            <w:tcW w:w="1984" w:type="dxa"/>
            <w:tcBorders>
              <w:top w:val="nil"/>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Non-financial assets revaluation surplus </w:t>
            </w:r>
            <w:r w:rsidRPr="00C12632">
              <w:rPr>
                <w:color w:val="FFFFFF"/>
                <w:vertAlign w:val="superscript"/>
              </w:rPr>
              <w:t>(a)</w:t>
            </w:r>
          </w:p>
        </w:tc>
        <w:tc>
          <w:tcPr>
            <w:cnfStyle w:val="000010000000" w:firstRow="0" w:lastRow="0" w:firstColumn="0" w:lastColumn="0" w:oddVBand="1" w:evenVBand="0" w:oddHBand="0" w:evenHBand="0" w:firstRowFirstColumn="0" w:firstRowLastColumn="0" w:lastRowFirstColumn="0" w:lastRowLastColumn="0"/>
            <w:tcW w:w="1984" w:type="dxa"/>
            <w:tcBorders>
              <w:top w:val="nil"/>
            </w:tcBorders>
          </w:tcPr>
          <w:p w:rsidR="00DF17E9" w:rsidRPr="00C12632" w:rsidRDefault="00DF17E9" w:rsidP="00044843">
            <w:pPr>
              <w:rPr>
                <w:color w:val="FFFFFF"/>
              </w:rPr>
            </w:pPr>
            <w:r w:rsidRPr="00C12632">
              <w:rPr>
                <w:color w:val="FFFFFF"/>
              </w:rPr>
              <w:t>Investment in other sector entities revaluation surplus</w:t>
            </w:r>
          </w:p>
        </w:tc>
        <w:tc>
          <w:tcPr>
            <w:tcW w:w="992" w:type="dxa"/>
            <w:tcBorders>
              <w:top w:val="nil"/>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Other reserves</w:t>
            </w:r>
          </w:p>
        </w:tc>
        <w:tc>
          <w:tcPr>
            <w:cnfStyle w:val="000010000000" w:firstRow="0" w:lastRow="0" w:firstColumn="0" w:lastColumn="0" w:oddVBand="1" w:evenVBand="0" w:oddHBand="0" w:evenHBand="0" w:firstRowFirstColumn="0" w:firstRowLastColumn="0" w:lastRowFirstColumn="0" w:lastRowLastColumn="0"/>
            <w:tcW w:w="1106" w:type="dxa"/>
            <w:tcBorders>
              <w:top w:val="nil"/>
              <w:right w:val="nil"/>
            </w:tcBorders>
          </w:tcPr>
          <w:p w:rsidR="00DF17E9" w:rsidRPr="00C12632" w:rsidRDefault="00DF17E9" w:rsidP="00044843">
            <w:pPr>
              <w:rPr>
                <w:color w:val="FFFFFF"/>
              </w:rPr>
            </w:pPr>
            <w:r w:rsidRPr="00C12632">
              <w:rPr>
                <w:color w:val="FFFFFF"/>
              </w:rPr>
              <w:t>Total</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b/>
                <w:color w:val="000000"/>
              </w:rPr>
              <w:t>General government sector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b/>
                <w:color w:val="000000"/>
              </w:rPr>
              <w:t xml:space="preserve"> </w:t>
            </w:r>
          </w:p>
        </w:tc>
        <w:tc>
          <w:tcPr>
            <w:tcW w:w="1514"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jc w:val="left"/>
              <w:rPr>
                <w:color w:val="000000"/>
              </w:rPr>
            </w:pPr>
            <w:r w:rsidRPr="00C12632">
              <w:rPr>
                <w:b/>
                <w:color w:val="000000"/>
              </w:rPr>
              <w:t xml:space="preserve"> </w:t>
            </w:r>
          </w:p>
        </w:tc>
        <w:tc>
          <w:tcPr>
            <w:tcW w:w="1984" w:type="dxa"/>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jc w:val="left"/>
              <w:rPr>
                <w:color w:val="000000"/>
              </w:rPr>
            </w:pPr>
            <w:r w:rsidRPr="00C12632">
              <w:rPr>
                <w:b/>
                <w:color w:val="000000"/>
              </w:rPr>
              <w:t xml:space="preserve"> </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Balance at 1 July 2014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43 635</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50</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41 965</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42 262</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640</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128 553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749</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749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Other comprehensive income for the year </w:t>
            </w:r>
            <w:r w:rsidRPr="00C12632">
              <w:rPr>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246</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2 524</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4 231</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88</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7 090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nil"/>
            </w:tcBorders>
          </w:tcPr>
          <w:p w:rsidR="00DF17E9" w:rsidRPr="00C12632" w:rsidRDefault="00DF17E9" w:rsidP="00044843">
            <w:pPr>
              <w:ind w:left="0" w:firstLine="0"/>
              <w:rPr>
                <w:color w:val="000000"/>
              </w:rPr>
            </w:pPr>
            <w:r w:rsidRPr="00C12632">
              <w:rPr>
                <w:color w:val="000000"/>
              </w:rPr>
              <w:t xml:space="preserve">Transfer to/(from) accumulated surplus </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1 135</w:t>
            </w:r>
          </w:p>
        </w:tc>
        <w:tc>
          <w:tcPr>
            <w:tcW w:w="151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Borders>
              <w:bottom w:val="nil"/>
            </w:tcBorders>
          </w:tcPr>
          <w:p w:rsidR="00DF17E9" w:rsidRPr="00C12632" w:rsidRDefault="00DF17E9" w:rsidP="00044843">
            <w:pPr>
              <w:rPr>
                <w:color w:val="000000"/>
              </w:rPr>
            </w:pPr>
            <w:r w:rsidRPr="00C12632">
              <w:rPr>
                <w:color w:val="000000"/>
              </w:rPr>
              <w:t>..</w:t>
            </w:r>
          </w:p>
        </w:tc>
        <w:tc>
          <w:tcPr>
            <w:tcW w:w="198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(1 135)</w:t>
            </w:r>
          </w:p>
        </w:tc>
        <w:tc>
          <w:tcPr>
            <w:cnfStyle w:val="000010000000" w:firstRow="0" w:lastRow="0" w:firstColumn="0" w:lastColumn="0" w:oddVBand="1" w:evenVBand="0" w:oddHBand="0" w:evenHBand="0" w:firstRowFirstColumn="0" w:firstRowLastColumn="0" w:lastRowFirstColumn="0" w:lastRowLastColumn="0"/>
            <w:tcW w:w="1984" w:type="dxa"/>
            <w:tcBorders>
              <w:bottom w:val="nil"/>
            </w:tcBorders>
          </w:tcPr>
          <w:p w:rsidR="00DF17E9" w:rsidRPr="00C12632" w:rsidRDefault="00DF17E9" w:rsidP="00044843">
            <w:pPr>
              <w:rPr>
                <w:color w:val="000000"/>
              </w:rPr>
            </w:pPr>
            <w:r w:rsidRPr="00C12632">
              <w:rPr>
                <w:color w:val="000000"/>
              </w:rPr>
              <w:t>..</w:t>
            </w:r>
          </w:p>
        </w:tc>
        <w:tc>
          <w:tcPr>
            <w:tcW w:w="992"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nil"/>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single" w:sz="6" w:space="0" w:color="auto"/>
            </w:tcBorders>
          </w:tcPr>
          <w:p w:rsidR="00DF17E9" w:rsidRPr="00C12632" w:rsidRDefault="00DF17E9" w:rsidP="00044843">
            <w:pPr>
              <w:ind w:left="0" w:firstLine="0"/>
              <w:rPr>
                <w:color w:val="000000"/>
              </w:rPr>
            </w:pPr>
            <w:r w:rsidRPr="00C12632">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514"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08"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984"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992"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bottom w:val="single" w:sz="6" w:space="0" w:color="auto"/>
              <w:right w:val="nil"/>
            </w:tcBorders>
          </w:tcPr>
          <w:p w:rsidR="00DF17E9" w:rsidRPr="00C12632" w:rsidRDefault="002E0661" w:rsidP="00044843">
            <w:pPr>
              <w:rPr>
                <w:color w:val="000000"/>
              </w:rPr>
            </w:pPr>
            <w:r>
              <w:rPr>
                <w:color w:val="000000"/>
              </w:rPr>
              <w:t>..</w:t>
            </w:r>
            <w:r w:rsidR="00DF17E9"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pPr>
            <w:r w:rsidRPr="00C12632">
              <w:rPr>
                <w:b/>
                <w:color w:val="000000"/>
              </w:rPr>
              <w:t>Total equity as at 30 June 2015</w:t>
            </w:r>
            <w:r w:rsidRPr="00C12632">
              <w:rPr>
                <w:b/>
                <w:color w:val="000000"/>
                <w:vertAlign w:val="superscript"/>
              </w:rPr>
              <w:t xml:space="preserve"> (b)(c</w:t>
            </w:r>
            <w:r w:rsidRPr="00C12632">
              <w:rPr>
                <w:b/>
                <w:vertAlign w:val="superscript"/>
              </w:rPr>
              <w:t>)</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45 764</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w:t>
            </w:r>
          </w:p>
        </w:tc>
        <w:tc>
          <w:tcPr>
            <w:cnfStyle w:val="000010000000" w:firstRow="0" w:lastRow="0" w:firstColumn="0" w:lastColumn="0" w:oddVBand="1" w:evenVBand="0" w:oddHBand="0" w:evenHBand="0" w:firstRowFirstColumn="0" w:firstRowLastColumn="0" w:lastRowFirstColumn="0" w:lastRowLastColumn="0"/>
            <w:tcW w:w="1508"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50</w:t>
            </w:r>
          </w:p>
        </w:tc>
        <w:tc>
          <w:tcPr>
            <w:tcW w:w="198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43 355</w:t>
            </w:r>
          </w:p>
        </w:tc>
        <w:tc>
          <w:tcPr>
            <w:cnfStyle w:val="000010000000" w:firstRow="0" w:lastRow="0" w:firstColumn="0" w:lastColumn="0" w:oddVBand="1" w:evenVBand="0" w:oddHBand="0" w:evenHBand="0" w:firstRowFirstColumn="0" w:firstRowLastColumn="0" w:lastRowFirstColumn="0" w:lastRowLastColumn="0"/>
            <w:tcW w:w="198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46 494</w:t>
            </w:r>
          </w:p>
        </w:tc>
        <w:tc>
          <w:tcPr>
            <w:tcW w:w="992"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728</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136 391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12" w:space="0" w:color="auto"/>
              <w:left w:val="nil"/>
            </w:tcBorders>
          </w:tcPr>
          <w:p w:rsidR="00DF17E9" w:rsidRPr="00C12632" w:rsidRDefault="00DF17E9" w:rsidP="00044843">
            <w:pPr>
              <w:ind w:left="0" w:firstLine="0"/>
              <w:rPr>
                <w:color w:val="000000"/>
              </w:rPr>
            </w:pPr>
            <w:r w:rsidRPr="00C12632">
              <w:rPr>
                <w:b/>
                <w:color w:val="000000"/>
              </w:rPr>
              <w:t>PNFC sector</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tcBorders>
          </w:tcPr>
          <w:p w:rsidR="00DF17E9" w:rsidRPr="00C12632" w:rsidRDefault="00DF17E9" w:rsidP="00044843">
            <w:pPr>
              <w:rPr>
                <w:color w:val="000000"/>
              </w:rPr>
            </w:pPr>
            <w:r w:rsidRPr="00C12632">
              <w:rPr>
                <w:b/>
                <w:color w:val="000000"/>
              </w:rPr>
              <w:t xml:space="preserve"> </w:t>
            </w:r>
          </w:p>
        </w:tc>
        <w:tc>
          <w:tcPr>
            <w:tcW w:w="151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08"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198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992"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top w:val="single" w:sz="12" w:space="0" w:color="auto"/>
              <w:right w:val="nil"/>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Balance at 1 July 2014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5 170</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32 963</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34 576</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340</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73 048</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(50)</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(50)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Other comprehensive income for the year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(59)</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3 862</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98</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3 901</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Transfer to/(from) accumulated surplus </w:t>
            </w:r>
            <w:r w:rsidRPr="00C12632">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(295)</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14 571</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(14 277)</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nil"/>
            </w:tcBorders>
          </w:tcPr>
          <w:p w:rsidR="00DF17E9" w:rsidRPr="00C12632" w:rsidRDefault="00DF17E9" w:rsidP="00044843">
            <w:pPr>
              <w:ind w:left="0" w:firstLine="0"/>
              <w:rPr>
                <w:color w:val="000000"/>
              </w:rPr>
            </w:pPr>
            <w:r w:rsidRPr="00C12632">
              <w:rPr>
                <w:color w:val="000000"/>
              </w:rPr>
              <w:t>Dividends paid</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(255)</w:t>
            </w:r>
          </w:p>
        </w:tc>
        <w:tc>
          <w:tcPr>
            <w:tcW w:w="151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Borders>
              <w:bottom w:val="nil"/>
            </w:tcBorders>
          </w:tcPr>
          <w:p w:rsidR="00DF17E9" w:rsidRPr="00C12632" w:rsidRDefault="00DF17E9" w:rsidP="00044843">
            <w:pPr>
              <w:rPr>
                <w:color w:val="000000"/>
              </w:rPr>
            </w:pPr>
            <w:r w:rsidRPr="00C12632">
              <w:rPr>
                <w:color w:val="000000"/>
              </w:rPr>
              <w:t>..</w:t>
            </w:r>
          </w:p>
        </w:tc>
        <w:tc>
          <w:tcPr>
            <w:tcW w:w="198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Borders>
              <w:bottom w:val="nil"/>
            </w:tcBorders>
          </w:tcPr>
          <w:p w:rsidR="00DF17E9" w:rsidRPr="00C12632" w:rsidRDefault="00DF17E9" w:rsidP="00044843">
            <w:pPr>
              <w:rPr>
                <w:color w:val="000000"/>
              </w:rPr>
            </w:pPr>
            <w:r w:rsidRPr="00C12632">
              <w:rPr>
                <w:color w:val="000000"/>
              </w:rPr>
              <w:t>..</w:t>
            </w:r>
          </w:p>
        </w:tc>
        <w:tc>
          <w:tcPr>
            <w:tcW w:w="992"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nil"/>
              <w:right w:val="nil"/>
            </w:tcBorders>
          </w:tcPr>
          <w:p w:rsidR="00DF17E9" w:rsidRPr="00C12632" w:rsidRDefault="00DF17E9" w:rsidP="00044843">
            <w:pPr>
              <w:rPr>
                <w:color w:val="000000"/>
              </w:rPr>
            </w:pPr>
            <w:r w:rsidRPr="00C12632">
              <w:rPr>
                <w:color w:val="000000"/>
              </w:rPr>
              <w:t>(255)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single" w:sz="6" w:space="0" w:color="auto"/>
            </w:tcBorders>
          </w:tcPr>
          <w:p w:rsidR="00DF17E9" w:rsidRPr="00C12632" w:rsidRDefault="00DF17E9" w:rsidP="00044843">
            <w:pPr>
              <w:ind w:left="0" w:firstLine="0"/>
              <w:rPr>
                <w:color w:val="000000"/>
              </w:rPr>
            </w:pPr>
            <w:r w:rsidRPr="00C12632">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DF17E9" w:rsidP="00044843">
            <w:pPr>
              <w:rPr>
                <w:color w:val="000000"/>
              </w:rPr>
            </w:pPr>
            <w:r w:rsidRPr="00C12632">
              <w:rPr>
                <w:color w:val="000000"/>
              </w:rPr>
              <w:t>..</w:t>
            </w:r>
          </w:p>
        </w:tc>
        <w:tc>
          <w:tcPr>
            <w:tcW w:w="151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2 409</w:t>
            </w:r>
          </w:p>
        </w:tc>
        <w:tc>
          <w:tcPr>
            <w:cnfStyle w:val="000010000000" w:firstRow="0" w:lastRow="0" w:firstColumn="0" w:lastColumn="0" w:oddVBand="1" w:evenVBand="0" w:oddHBand="0" w:evenHBand="0" w:firstRowFirstColumn="0" w:firstRowLastColumn="0" w:lastRowFirstColumn="0" w:lastRowLastColumn="0"/>
            <w:tcW w:w="1508" w:type="dxa"/>
            <w:tcBorders>
              <w:bottom w:val="single" w:sz="6" w:space="0" w:color="auto"/>
            </w:tcBorders>
          </w:tcPr>
          <w:p w:rsidR="00DF17E9" w:rsidRPr="00C12632" w:rsidRDefault="00DF17E9" w:rsidP="00044843">
            <w:pPr>
              <w:rPr>
                <w:color w:val="000000"/>
              </w:rPr>
            </w:pPr>
            <w:r w:rsidRPr="00C12632">
              <w:rPr>
                <w:color w:val="000000"/>
              </w:rPr>
              <w:t>..</w:t>
            </w:r>
          </w:p>
        </w:tc>
        <w:tc>
          <w:tcPr>
            <w:tcW w:w="1984"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6" w:space="0" w:color="auto"/>
            </w:tcBorders>
          </w:tcPr>
          <w:p w:rsidR="00DF17E9" w:rsidRPr="00C12632" w:rsidRDefault="00DF17E9" w:rsidP="00044843">
            <w:pPr>
              <w:rPr>
                <w:color w:val="000000"/>
              </w:rPr>
            </w:pPr>
            <w:r w:rsidRPr="00C12632">
              <w:rPr>
                <w:color w:val="000000"/>
              </w:rPr>
              <w:t>..</w:t>
            </w:r>
          </w:p>
        </w:tc>
        <w:tc>
          <w:tcPr>
            <w:tcW w:w="992"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single" w:sz="6" w:space="0" w:color="auto"/>
              <w:right w:val="nil"/>
            </w:tcBorders>
          </w:tcPr>
          <w:p w:rsidR="00DF17E9" w:rsidRPr="00C12632" w:rsidRDefault="00DF17E9" w:rsidP="00044843">
            <w:pPr>
              <w:rPr>
                <w:color w:val="000000"/>
              </w:rPr>
            </w:pPr>
            <w:r w:rsidRPr="00C12632">
              <w:rPr>
                <w:color w:val="000000"/>
              </w:rPr>
              <w:t>2 409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color w:val="000000"/>
              </w:rPr>
            </w:pPr>
            <w:r w:rsidRPr="00C12632">
              <w:rPr>
                <w:b/>
                <w:color w:val="000000"/>
              </w:rPr>
              <w:t xml:space="preserve">Total equity as at 30 June 2015 </w:t>
            </w:r>
            <w:r w:rsidRPr="00C12632">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4 511</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49 943</w:t>
            </w:r>
          </w:p>
        </w:tc>
        <w:tc>
          <w:tcPr>
            <w:cnfStyle w:val="000010000000" w:firstRow="0" w:lastRow="0" w:firstColumn="0" w:lastColumn="0" w:oddVBand="1" w:evenVBand="0" w:oddHBand="0" w:evenHBand="0" w:firstRowFirstColumn="0" w:firstRowLastColumn="0" w:lastRowFirstColumn="0" w:lastRowLastColumn="0"/>
            <w:tcW w:w="1508"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98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24 161</w:t>
            </w:r>
          </w:p>
        </w:tc>
        <w:tc>
          <w:tcPr>
            <w:cnfStyle w:val="000010000000" w:firstRow="0" w:lastRow="0" w:firstColumn="0" w:lastColumn="0" w:oddVBand="1" w:evenVBand="0" w:oddHBand="0" w:evenHBand="0" w:firstRowFirstColumn="0" w:firstRowLastColumn="0" w:lastRowFirstColumn="0" w:lastRowLastColumn="0"/>
            <w:tcW w:w="198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992"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437</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79 052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12" w:space="0" w:color="auto"/>
              <w:left w:val="nil"/>
            </w:tcBorders>
          </w:tcPr>
          <w:p w:rsidR="00DF17E9" w:rsidRPr="00C12632" w:rsidRDefault="00DF17E9" w:rsidP="00044843">
            <w:pPr>
              <w:ind w:left="0" w:firstLine="0"/>
              <w:rPr>
                <w:color w:val="000000"/>
              </w:rPr>
            </w:pPr>
            <w:r w:rsidRPr="00C12632">
              <w:rPr>
                <w:b/>
                <w:color w:val="000000"/>
              </w:rPr>
              <w:t>PFC sector</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tcBorders>
          </w:tcPr>
          <w:p w:rsidR="00DF17E9" w:rsidRPr="00C12632" w:rsidRDefault="00DF17E9" w:rsidP="00044843">
            <w:pPr>
              <w:rPr>
                <w:color w:val="000000"/>
              </w:rPr>
            </w:pPr>
            <w:r w:rsidRPr="00C12632">
              <w:rPr>
                <w:b/>
                <w:color w:val="000000"/>
              </w:rPr>
              <w:t xml:space="preserve"> </w:t>
            </w:r>
          </w:p>
        </w:tc>
        <w:tc>
          <w:tcPr>
            <w:tcW w:w="151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08"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1984" w:type="dxa"/>
            <w:tcBorders>
              <w:top w:val="single" w:sz="12" w:space="0" w:color="auto"/>
            </w:tcBorders>
          </w:tcPr>
          <w:p w:rsidR="00DF17E9" w:rsidRPr="00C12632"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top w:val="single" w:sz="12" w:space="0" w:color="auto"/>
            </w:tcBorders>
          </w:tcPr>
          <w:p w:rsidR="00DF17E9" w:rsidRPr="00C12632" w:rsidRDefault="00DF17E9" w:rsidP="00044843">
            <w:pPr>
              <w:jc w:val="left"/>
              <w:rPr>
                <w:color w:val="000000"/>
              </w:rPr>
            </w:pPr>
            <w:r w:rsidRPr="00C12632">
              <w:rPr>
                <w:b/>
                <w:color w:val="000000"/>
              </w:rPr>
              <w:t xml:space="preserve"> </w:t>
            </w:r>
          </w:p>
        </w:tc>
        <w:tc>
          <w:tcPr>
            <w:tcW w:w="992" w:type="dxa"/>
            <w:tcBorders>
              <w:top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top w:val="single" w:sz="12" w:space="0" w:color="auto"/>
              <w:right w:val="nil"/>
            </w:tcBorders>
          </w:tcPr>
          <w:p w:rsidR="00DF17E9" w:rsidRPr="00C12632" w:rsidRDefault="00DF17E9" w:rsidP="00044843">
            <w:pPr>
              <w:rPr>
                <w:color w:val="000000"/>
              </w:rPr>
            </w:pPr>
            <w:r w:rsidRPr="00C12632">
              <w:rPr>
                <w:b/>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Balance at 1 July 2014</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(749)</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254</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181</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(312)</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Net result for the year</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430</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430</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rPr>
            </w:pPr>
            <w:r w:rsidRPr="00C12632">
              <w:rPr>
                <w:color w:val="000000"/>
              </w:rPr>
              <w:t xml:space="preserve">Other comprehensive income for the year </w:t>
            </w:r>
            <w:r w:rsidRPr="00C12632">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(200)</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(145)</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(345)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tcBorders>
          </w:tcPr>
          <w:p w:rsidR="00DF17E9" w:rsidRPr="00C12632" w:rsidRDefault="00DF17E9" w:rsidP="00044843">
            <w:pPr>
              <w:ind w:left="0" w:firstLine="0"/>
              <w:rPr>
                <w:color w:val="000000"/>
                <w:vertAlign w:val="superscript"/>
              </w:rPr>
            </w:pPr>
            <w:r w:rsidRPr="00C12632">
              <w:rPr>
                <w:color w:val="000000"/>
              </w:rPr>
              <w:t xml:space="preserve">Transfer to/(from) accumulated surplus </w:t>
            </w:r>
            <w:r w:rsidRPr="00C12632">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514" w:type="dxa"/>
          </w:tcPr>
          <w:p w:rsidR="00DF17E9" w:rsidRPr="00C12632" w:rsidRDefault="00DF17E9" w:rsidP="00044843">
            <w:pPr>
              <w:rPr>
                <w:color w:val="000000"/>
              </w:rPr>
            </w:pPr>
            <w:r w:rsidRPr="00C12632">
              <w:rPr>
                <w:color w:val="000000"/>
              </w:rPr>
              <w:t>77</w:t>
            </w:r>
          </w:p>
        </w:tc>
        <w:tc>
          <w:tcPr>
            <w:tcW w:w="151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(77)</w:t>
            </w:r>
          </w:p>
        </w:tc>
        <w:tc>
          <w:tcPr>
            <w:cnfStyle w:val="000010000000" w:firstRow="0" w:lastRow="0" w:firstColumn="0" w:lastColumn="0" w:oddVBand="1" w:evenVBand="0" w:oddHBand="0" w:evenHBand="0" w:firstRowFirstColumn="0" w:firstRowLastColumn="0" w:lastRowFirstColumn="0" w:lastRowLastColumn="0"/>
            <w:tcW w:w="1508" w:type="dxa"/>
          </w:tcPr>
          <w:p w:rsidR="00DF17E9" w:rsidRPr="00C12632" w:rsidRDefault="00DF17E9" w:rsidP="00044843">
            <w:pPr>
              <w:rPr>
                <w:color w:val="000000"/>
              </w:rPr>
            </w:pPr>
            <w:r w:rsidRPr="00C12632">
              <w:rPr>
                <w:color w:val="000000"/>
              </w:rPr>
              <w:t>..</w:t>
            </w:r>
          </w:p>
        </w:tc>
        <w:tc>
          <w:tcPr>
            <w:tcW w:w="1984"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Pr>
          <w:p w:rsidR="00DF17E9" w:rsidRPr="00C12632" w:rsidRDefault="00DF17E9" w:rsidP="00044843">
            <w:pPr>
              <w:rPr>
                <w:color w:val="000000"/>
              </w:rPr>
            </w:pPr>
            <w:r w:rsidRPr="00C12632">
              <w:rPr>
                <w:color w:val="000000"/>
              </w:rPr>
              <w:t>..</w:t>
            </w:r>
          </w:p>
        </w:tc>
        <w:tc>
          <w:tcPr>
            <w:tcW w:w="992"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right w:val="nil"/>
            </w:tcBorders>
          </w:tcPr>
          <w:p w:rsidR="00DF17E9" w:rsidRPr="00C12632" w:rsidRDefault="00DF17E9" w:rsidP="00044843">
            <w:pPr>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nil"/>
            </w:tcBorders>
          </w:tcPr>
          <w:p w:rsidR="00DF17E9" w:rsidRPr="00C12632" w:rsidRDefault="00DF17E9" w:rsidP="00044843">
            <w:pPr>
              <w:ind w:left="0" w:firstLine="0"/>
              <w:rPr>
                <w:color w:val="000000"/>
              </w:rPr>
            </w:pPr>
            <w:r w:rsidRPr="00C12632">
              <w:rPr>
                <w:color w:val="000000"/>
              </w:rPr>
              <w:t>Dividends paid</w:t>
            </w:r>
          </w:p>
        </w:tc>
        <w:tc>
          <w:tcPr>
            <w:cnfStyle w:val="000010000000" w:firstRow="0" w:lastRow="0" w:firstColumn="0" w:lastColumn="0" w:oddVBand="1" w:evenVBand="0" w:oddHBand="0" w:evenHBand="0" w:firstRowFirstColumn="0" w:firstRowLastColumn="0" w:lastRowFirstColumn="0" w:lastRowLastColumn="0"/>
            <w:tcW w:w="1514" w:type="dxa"/>
            <w:tcBorders>
              <w:bottom w:val="nil"/>
            </w:tcBorders>
          </w:tcPr>
          <w:p w:rsidR="00DF17E9" w:rsidRPr="00C12632" w:rsidRDefault="00DF17E9" w:rsidP="00044843">
            <w:pPr>
              <w:rPr>
                <w:color w:val="000000"/>
              </w:rPr>
            </w:pPr>
            <w:r w:rsidRPr="00C12632">
              <w:rPr>
                <w:color w:val="000000"/>
              </w:rPr>
              <w:t>(566)</w:t>
            </w:r>
          </w:p>
        </w:tc>
        <w:tc>
          <w:tcPr>
            <w:tcW w:w="151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508" w:type="dxa"/>
            <w:tcBorders>
              <w:bottom w:val="nil"/>
            </w:tcBorders>
          </w:tcPr>
          <w:p w:rsidR="00DF17E9" w:rsidRPr="00C12632" w:rsidRDefault="00DF17E9" w:rsidP="00044843">
            <w:pPr>
              <w:rPr>
                <w:color w:val="000000"/>
              </w:rPr>
            </w:pPr>
            <w:r w:rsidRPr="00C12632">
              <w:rPr>
                <w:color w:val="000000"/>
              </w:rPr>
              <w:t>..</w:t>
            </w:r>
          </w:p>
        </w:tc>
        <w:tc>
          <w:tcPr>
            <w:tcW w:w="1984"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984" w:type="dxa"/>
            <w:tcBorders>
              <w:bottom w:val="nil"/>
            </w:tcBorders>
          </w:tcPr>
          <w:p w:rsidR="00DF17E9" w:rsidRPr="00C12632" w:rsidRDefault="00DF17E9" w:rsidP="00044843">
            <w:pPr>
              <w:rPr>
                <w:color w:val="000000"/>
              </w:rPr>
            </w:pPr>
            <w:r w:rsidRPr="00C12632">
              <w:rPr>
                <w:color w:val="000000"/>
              </w:rPr>
              <w:t>..</w:t>
            </w:r>
          </w:p>
        </w:tc>
        <w:tc>
          <w:tcPr>
            <w:tcW w:w="992"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bottom w:val="nil"/>
              <w:right w:val="nil"/>
            </w:tcBorders>
          </w:tcPr>
          <w:p w:rsidR="00DF17E9" w:rsidRPr="00C12632" w:rsidRDefault="00DF17E9" w:rsidP="00044843">
            <w:pPr>
              <w:rPr>
                <w:color w:val="000000"/>
              </w:rPr>
            </w:pPr>
            <w:r w:rsidRPr="00C12632">
              <w:rPr>
                <w:color w:val="000000"/>
              </w:rPr>
              <w:t>(566)</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left w:val="nil"/>
              <w:bottom w:val="single" w:sz="6" w:space="0" w:color="auto"/>
            </w:tcBorders>
          </w:tcPr>
          <w:p w:rsidR="00DF17E9" w:rsidRPr="00C12632" w:rsidRDefault="00DF17E9" w:rsidP="00044843">
            <w:pPr>
              <w:ind w:left="0" w:firstLine="0"/>
              <w:rPr>
                <w:color w:val="000000"/>
              </w:rPr>
            </w:pPr>
            <w:r w:rsidRPr="00C12632">
              <w:rPr>
                <w:color w:val="000000"/>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4"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514"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508"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1984"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6" w:space="0" w:color="auto"/>
            </w:tcBorders>
          </w:tcPr>
          <w:p w:rsidR="00DF17E9" w:rsidRPr="00C12632" w:rsidRDefault="002E0661" w:rsidP="00044843">
            <w:pPr>
              <w:rPr>
                <w:color w:val="000000"/>
              </w:rPr>
            </w:pPr>
            <w:r>
              <w:rPr>
                <w:color w:val="000000"/>
              </w:rPr>
              <w:t>..</w:t>
            </w:r>
            <w:r w:rsidR="00DF17E9" w:rsidRPr="00C12632">
              <w:rPr>
                <w:color w:val="000000"/>
              </w:rPr>
              <w:t xml:space="preserve"> </w:t>
            </w:r>
          </w:p>
        </w:tc>
        <w:tc>
          <w:tcPr>
            <w:tcW w:w="992" w:type="dxa"/>
            <w:tcBorders>
              <w:bottom w:val="single" w:sz="6" w:space="0" w:color="auto"/>
            </w:tcBorders>
          </w:tcPr>
          <w:p w:rsidR="00DF17E9" w:rsidRPr="00C12632" w:rsidRDefault="002E0661" w:rsidP="000448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DF17E9" w:rsidRPr="00C12632">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06" w:type="dxa"/>
            <w:tcBorders>
              <w:bottom w:val="single" w:sz="6" w:space="0" w:color="auto"/>
              <w:right w:val="nil"/>
            </w:tcBorders>
          </w:tcPr>
          <w:p w:rsidR="00DF17E9" w:rsidRPr="00C12632" w:rsidRDefault="002E0661" w:rsidP="00044843">
            <w:pPr>
              <w:rPr>
                <w:color w:val="000000"/>
              </w:rPr>
            </w:pPr>
            <w:r>
              <w:rPr>
                <w:color w:val="000000"/>
              </w:rPr>
              <w:t>..</w:t>
            </w:r>
            <w:r w:rsidR="00DF17E9" w:rsidRPr="00C12632">
              <w:rPr>
                <w:color w:val="000000"/>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color w:val="000000"/>
              </w:rPr>
            </w:pPr>
            <w:r w:rsidRPr="00C12632">
              <w:rPr>
                <w:b/>
                <w:color w:val="000000"/>
              </w:rPr>
              <w:t xml:space="preserve">Total equity as at 30 June 2015 </w:t>
            </w:r>
            <w:r w:rsidRPr="00C12632">
              <w:rPr>
                <w:b/>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(1 009)</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177</w:t>
            </w:r>
          </w:p>
        </w:tc>
        <w:tc>
          <w:tcPr>
            <w:cnfStyle w:val="000010000000" w:firstRow="0" w:lastRow="0" w:firstColumn="0" w:lastColumn="0" w:oddVBand="1" w:evenVBand="0" w:oddHBand="0" w:evenHBand="0" w:firstRowFirstColumn="0" w:firstRowLastColumn="0" w:lastRowFirstColumn="0" w:lastRowLastColumn="0"/>
            <w:tcW w:w="1508"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198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2</w:t>
            </w:r>
          </w:p>
        </w:tc>
        <w:tc>
          <w:tcPr>
            <w:cnfStyle w:val="000010000000" w:firstRow="0" w:lastRow="0" w:firstColumn="0" w:lastColumn="0" w:oddVBand="1" w:evenVBand="0" w:oddHBand="0" w:evenHBand="0" w:firstRowFirstColumn="0" w:firstRowLastColumn="0" w:lastRowFirstColumn="0" w:lastRowLastColumn="0"/>
            <w:tcW w:w="198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992"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35</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(794)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12" w:space="0" w:color="auto"/>
              <w:left w:val="nil"/>
              <w:bottom w:val="single" w:sz="6" w:space="0" w:color="auto"/>
            </w:tcBorders>
          </w:tcPr>
          <w:p w:rsidR="00DF17E9" w:rsidRPr="00C12632" w:rsidRDefault="00DF17E9" w:rsidP="00044843">
            <w:pPr>
              <w:ind w:left="0" w:firstLine="0"/>
              <w:rPr>
                <w:color w:val="000000"/>
              </w:rPr>
            </w:pPr>
            <w:r w:rsidRPr="00C12632">
              <w:rPr>
                <w:color w:val="000000"/>
              </w:rPr>
              <w:t xml:space="preserve">Eliminations </w:t>
            </w:r>
            <w:r w:rsidRPr="00C12632">
              <w:rPr>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514" w:type="dxa"/>
            <w:tcBorders>
              <w:top w:val="single" w:sz="12" w:space="0" w:color="auto"/>
              <w:bottom w:val="single" w:sz="6" w:space="0" w:color="auto"/>
            </w:tcBorders>
          </w:tcPr>
          <w:p w:rsidR="00DF17E9" w:rsidRPr="00C12632" w:rsidRDefault="00DF17E9" w:rsidP="00044843">
            <w:pPr>
              <w:rPr>
                <w:color w:val="000000"/>
              </w:rPr>
            </w:pPr>
            <w:r w:rsidRPr="00C12632">
              <w:rPr>
                <w:color w:val="000000"/>
              </w:rPr>
              <w:t>12 019</w:t>
            </w:r>
          </w:p>
        </w:tc>
        <w:tc>
          <w:tcPr>
            <w:tcW w:w="1514" w:type="dxa"/>
            <w:tcBorders>
              <w:top w:val="single" w:sz="12"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(50 120)</w:t>
            </w:r>
          </w:p>
        </w:tc>
        <w:tc>
          <w:tcPr>
            <w:cnfStyle w:val="000010000000" w:firstRow="0" w:lastRow="0" w:firstColumn="0" w:lastColumn="0" w:oddVBand="1" w:evenVBand="0" w:oddHBand="0" w:evenHBand="0" w:firstRowFirstColumn="0" w:firstRowLastColumn="0" w:lastRowFirstColumn="0" w:lastRowLastColumn="0"/>
            <w:tcW w:w="1508" w:type="dxa"/>
            <w:tcBorders>
              <w:top w:val="single" w:sz="12" w:space="0" w:color="auto"/>
              <w:bottom w:val="single" w:sz="6" w:space="0" w:color="auto"/>
            </w:tcBorders>
          </w:tcPr>
          <w:p w:rsidR="00DF17E9" w:rsidRPr="00C12632" w:rsidRDefault="00DF17E9" w:rsidP="00044843">
            <w:pPr>
              <w:rPr>
                <w:color w:val="000000"/>
              </w:rPr>
            </w:pPr>
            <w:r w:rsidRPr="00C12632">
              <w:rPr>
                <w:color w:val="000000"/>
              </w:rPr>
              <w:t>..</w:t>
            </w:r>
          </w:p>
        </w:tc>
        <w:tc>
          <w:tcPr>
            <w:tcW w:w="1984" w:type="dxa"/>
            <w:tcBorders>
              <w:top w:val="single" w:sz="12"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9 911</w:t>
            </w:r>
          </w:p>
        </w:tc>
        <w:tc>
          <w:tcPr>
            <w:cnfStyle w:val="000010000000" w:firstRow="0" w:lastRow="0" w:firstColumn="0" w:lastColumn="0" w:oddVBand="1" w:evenVBand="0" w:oddHBand="0" w:evenHBand="0" w:firstRowFirstColumn="0" w:firstRowLastColumn="0" w:lastRowFirstColumn="0" w:lastRowLastColumn="0"/>
            <w:tcW w:w="1984" w:type="dxa"/>
            <w:tcBorders>
              <w:top w:val="single" w:sz="12" w:space="0" w:color="auto"/>
              <w:bottom w:val="single" w:sz="6" w:space="0" w:color="auto"/>
            </w:tcBorders>
          </w:tcPr>
          <w:p w:rsidR="00DF17E9" w:rsidRPr="00C12632" w:rsidRDefault="00DF17E9" w:rsidP="00044843">
            <w:pPr>
              <w:rPr>
                <w:color w:val="000000"/>
              </w:rPr>
            </w:pPr>
            <w:r w:rsidRPr="00C12632">
              <w:rPr>
                <w:color w:val="000000"/>
              </w:rPr>
              <w:t>(46 494)</w:t>
            </w:r>
          </w:p>
        </w:tc>
        <w:tc>
          <w:tcPr>
            <w:tcW w:w="992" w:type="dxa"/>
            <w:tcBorders>
              <w:top w:val="single" w:sz="12" w:space="0" w:color="auto"/>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c>
          <w:tcPr>
            <w:cnfStyle w:val="000010000000" w:firstRow="0" w:lastRow="0" w:firstColumn="0" w:lastColumn="0" w:oddVBand="1" w:evenVBand="0" w:oddHBand="0" w:evenHBand="0" w:firstRowFirstColumn="0" w:firstRowLastColumn="0" w:lastRowFirstColumn="0" w:lastRowLastColumn="0"/>
            <w:tcW w:w="1106" w:type="dxa"/>
            <w:tcBorders>
              <w:top w:val="single" w:sz="12" w:space="0" w:color="auto"/>
              <w:bottom w:val="single" w:sz="6" w:space="0" w:color="auto"/>
              <w:right w:val="nil"/>
            </w:tcBorders>
          </w:tcPr>
          <w:p w:rsidR="00DF17E9" w:rsidRPr="00C12632" w:rsidRDefault="00DF17E9" w:rsidP="00044843">
            <w:pPr>
              <w:rPr>
                <w:color w:val="000000"/>
              </w:rPr>
            </w:pPr>
            <w:r w:rsidRPr="00C12632">
              <w:rPr>
                <w:color w:val="000000"/>
              </w:rPr>
              <w:t>(74 684)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4139" w:type="dxa"/>
            <w:tcBorders>
              <w:top w:val="single" w:sz="6" w:space="0" w:color="auto"/>
              <w:left w:val="nil"/>
              <w:bottom w:val="single" w:sz="12" w:space="0" w:color="auto"/>
            </w:tcBorders>
          </w:tcPr>
          <w:p w:rsidR="00DF17E9" w:rsidRPr="00C12632" w:rsidRDefault="00DF17E9" w:rsidP="00044843">
            <w:pPr>
              <w:ind w:left="0" w:firstLine="0"/>
              <w:rPr>
                <w:b/>
                <w:color w:val="000000"/>
              </w:rPr>
            </w:pPr>
            <w:r w:rsidRPr="00C12632">
              <w:rPr>
                <w:b/>
                <w:color w:val="000000"/>
              </w:rPr>
              <w:t xml:space="preserve">Total State of Victoria </w:t>
            </w:r>
            <w:r w:rsidRPr="00C12632">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51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61 285</w:t>
            </w:r>
          </w:p>
        </w:tc>
        <w:tc>
          <w:tcPr>
            <w:tcW w:w="151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w:t>
            </w:r>
          </w:p>
        </w:tc>
        <w:tc>
          <w:tcPr>
            <w:cnfStyle w:val="000010000000" w:firstRow="0" w:lastRow="0" w:firstColumn="0" w:lastColumn="0" w:oddVBand="1" w:evenVBand="0" w:oddHBand="0" w:evenHBand="0" w:firstRowFirstColumn="0" w:firstRowLastColumn="0" w:lastRowFirstColumn="0" w:lastRowLastColumn="0"/>
            <w:tcW w:w="1508"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50</w:t>
            </w:r>
          </w:p>
        </w:tc>
        <w:tc>
          <w:tcPr>
            <w:tcW w:w="1984"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77 429</w:t>
            </w:r>
          </w:p>
        </w:tc>
        <w:tc>
          <w:tcPr>
            <w:cnfStyle w:val="000010000000" w:firstRow="0" w:lastRow="0" w:firstColumn="0" w:lastColumn="0" w:oddVBand="1" w:evenVBand="0" w:oddHBand="0" w:evenHBand="0" w:firstRowFirstColumn="0" w:firstRowLastColumn="0" w:lastRowFirstColumn="0" w:lastRowLastColumn="0"/>
            <w:tcW w:w="1984" w:type="dxa"/>
            <w:tcBorders>
              <w:top w:val="single" w:sz="6" w:space="0" w:color="auto"/>
              <w:bottom w:val="single" w:sz="12" w:space="0" w:color="auto"/>
            </w:tcBorders>
          </w:tcPr>
          <w:p w:rsidR="00DF17E9" w:rsidRPr="00C12632" w:rsidRDefault="00DF17E9" w:rsidP="00044843">
            <w:pPr>
              <w:rPr>
                <w:b/>
                <w:color w:val="000000"/>
              </w:rPr>
            </w:pPr>
            <w:r w:rsidRPr="00C12632">
              <w:rPr>
                <w:b/>
                <w:color w:val="000000"/>
              </w:rPr>
              <w:t>..</w:t>
            </w:r>
          </w:p>
        </w:tc>
        <w:tc>
          <w:tcPr>
            <w:tcW w:w="992"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C12632">
              <w:rPr>
                <w:b/>
                <w:color w:val="000000"/>
              </w:rPr>
              <w:t>1 201</w:t>
            </w:r>
          </w:p>
        </w:tc>
        <w:tc>
          <w:tcPr>
            <w:cnfStyle w:val="000010000000" w:firstRow="0" w:lastRow="0" w:firstColumn="0" w:lastColumn="0" w:oddVBand="1" w:evenVBand="0" w:oddHBand="0" w:evenHBand="0" w:firstRowFirstColumn="0" w:firstRowLastColumn="0" w:lastRowFirstColumn="0" w:lastRowLastColumn="0"/>
            <w:tcW w:w="1106" w:type="dxa"/>
            <w:tcBorders>
              <w:top w:val="single" w:sz="6" w:space="0" w:color="auto"/>
              <w:bottom w:val="single" w:sz="12" w:space="0" w:color="auto"/>
              <w:right w:val="nil"/>
            </w:tcBorders>
          </w:tcPr>
          <w:p w:rsidR="00DF17E9" w:rsidRPr="00C12632" w:rsidRDefault="00DF17E9" w:rsidP="00044843">
            <w:pPr>
              <w:rPr>
                <w:b/>
                <w:color w:val="000000"/>
              </w:rPr>
            </w:pPr>
            <w:r w:rsidRPr="00C12632">
              <w:rPr>
                <w:b/>
                <w:color w:val="000000"/>
              </w:rPr>
              <w:t>139 966</w:t>
            </w:r>
          </w:p>
        </w:tc>
      </w:tr>
    </w:tbl>
    <w:p w:rsidR="00DF17E9" w:rsidRDefault="00DF17E9" w:rsidP="00044843">
      <w:pPr>
        <w:pStyle w:val="Note"/>
      </w:pPr>
      <w:r>
        <w:t>Notes:</w:t>
      </w:r>
    </w:p>
    <w:p w:rsidR="00DF17E9" w:rsidRDefault="00DF17E9" w:rsidP="00044843">
      <w:pPr>
        <w:pStyle w:val="Note"/>
      </w:pPr>
      <w:r>
        <w:t>(a)</w:t>
      </w:r>
      <w:r>
        <w:tab/>
        <w:t>Non-financial assets revaluation surplus relates to revaluation of land, buildings, infrastructure, plant and equipment.</w:t>
      </w:r>
    </w:p>
    <w:p w:rsidR="00DF17E9" w:rsidRPr="008418E9" w:rsidRDefault="00DF17E9" w:rsidP="00044843">
      <w:pPr>
        <w:pStyle w:val="Note"/>
      </w:pPr>
      <w:r w:rsidRPr="008418E9">
        <w:t>(b)</w:t>
      </w:r>
      <w:r w:rsidRPr="008418E9">
        <w:tab/>
        <w:t>June 2015 comparative figures and 1 July 2015 opening balances have been restated to reflect an adjustment to Coliban Water’s deferred tax liability balances in the PNFC sector attributable to a change in valuation policy in 2015-16.</w:t>
      </w:r>
    </w:p>
    <w:p w:rsidR="00DF17E9" w:rsidRDefault="00DF17E9" w:rsidP="00044843">
      <w:pPr>
        <w:pStyle w:val="Note"/>
      </w:pPr>
      <w:r w:rsidRPr="008418E9">
        <w:t>(c)</w:t>
      </w:r>
      <w:r>
        <w:tab/>
      </w:r>
      <w:r w:rsidRPr="008418E9">
        <w:t>June 2015 comparative figures and 1 July 2015 opening balances have been restated to finalise the allocation of equity balances between contributed capital and accumulated funds related to prior year machinery of government changes</w:t>
      </w:r>
      <w:r>
        <w:t>.</w:t>
      </w:r>
    </w:p>
    <w:p w:rsidR="00DF17E9" w:rsidRDefault="00DF17E9" w:rsidP="00044843"/>
    <w:p w:rsidR="00DF17E9" w:rsidRDefault="00DF17E9" w:rsidP="00044843">
      <w:pPr>
        <w:sectPr w:rsidR="00DF17E9" w:rsidSect="00044843">
          <w:headerReference w:type="even" r:id="rId259"/>
          <w:headerReference w:type="default" r:id="rId260"/>
          <w:footerReference w:type="even" r:id="rId261"/>
          <w:footerReference w:type="default" r:id="rId262"/>
          <w:pgSz w:w="16838" w:h="11906" w:orient="landscape" w:code="9"/>
          <w:pgMar w:top="1134" w:right="1134" w:bottom="1134" w:left="1134" w:header="624" w:footer="567" w:gutter="0"/>
          <w:cols w:space="708"/>
          <w:docGrid w:linePitch="360"/>
        </w:sectPr>
      </w:pPr>
    </w:p>
    <w:p w:rsidR="00DF17E9" w:rsidRPr="00195B47" w:rsidRDefault="00DF17E9" w:rsidP="005C5F28">
      <w:pPr>
        <w:pStyle w:val="Heading2"/>
        <w:spacing w:before="0"/>
        <w:ind w:left="578" w:hanging="578"/>
      </w:pPr>
      <w:bookmarkStart w:id="94" w:name="_Toc462418976"/>
      <w:r w:rsidRPr="00195B47">
        <w:lastRenderedPageBreak/>
        <w:t>Funds under management</w:t>
      </w:r>
      <w:bookmarkEnd w:id="94"/>
    </w:p>
    <w:p w:rsidR="00DF17E9" w:rsidRDefault="00DF17E9" w:rsidP="00044843">
      <w:r w:rsidRPr="008A734D">
        <w:t xml:space="preserve">The State has responsibility for transactions and balances relating to trust funds held on behalf of third parties external to the State. The funds </w:t>
      </w:r>
      <w:r w:rsidRPr="008A734D">
        <w:lastRenderedPageBreak/>
        <w:t>managed on behalf of third parties are not recognised in these financial statements as they are managed on a fiduciary and custodial basis, and therefore are not controlled by the State. Funds under management are reported in the table below.</w:t>
      </w:r>
    </w:p>
    <w:p w:rsidR="00DF17E9" w:rsidRDefault="00DF17E9" w:rsidP="00044843">
      <w:pPr>
        <w:sectPr w:rsidR="00DF17E9" w:rsidSect="00D4176F">
          <w:headerReference w:type="even" r:id="rId263"/>
          <w:footerReference w:type="even" r:id="rId264"/>
          <w:type w:val="continuous"/>
          <w:pgSz w:w="11906" w:h="16838" w:code="9"/>
          <w:pgMar w:top="1134" w:right="1134" w:bottom="1134" w:left="1134" w:header="624" w:footer="567" w:gutter="0"/>
          <w:cols w:num="2" w:space="708"/>
          <w:docGrid w:linePitch="360"/>
        </w:sectPr>
      </w:pPr>
    </w:p>
    <w:p w:rsidR="00DF17E9" w:rsidRPr="00C12632" w:rsidRDefault="00DF17E9" w:rsidP="00044843">
      <w:pPr>
        <w:pStyle w:val="Subheading"/>
        <w:rPr>
          <w:bCs/>
          <w:lang w:val="en-US"/>
        </w:rPr>
      </w:pPr>
      <w:r w:rsidRPr="00D4176F">
        <w:lastRenderedPageBreak/>
        <w:t xml:space="preserve"> </w:t>
      </w:r>
      <w:r w:rsidRPr="00D4176F">
        <w:tab/>
      </w:r>
      <w:r w:rsidRPr="00D4176F">
        <w:rPr>
          <w:rStyle w:val="TableUnitsChar"/>
        </w:rPr>
        <w:t>($ million)</w:t>
      </w:r>
    </w:p>
    <w:tbl>
      <w:tblPr>
        <w:tblStyle w:val="TableDTFGeneral"/>
        <w:tblW w:w="9643" w:type="dxa"/>
        <w:tblLayout w:type="fixed"/>
        <w:tblLook w:val="02A0" w:firstRow="1" w:lastRow="0" w:firstColumn="1" w:lastColumn="0" w:noHBand="1" w:noVBand="0"/>
      </w:tblPr>
      <w:tblGrid>
        <w:gridCol w:w="5698"/>
        <w:gridCol w:w="986"/>
        <w:gridCol w:w="986"/>
        <w:gridCol w:w="986"/>
        <w:gridCol w:w="987"/>
      </w:tblGrid>
      <w:tr w:rsidR="00A87C72"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A87C72" w:rsidRPr="00C12632" w:rsidRDefault="00A87C72"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972" w:type="dxa"/>
            <w:gridSpan w:val="2"/>
          </w:tcPr>
          <w:p w:rsidR="00A87C72" w:rsidRPr="00C12632" w:rsidRDefault="00A87C72" w:rsidP="00044843">
            <w:pPr>
              <w:jc w:val="center"/>
              <w:rPr>
                <w:color w:val="FFFFFF"/>
              </w:rPr>
            </w:pPr>
            <w:r w:rsidRPr="00C12632">
              <w:rPr>
                <w:color w:val="FFFFFF"/>
              </w:rPr>
              <w:t>State of Victoria</w:t>
            </w:r>
          </w:p>
        </w:tc>
        <w:tc>
          <w:tcPr>
            <w:tcW w:w="1973" w:type="dxa"/>
            <w:gridSpan w:val="2"/>
          </w:tcPr>
          <w:p w:rsidR="00A87C72" w:rsidRPr="00C12632" w:rsidRDefault="00A87C72" w:rsidP="00A87C72">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General </w:t>
            </w:r>
            <w:r>
              <w:rPr>
                <w:color w:val="FFFFFF"/>
              </w:rPr>
              <w:br/>
            </w:r>
            <w:r w:rsidRPr="00C12632">
              <w:rPr>
                <w:color w:val="FFFFFF"/>
              </w:rPr>
              <w:t>government sector</w:t>
            </w:r>
          </w:p>
        </w:tc>
      </w:tr>
      <w:tr w:rsidR="00DF17E9"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0" w:firstLine="0"/>
              <w:jc w:val="right"/>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FFFFFF"/>
              </w:rPr>
            </w:pPr>
            <w:r w:rsidRPr="00C12632">
              <w:rPr>
                <w:color w:val="FFFFFF"/>
              </w:rPr>
              <w:t>2016</w:t>
            </w:r>
          </w:p>
        </w:tc>
        <w:tc>
          <w:tcPr>
            <w:tcW w:w="986"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FFFFFF"/>
              </w:rPr>
            </w:pPr>
            <w:r w:rsidRPr="00C12632">
              <w:rPr>
                <w:color w:val="FFFFFF"/>
              </w:rPr>
              <w:t>2016</w:t>
            </w:r>
          </w:p>
        </w:tc>
        <w:tc>
          <w:tcPr>
            <w:tcW w:w="987"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113" w:hanging="113"/>
              <w:rPr>
                <w:color w:val="000000"/>
              </w:rPr>
            </w:pPr>
            <w:r w:rsidRPr="00C12632">
              <w:rPr>
                <w:color w:val="000000"/>
              </w:rPr>
              <w:t>Investments, real estate, personal and other assets</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2 904</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2 593</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w:t>
            </w:r>
          </w:p>
        </w:tc>
        <w:tc>
          <w:tcPr>
            <w:tcW w:w="98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113" w:hanging="113"/>
              <w:rPr>
                <w:color w:val="000000"/>
              </w:rPr>
            </w:pPr>
            <w:r w:rsidRPr="00C12632">
              <w:rPr>
                <w:color w:val="000000"/>
              </w:rPr>
              <w:t>Cash and investments in common and premium funds</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1 005</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979</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w:t>
            </w:r>
          </w:p>
        </w:tc>
        <w:tc>
          <w:tcPr>
            <w:tcW w:w="98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113" w:hanging="113"/>
              <w:rPr>
                <w:color w:val="000000"/>
              </w:rPr>
            </w:pPr>
            <w:r w:rsidRPr="00C12632">
              <w:rPr>
                <w:color w:val="000000"/>
              </w:rPr>
              <w:t>Residential tenancies bond money</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951</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874</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951</w:t>
            </w:r>
          </w:p>
        </w:tc>
        <w:tc>
          <w:tcPr>
            <w:tcW w:w="98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874</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113" w:hanging="113"/>
              <w:rPr>
                <w:color w:val="000000"/>
              </w:rPr>
            </w:pPr>
            <w:r w:rsidRPr="00C12632">
              <w:rPr>
                <w:color w:val="000000"/>
              </w:rPr>
              <w:t xml:space="preserve">Funds under management by the Senior Master of the Supreme Court </w:t>
            </w:r>
            <w:r w:rsidRPr="00C12632">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1 618</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1 597</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1 618</w:t>
            </w:r>
          </w:p>
        </w:tc>
        <w:tc>
          <w:tcPr>
            <w:tcW w:w="98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1 597</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113" w:hanging="113"/>
              <w:rPr>
                <w:color w:val="000000"/>
              </w:rPr>
            </w:pPr>
            <w:r w:rsidRPr="00C12632">
              <w:rPr>
                <w:color w:val="000000"/>
              </w:rPr>
              <w:t>Funds under management by Legal Services Board</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813</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825</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813</w:t>
            </w:r>
          </w:p>
        </w:tc>
        <w:tc>
          <w:tcPr>
            <w:tcW w:w="987"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825</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Borders>
              <w:bottom w:val="nil"/>
            </w:tcBorders>
          </w:tcPr>
          <w:p w:rsidR="00DF17E9" w:rsidRPr="00C12632" w:rsidRDefault="00DF17E9" w:rsidP="00044843">
            <w:pPr>
              <w:ind w:left="113" w:hanging="113"/>
              <w:rPr>
                <w:color w:val="000000"/>
              </w:rPr>
            </w:pPr>
            <w:r w:rsidRPr="00C12632">
              <w:rPr>
                <w:color w:val="000000"/>
              </w:rPr>
              <w:t xml:space="preserve">Funds under management for the Victorian Bushfire Appeal Fund </w:t>
            </w:r>
            <w:r w:rsidRPr="00C12632">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86" w:type="dxa"/>
            <w:tcBorders>
              <w:bottom w:val="nil"/>
            </w:tcBorders>
          </w:tcPr>
          <w:p w:rsidR="00DF17E9" w:rsidRPr="00C12632" w:rsidRDefault="00DF17E9" w:rsidP="00044843">
            <w:r w:rsidRPr="00C12632">
              <w:rPr>
                <w:color w:val="000000"/>
              </w:rPr>
              <w:t>3</w:t>
            </w:r>
          </w:p>
        </w:tc>
        <w:tc>
          <w:tcPr>
            <w:tcW w:w="986"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w:t>
            </w:r>
          </w:p>
        </w:tc>
        <w:tc>
          <w:tcPr>
            <w:cnfStyle w:val="000010000000" w:firstRow="0" w:lastRow="0" w:firstColumn="0" w:lastColumn="0" w:oddVBand="1" w:evenVBand="0" w:oddHBand="0" w:evenHBand="0" w:firstRowFirstColumn="0" w:firstRowLastColumn="0" w:lastRowFirstColumn="0" w:lastRowLastColumn="0"/>
            <w:tcW w:w="986" w:type="dxa"/>
            <w:tcBorders>
              <w:bottom w:val="nil"/>
            </w:tcBorders>
          </w:tcPr>
          <w:p w:rsidR="00DF17E9" w:rsidRPr="00C12632" w:rsidRDefault="00DF17E9" w:rsidP="00044843">
            <w:r w:rsidRPr="00C12632">
              <w:rPr>
                <w:color w:val="000000"/>
              </w:rPr>
              <w:t>3</w:t>
            </w:r>
          </w:p>
        </w:tc>
        <w:tc>
          <w:tcPr>
            <w:tcW w:w="987" w:type="dxa"/>
            <w:tcBorders>
              <w:bottom w:val="nil"/>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6</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Borders>
              <w:bottom w:val="single" w:sz="6" w:space="0" w:color="auto"/>
            </w:tcBorders>
          </w:tcPr>
          <w:p w:rsidR="00DF17E9" w:rsidRPr="00C12632" w:rsidRDefault="00DF17E9" w:rsidP="00044843">
            <w:pPr>
              <w:ind w:left="113" w:hanging="113"/>
              <w:rPr>
                <w:color w:val="000000"/>
              </w:rPr>
            </w:pPr>
            <w:r w:rsidRPr="00C12632">
              <w:rPr>
                <w:color w:val="000000"/>
              </w:rPr>
              <w:t>Other funds held</w:t>
            </w:r>
          </w:p>
        </w:tc>
        <w:tc>
          <w:tcPr>
            <w:cnfStyle w:val="000010000000" w:firstRow="0" w:lastRow="0" w:firstColumn="0" w:lastColumn="0" w:oddVBand="1" w:evenVBand="0" w:oddHBand="0" w:evenHBand="0" w:firstRowFirstColumn="0" w:firstRowLastColumn="0" w:lastRowFirstColumn="0" w:lastRowLastColumn="0"/>
            <w:tcW w:w="986" w:type="dxa"/>
            <w:tcBorders>
              <w:bottom w:val="single" w:sz="6" w:space="0" w:color="auto"/>
            </w:tcBorders>
          </w:tcPr>
          <w:p w:rsidR="00DF17E9" w:rsidRPr="00C12632" w:rsidRDefault="00DF17E9" w:rsidP="00044843">
            <w:r w:rsidRPr="00C12632">
              <w:rPr>
                <w:color w:val="000000"/>
              </w:rPr>
              <w:t>36</w:t>
            </w:r>
          </w:p>
        </w:tc>
        <w:tc>
          <w:tcPr>
            <w:tcW w:w="986"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31</w:t>
            </w:r>
          </w:p>
        </w:tc>
        <w:tc>
          <w:tcPr>
            <w:cnfStyle w:val="000010000000" w:firstRow="0" w:lastRow="0" w:firstColumn="0" w:lastColumn="0" w:oddVBand="1" w:evenVBand="0" w:oddHBand="0" w:evenHBand="0" w:firstRowFirstColumn="0" w:firstRowLastColumn="0" w:lastRowFirstColumn="0" w:lastRowLastColumn="0"/>
            <w:tcW w:w="986" w:type="dxa"/>
            <w:tcBorders>
              <w:bottom w:val="single" w:sz="6" w:space="0" w:color="auto"/>
            </w:tcBorders>
          </w:tcPr>
          <w:p w:rsidR="00DF17E9" w:rsidRPr="00C12632" w:rsidRDefault="00DF17E9" w:rsidP="00044843">
            <w:r w:rsidRPr="00C12632">
              <w:rPr>
                <w:color w:val="000000"/>
              </w:rPr>
              <w:t>11</w:t>
            </w:r>
          </w:p>
        </w:tc>
        <w:tc>
          <w:tcPr>
            <w:tcW w:w="987" w:type="dxa"/>
            <w:tcBorders>
              <w:bottom w:val="single" w:sz="6"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5</w:t>
            </w:r>
          </w:p>
        </w:tc>
      </w:tr>
      <w:tr w:rsidR="00DF17E9" w:rsidRPr="00C12632" w:rsidTr="00A87C72">
        <w:tc>
          <w:tcPr>
            <w:cnfStyle w:val="001000000000" w:firstRow="0" w:lastRow="0" w:firstColumn="1" w:lastColumn="0" w:oddVBand="0" w:evenVBand="0" w:oddHBand="0" w:evenHBand="0" w:firstRowFirstColumn="0" w:firstRowLastColumn="0" w:lastRowFirstColumn="0" w:lastRowLastColumn="0"/>
            <w:tcW w:w="5698" w:type="dxa"/>
            <w:tcBorders>
              <w:top w:val="single" w:sz="6" w:space="0" w:color="auto"/>
              <w:bottom w:val="single" w:sz="12" w:space="0" w:color="auto"/>
            </w:tcBorders>
          </w:tcPr>
          <w:p w:rsidR="00DF17E9" w:rsidRPr="00C12632" w:rsidRDefault="00DF17E9" w:rsidP="00044843">
            <w:pPr>
              <w:ind w:left="113" w:hanging="113"/>
              <w:rPr>
                <w:color w:val="000000"/>
              </w:rPr>
            </w:pPr>
            <w:r w:rsidRPr="00C12632">
              <w:rPr>
                <w:b/>
                <w:color w:val="000000"/>
              </w:rPr>
              <w:t>Total funds under management</w:t>
            </w:r>
          </w:p>
        </w:tc>
        <w:tc>
          <w:tcPr>
            <w:cnfStyle w:val="000010000000" w:firstRow="0" w:lastRow="0" w:firstColumn="0" w:lastColumn="0" w:oddVBand="1" w:evenVBand="0" w:oddHBand="0" w:evenHBand="0" w:firstRowFirstColumn="0" w:firstRowLastColumn="0" w:lastRowFirstColumn="0" w:lastRowLastColumn="0"/>
            <w:tcW w:w="98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7 330</w:t>
            </w:r>
          </w:p>
        </w:tc>
        <w:tc>
          <w:tcPr>
            <w:tcW w:w="986"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6 906</w:t>
            </w:r>
          </w:p>
        </w:tc>
        <w:tc>
          <w:tcPr>
            <w:cnfStyle w:val="000010000000" w:firstRow="0" w:lastRow="0" w:firstColumn="0" w:lastColumn="0" w:oddVBand="1" w:evenVBand="0" w:oddHBand="0" w:evenHBand="0" w:firstRowFirstColumn="0" w:firstRowLastColumn="0" w:lastRowFirstColumn="0" w:lastRowLastColumn="0"/>
            <w:tcW w:w="986" w:type="dxa"/>
            <w:tcBorders>
              <w:top w:val="single" w:sz="6" w:space="0" w:color="auto"/>
              <w:bottom w:val="single" w:sz="12" w:space="0" w:color="auto"/>
            </w:tcBorders>
          </w:tcPr>
          <w:p w:rsidR="00DF17E9" w:rsidRPr="00C12632" w:rsidRDefault="00DF17E9" w:rsidP="00044843">
            <w:pPr>
              <w:rPr>
                <w:color w:val="000000"/>
              </w:rPr>
            </w:pPr>
            <w:r w:rsidRPr="00C12632">
              <w:rPr>
                <w:b/>
                <w:color w:val="000000"/>
              </w:rPr>
              <w:t>3 395</w:t>
            </w:r>
          </w:p>
        </w:tc>
        <w:tc>
          <w:tcPr>
            <w:tcW w:w="987" w:type="dxa"/>
            <w:tcBorders>
              <w:top w:val="single" w:sz="6"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b/>
                <w:color w:val="000000"/>
              </w:rPr>
              <w:t>3 308</w:t>
            </w:r>
          </w:p>
        </w:tc>
      </w:tr>
    </w:tbl>
    <w:p w:rsidR="00DF17E9" w:rsidRDefault="00DF17E9" w:rsidP="00044843">
      <w:pPr>
        <w:pStyle w:val="Note"/>
      </w:pPr>
      <w:r>
        <w:t>Note:</w:t>
      </w:r>
    </w:p>
    <w:p w:rsidR="00DF17E9" w:rsidRDefault="00DF17E9" w:rsidP="00044843">
      <w:pPr>
        <w:pStyle w:val="Note"/>
      </w:pPr>
      <w:r w:rsidRPr="00E236D2">
        <w:t xml:space="preserve">(a) </w:t>
      </w:r>
      <w:r>
        <w:tab/>
      </w:r>
      <w:r w:rsidRPr="00E236D2">
        <w:t>June 2015 comparative figures have been restated to reflect current information.</w:t>
      </w:r>
    </w:p>
    <w:p w:rsidR="00DF17E9" w:rsidRPr="00C5186E" w:rsidRDefault="00DF17E9" w:rsidP="00044843">
      <w:pPr>
        <w:pStyle w:val="Note"/>
      </w:pPr>
      <w:r>
        <w:t>(b)</w:t>
      </w:r>
      <w:r>
        <w:tab/>
        <w:t>The Victorian Government has collected appeal proceeds on behalf of the Red Cross Victorian Bushfire Appeal Fund. The purpose of the trust is for the receipt of donations and other contributions, and their disbursement for assistance to individuals and communities in towns, suburbs and rural areas affected by the 2009 Victorian bushfires. Contributions will, inter alia, includes funds provided by the Victorian, Commonwealth and other jurisdictions, as well as the general public, for the above purpose.</w:t>
      </w:r>
    </w:p>
    <w:p w:rsidR="00DF17E9" w:rsidRDefault="00DF17E9" w:rsidP="00044843"/>
    <w:p w:rsidR="00DF17E9" w:rsidRDefault="00DF17E9" w:rsidP="00044843">
      <w:pPr>
        <w:sectPr w:rsidR="00DF17E9" w:rsidSect="007A0115">
          <w:type w:val="continuous"/>
          <w:pgSz w:w="11906" w:h="16838" w:code="9"/>
          <w:pgMar w:top="1134" w:right="1134" w:bottom="1134" w:left="1134" w:header="624" w:footer="567" w:gutter="0"/>
          <w:cols w:space="708"/>
          <w:docGrid w:linePitch="360"/>
        </w:sectPr>
      </w:pPr>
    </w:p>
    <w:p w:rsidR="00DF17E9" w:rsidRPr="00195B47" w:rsidRDefault="00DF17E9" w:rsidP="00044843">
      <w:pPr>
        <w:pStyle w:val="Heading2"/>
      </w:pPr>
      <w:bookmarkStart w:id="95" w:name="_Toc462418977"/>
      <w:r w:rsidRPr="00195B47">
        <w:lastRenderedPageBreak/>
        <w:t>Other gains/(losses) from other economic flows</w:t>
      </w:r>
      <w:bookmarkEnd w:id="95"/>
    </w:p>
    <w:p w:rsidR="00DF17E9" w:rsidRDefault="00DF17E9" w:rsidP="00044843">
      <w:r w:rsidRPr="002A61DE">
        <w:t>Other economic flows are changes in the volume or value of an asset or liability that do not result from transactions.</w:t>
      </w:r>
    </w:p>
    <w:p w:rsidR="00DF17E9" w:rsidRDefault="00DF17E9" w:rsidP="00044843"/>
    <w:p w:rsidR="00DF17E9" w:rsidRDefault="00DF17E9" w:rsidP="00044843">
      <w:pPr>
        <w:sectPr w:rsidR="00DF17E9" w:rsidSect="00D4176F">
          <w:headerReference w:type="even" r:id="rId265"/>
          <w:headerReference w:type="default" r:id="rId266"/>
          <w:footerReference w:type="even" r:id="rId267"/>
          <w:footerReference w:type="default" r:id="rId268"/>
          <w:type w:val="continuous"/>
          <w:pgSz w:w="11906" w:h="16838" w:code="9"/>
          <w:pgMar w:top="1134" w:right="1134" w:bottom="1134" w:left="1134" w:header="624" w:footer="567" w:gutter="0"/>
          <w:cols w:num="2" w:space="708"/>
          <w:docGrid w:linePitch="360"/>
        </w:sectPr>
      </w:pPr>
    </w:p>
    <w:p w:rsidR="00DF17E9" w:rsidRPr="00C12632" w:rsidRDefault="00DF17E9" w:rsidP="00044843">
      <w:pPr>
        <w:pStyle w:val="Subheading"/>
        <w:rPr>
          <w:bCs/>
          <w:lang w:val="en-US"/>
        </w:rPr>
      </w:pPr>
      <w:r>
        <w:lastRenderedPageBreak/>
        <w:t>Total other gains/(losses) from other economic flows</w:t>
      </w:r>
      <w:r>
        <w:tab/>
      </w:r>
      <w:r w:rsidRPr="00166621">
        <w:rPr>
          <w:rStyle w:val="TableUnitsChar"/>
        </w:rPr>
        <w:t>($ million)</w:t>
      </w:r>
    </w:p>
    <w:tbl>
      <w:tblPr>
        <w:tblStyle w:val="TableDTFGeneral"/>
        <w:tblW w:w="9642" w:type="dxa"/>
        <w:tblLayout w:type="fixed"/>
        <w:tblLook w:val="02A0" w:firstRow="1" w:lastRow="0" w:firstColumn="1" w:lastColumn="0" w:noHBand="1" w:noVBand="0"/>
      </w:tblPr>
      <w:tblGrid>
        <w:gridCol w:w="5698"/>
        <w:gridCol w:w="986"/>
        <w:gridCol w:w="986"/>
        <w:gridCol w:w="986"/>
        <w:gridCol w:w="986"/>
      </w:tblGrid>
      <w:tr w:rsidR="00A87C72"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A87C72" w:rsidRPr="00C12632" w:rsidRDefault="00A87C72"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972" w:type="dxa"/>
            <w:gridSpan w:val="2"/>
          </w:tcPr>
          <w:p w:rsidR="00A87C72" w:rsidRPr="00C12632" w:rsidRDefault="00A87C72" w:rsidP="00A87C72">
            <w:pPr>
              <w:jc w:val="center"/>
              <w:rPr>
                <w:color w:val="FFFFFF"/>
              </w:rPr>
            </w:pPr>
            <w:r w:rsidRPr="00C12632">
              <w:rPr>
                <w:color w:val="FFFFFF"/>
              </w:rPr>
              <w:t xml:space="preserve">State of Victoria </w:t>
            </w:r>
          </w:p>
        </w:tc>
        <w:tc>
          <w:tcPr>
            <w:tcW w:w="1972" w:type="dxa"/>
            <w:gridSpan w:val="2"/>
          </w:tcPr>
          <w:p w:rsidR="00A87C72" w:rsidRPr="00C12632" w:rsidRDefault="00A87C72" w:rsidP="00A87C72">
            <w:pPr>
              <w:jc w:val="cente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 xml:space="preserve">General </w:t>
            </w:r>
            <w:r w:rsidRPr="00C12632">
              <w:rPr>
                <w:color w:val="FFFFFF"/>
              </w:rPr>
              <w:br/>
              <w:t xml:space="preserve">government sector </w:t>
            </w:r>
          </w:p>
        </w:tc>
      </w:tr>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0" w:firstLine="0"/>
              <w:rPr>
                <w:color w:val="FFFFFF"/>
              </w:rPr>
            </w:pPr>
            <w:r w:rsidRPr="00C12632">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FFFFFF"/>
              </w:rPr>
            </w:pPr>
            <w:r w:rsidRPr="00C12632">
              <w:rPr>
                <w:color w:val="FFFFFF"/>
              </w:rPr>
              <w:t>2016</w:t>
            </w:r>
          </w:p>
        </w:tc>
        <w:tc>
          <w:tcPr>
            <w:tcW w:w="986"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FFFFFF"/>
              </w:rPr>
            </w:pPr>
            <w:r w:rsidRPr="00C12632">
              <w:rPr>
                <w:color w:val="FFFFFF"/>
              </w:rPr>
              <w:t>2016</w:t>
            </w:r>
          </w:p>
        </w:tc>
        <w:tc>
          <w:tcPr>
            <w:tcW w:w="986" w:type="dxa"/>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C12632">
              <w:rPr>
                <w:color w:val="FFFFFF"/>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0" w:firstLine="0"/>
              <w:rPr>
                <w:color w:val="000000"/>
              </w:rPr>
            </w:pPr>
            <w:r w:rsidRPr="00C12632">
              <w:rPr>
                <w:color w:val="000000"/>
              </w:rPr>
              <w:t>Net (increase)/decrease in provision for doubtful receivables</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(226)</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(207)</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(224)</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(204)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0" w:firstLine="0"/>
              <w:rPr>
                <w:color w:val="000000"/>
              </w:rPr>
            </w:pPr>
            <w:r w:rsidRPr="00C12632">
              <w:rPr>
                <w:color w:val="000000"/>
              </w:rPr>
              <w:t>Amortisation of intangible non-produced assets</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(37)</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(34)</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(3)</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0" w:firstLine="0"/>
              <w:rPr>
                <w:color w:val="000000"/>
              </w:rPr>
            </w:pPr>
            <w:r w:rsidRPr="00C12632">
              <w:rPr>
                <w:color w:val="000000"/>
              </w:rPr>
              <w:t>Net swap interest revenue/(expense)</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(12)</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(9)</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pPr>
              <w:rPr>
                <w:color w:val="000000"/>
              </w:rPr>
            </w:pPr>
            <w:r w:rsidRPr="00C12632">
              <w:rPr>
                <w:color w:val="000000"/>
              </w:rPr>
              <w:t>..</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C12632">
              <w:rPr>
                <w:color w:val="000000"/>
              </w:rPr>
              <w:t>..</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5698" w:type="dxa"/>
          </w:tcPr>
          <w:p w:rsidR="00DF17E9" w:rsidRPr="00C12632" w:rsidRDefault="00DF17E9" w:rsidP="00044843">
            <w:pPr>
              <w:ind w:left="0" w:firstLine="0"/>
              <w:rPr>
                <w:color w:val="000000"/>
              </w:rPr>
            </w:pPr>
            <w:r w:rsidRPr="00C12632">
              <w:rPr>
                <w:color w:val="000000"/>
              </w:rPr>
              <w:t>Bad debts written off</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(204)</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(172)</w:t>
            </w:r>
          </w:p>
        </w:tc>
        <w:tc>
          <w:tcPr>
            <w:cnfStyle w:val="000010000000" w:firstRow="0" w:lastRow="0" w:firstColumn="0" w:lastColumn="0" w:oddVBand="1" w:evenVBand="0" w:oddHBand="0" w:evenHBand="0" w:firstRowFirstColumn="0" w:firstRowLastColumn="0" w:lastRowFirstColumn="0" w:lastRowLastColumn="0"/>
            <w:tcW w:w="986" w:type="dxa"/>
          </w:tcPr>
          <w:p w:rsidR="00DF17E9" w:rsidRPr="00C12632" w:rsidRDefault="00DF17E9" w:rsidP="00044843">
            <w:r w:rsidRPr="00C12632">
              <w:rPr>
                <w:color w:val="000000"/>
              </w:rPr>
              <w:t>(188)</w:t>
            </w:r>
          </w:p>
        </w:tc>
        <w:tc>
          <w:tcPr>
            <w:tcW w:w="986" w:type="dxa"/>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(157)</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5698" w:type="dxa"/>
            <w:tcBorders>
              <w:bottom w:val="single" w:sz="4" w:space="0" w:color="auto"/>
            </w:tcBorders>
          </w:tcPr>
          <w:p w:rsidR="00DF17E9" w:rsidRPr="00C12632" w:rsidRDefault="00DF17E9" w:rsidP="00044843">
            <w:pPr>
              <w:ind w:left="0" w:firstLine="0"/>
              <w:rPr>
                <w:color w:val="000000"/>
              </w:rPr>
            </w:pPr>
            <w:r w:rsidRPr="00C12632">
              <w:rPr>
                <w:color w:val="000000"/>
              </w:rPr>
              <w:t>Other gains/(losses)</w:t>
            </w:r>
          </w:p>
        </w:tc>
        <w:tc>
          <w:tcPr>
            <w:cnfStyle w:val="000010000000" w:firstRow="0" w:lastRow="0" w:firstColumn="0" w:lastColumn="0" w:oddVBand="1" w:evenVBand="0" w:oddHBand="0" w:evenHBand="0" w:firstRowFirstColumn="0" w:firstRowLastColumn="0" w:lastRowFirstColumn="0" w:lastRowLastColumn="0"/>
            <w:tcW w:w="986" w:type="dxa"/>
            <w:tcBorders>
              <w:bottom w:val="single" w:sz="4" w:space="0" w:color="auto"/>
            </w:tcBorders>
          </w:tcPr>
          <w:p w:rsidR="00DF17E9" w:rsidRPr="00C12632" w:rsidRDefault="00DF17E9" w:rsidP="00044843">
            <w:r w:rsidRPr="00C12632">
              <w:rPr>
                <w:color w:val="000000"/>
              </w:rPr>
              <w:t>(1 116)</w:t>
            </w:r>
          </w:p>
        </w:tc>
        <w:tc>
          <w:tcPr>
            <w:tcW w:w="986" w:type="dxa"/>
            <w:tcBorders>
              <w:bottom w:val="single" w:sz="4"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(126)</w:t>
            </w:r>
          </w:p>
        </w:tc>
        <w:tc>
          <w:tcPr>
            <w:cnfStyle w:val="000010000000" w:firstRow="0" w:lastRow="0" w:firstColumn="0" w:lastColumn="0" w:oddVBand="1" w:evenVBand="0" w:oddHBand="0" w:evenHBand="0" w:firstRowFirstColumn="0" w:firstRowLastColumn="0" w:lastRowFirstColumn="0" w:lastRowLastColumn="0"/>
            <w:tcW w:w="986" w:type="dxa"/>
            <w:tcBorders>
              <w:bottom w:val="single" w:sz="4" w:space="0" w:color="auto"/>
            </w:tcBorders>
          </w:tcPr>
          <w:p w:rsidR="00DF17E9" w:rsidRPr="00C12632" w:rsidRDefault="00DF17E9" w:rsidP="00044843">
            <w:r w:rsidRPr="00C12632">
              <w:rPr>
                <w:color w:val="000000"/>
              </w:rPr>
              <w:t>(273)</w:t>
            </w:r>
          </w:p>
        </w:tc>
        <w:tc>
          <w:tcPr>
            <w:tcW w:w="986" w:type="dxa"/>
            <w:tcBorders>
              <w:bottom w:val="single" w:sz="4"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color w:val="000000"/>
              </w:rPr>
              <w:t>(183)</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5698" w:type="dxa"/>
            <w:tcBorders>
              <w:top w:val="single" w:sz="4" w:space="0" w:color="auto"/>
              <w:bottom w:val="single" w:sz="12" w:space="0" w:color="auto"/>
            </w:tcBorders>
          </w:tcPr>
          <w:p w:rsidR="00DF17E9" w:rsidRPr="00C12632" w:rsidRDefault="00DF17E9" w:rsidP="00044843">
            <w:pPr>
              <w:ind w:left="0" w:firstLine="0"/>
              <w:rPr>
                <w:color w:val="000000"/>
              </w:rPr>
            </w:pPr>
            <w:r w:rsidRPr="00C12632">
              <w:rPr>
                <w:b/>
                <w:color w:val="000000"/>
              </w:rPr>
              <w:t>Total other gains/(losses) from other economic flows</w:t>
            </w:r>
          </w:p>
        </w:tc>
        <w:tc>
          <w:tcPr>
            <w:cnfStyle w:val="000010000000" w:firstRow="0" w:lastRow="0" w:firstColumn="0" w:lastColumn="0" w:oddVBand="1" w:evenVBand="0" w:oddHBand="0" w:evenHBand="0" w:firstRowFirstColumn="0" w:firstRowLastColumn="0" w:lastRowFirstColumn="0" w:lastRowLastColumn="0"/>
            <w:tcW w:w="986" w:type="dxa"/>
            <w:tcBorders>
              <w:top w:val="single" w:sz="4" w:space="0" w:color="auto"/>
              <w:bottom w:val="single" w:sz="12" w:space="0" w:color="auto"/>
            </w:tcBorders>
          </w:tcPr>
          <w:p w:rsidR="00DF17E9" w:rsidRPr="00C12632" w:rsidRDefault="00DF17E9" w:rsidP="00044843">
            <w:r w:rsidRPr="00C12632">
              <w:rPr>
                <w:b/>
                <w:color w:val="000000"/>
              </w:rPr>
              <w:t>(1 596)</w:t>
            </w:r>
          </w:p>
        </w:tc>
        <w:tc>
          <w:tcPr>
            <w:tcW w:w="986" w:type="dxa"/>
            <w:tcBorders>
              <w:top w:val="single" w:sz="4"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(547)</w:t>
            </w:r>
          </w:p>
        </w:tc>
        <w:tc>
          <w:tcPr>
            <w:cnfStyle w:val="000010000000" w:firstRow="0" w:lastRow="0" w:firstColumn="0" w:lastColumn="0" w:oddVBand="1" w:evenVBand="0" w:oddHBand="0" w:evenHBand="0" w:firstRowFirstColumn="0" w:firstRowLastColumn="0" w:lastRowFirstColumn="0" w:lastRowLastColumn="0"/>
            <w:tcW w:w="986" w:type="dxa"/>
            <w:tcBorders>
              <w:top w:val="single" w:sz="4" w:space="0" w:color="auto"/>
              <w:bottom w:val="single" w:sz="12" w:space="0" w:color="auto"/>
            </w:tcBorders>
          </w:tcPr>
          <w:p w:rsidR="00DF17E9" w:rsidRPr="00C12632" w:rsidRDefault="00DF17E9" w:rsidP="00044843">
            <w:r w:rsidRPr="00C12632">
              <w:rPr>
                <w:b/>
                <w:color w:val="000000"/>
              </w:rPr>
              <w:t>(688)</w:t>
            </w:r>
          </w:p>
        </w:tc>
        <w:tc>
          <w:tcPr>
            <w:tcW w:w="986" w:type="dxa"/>
            <w:tcBorders>
              <w:top w:val="single" w:sz="4" w:space="0" w:color="auto"/>
              <w:bottom w:val="single" w:sz="12" w:space="0" w:color="auto"/>
            </w:tcBorders>
          </w:tcPr>
          <w:p w:rsidR="00DF17E9" w:rsidRPr="00C12632" w:rsidRDefault="00DF17E9" w:rsidP="00044843">
            <w:pPr>
              <w:cnfStyle w:val="000000000000" w:firstRow="0" w:lastRow="0" w:firstColumn="0" w:lastColumn="0" w:oddVBand="0" w:evenVBand="0" w:oddHBand="0" w:evenHBand="0" w:firstRowFirstColumn="0" w:firstRowLastColumn="0" w:lastRowFirstColumn="0" w:lastRowLastColumn="0"/>
            </w:pPr>
            <w:r w:rsidRPr="00C12632">
              <w:rPr>
                <w:b/>
                <w:color w:val="000000"/>
              </w:rPr>
              <w:t>(548)</w:t>
            </w:r>
          </w:p>
        </w:tc>
      </w:tr>
    </w:tbl>
    <w:p w:rsidR="00DF17E9" w:rsidRDefault="00DF17E9" w:rsidP="00044843"/>
    <w:p w:rsidR="00DF17E9" w:rsidRPr="00377403" w:rsidRDefault="00DF17E9" w:rsidP="00044843">
      <w:pPr>
        <w:sectPr w:rsidR="00DF17E9" w:rsidRPr="00377403" w:rsidSect="007A0115">
          <w:type w:val="continuous"/>
          <w:pgSz w:w="11906" w:h="16838" w:code="9"/>
          <w:pgMar w:top="1134" w:right="1134" w:bottom="1134" w:left="1134" w:header="624" w:footer="567" w:gutter="0"/>
          <w:cols w:space="708"/>
          <w:docGrid w:linePitch="360"/>
        </w:sectPr>
      </w:pPr>
    </w:p>
    <w:p w:rsidR="00DF17E9" w:rsidRPr="00195B47" w:rsidRDefault="00DF17E9" w:rsidP="005C5F28">
      <w:pPr>
        <w:pStyle w:val="Heading2"/>
        <w:spacing w:before="0"/>
        <w:ind w:left="578" w:hanging="578"/>
      </w:pPr>
      <w:bookmarkStart w:id="96" w:name="_Toc462418978"/>
      <w:r w:rsidRPr="00195B47">
        <w:lastRenderedPageBreak/>
        <w:t>Reconciliation between Go</w:t>
      </w:r>
      <w:r>
        <w:t>vernment Finance Statistics</w:t>
      </w:r>
      <w:r w:rsidRPr="00195B47">
        <w:t xml:space="preserve"> and Australian Accounting Standards</w:t>
      </w:r>
      <w:bookmarkEnd w:id="96"/>
    </w:p>
    <w:p w:rsidR="00DF17E9" w:rsidRDefault="00DF17E9" w:rsidP="00044843">
      <w:r>
        <w:t xml:space="preserve">This note identifies and reconciles unconverged differences between the Australian Accounting Standards reporting (upon which this report is based) and the </w:t>
      </w:r>
      <w:r w:rsidRPr="00604DD5">
        <w:t xml:space="preserve">Government Finance Statistics </w:t>
      </w:r>
      <w:r>
        <w:t xml:space="preserve">(GFS) reporting. All GFS balances are calculated in accordance with the Australian Bureau of Statistics GFS manual </w:t>
      </w:r>
      <w:r w:rsidRPr="00EE02A8">
        <w:rPr>
          <w:i/>
        </w:rPr>
        <w:t>Australian System of Government Finance Statistics: Concepts, Sources and Methods 2005</w:t>
      </w:r>
      <w:r>
        <w:t>.</w:t>
      </w:r>
    </w:p>
    <w:p w:rsidR="00DF17E9" w:rsidRDefault="00DF17E9" w:rsidP="005C5F28">
      <w:pPr>
        <w:spacing w:before="180"/>
      </w:pPr>
      <w:r>
        <w:lastRenderedPageBreak/>
        <w:t>GFS information enable policymakers and analysts to study developments in the financial operations, financial position and liquidity situation of the Government based on consistent economic reporting rules and definitions.</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044843" w:rsidRPr="00044843" w:rsidRDefault="00DF17E9" w:rsidP="00044843">
      <w:pPr>
        <w:pStyle w:val="Heading3"/>
        <w:tabs>
          <w:tab w:val="right" w:pos="14742"/>
        </w:tabs>
        <w:rPr>
          <w:rFonts w:eastAsiaTheme="minorEastAsia"/>
          <w:i/>
          <w:lang w:val="en-US" w:eastAsia="en-AU"/>
        </w:rPr>
      </w:pPr>
      <w:r>
        <w:lastRenderedPageBreak/>
        <w:t>Reconciliation to GFS n</w:t>
      </w:r>
      <w:r w:rsidRPr="004D122B">
        <w:t>et operating balance</w:t>
      </w:r>
      <w:r w:rsidRPr="00E93840">
        <w:rPr>
          <w:vertAlign w:val="superscript"/>
        </w:rPr>
        <w:t>(a)</w:t>
      </w:r>
      <w:r w:rsidRPr="00E93840">
        <w:rPr>
          <w:vertAlign w:val="superscript"/>
        </w:rPr>
        <w:tab/>
      </w:r>
      <w:r>
        <w:rPr>
          <w:vertAlign w:val="superscript"/>
        </w:rPr>
        <w:tab/>
      </w:r>
      <w:r w:rsidRPr="008F3492">
        <w:rPr>
          <w:rStyle w:val="TableUnitsChar"/>
        </w:rPr>
        <w:t>($ million)</w:t>
      </w:r>
    </w:p>
    <w:tbl>
      <w:tblPr>
        <w:tblStyle w:val="TableDTFGeneral"/>
        <w:tblW w:w="14742" w:type="dxa"/>
        <w:tblLayout w:type="fixed"/>
        <w:tblLook w:val="02A0" w:firstRow="1" w:lastRow="0" w:firstColumn="1" w:lastColumn="0" w:noHBand="1" w:noVBand="0"/>
      </w:tblPr>
      <w:tblGrid>
        <w:gridCol w:w="3402"/>
        <w:gridCol w:w="1134"/>
        <w:gridCol w:w="1134"/>
        <w:gridCol w:w="1134"/>
        <w:gridCol w:w="1134"/>
        <w:gridCol w:w="1134"/>
        <w:gridCol w:w="1134"/>
        <w:gridCol w:w="1134"/>
        <w:gridCol w:w="1134"/>
        <w:gridCol w:w="1134"/>
        <w:gridCol w:w="1134"/>
      </w:tblGrid>
      <w:tr w:rsidR="00A87C72" w:rsidRPr="00044843"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A87C72" w:rsidRPr="00044843" w:rsidRDefault="00A87C72" w:rsidP="00044843">
            <w:pPr>
              <w:ind w:left="0" w:firstLine="0"/>
              <w:rPr>
                <w:color w:val="FFFFFF"/>
              </w:rPr>
            </w:pPr>
            <w:r w:rsidRPr="00044843">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A87C72">
            <w:pPr>
              <w:jc w:val="center"/>
              <w:rPr>
                <w:color w:val="FFFFFF"/>
              </w:rPr>
            </w:pPr>
            <w:r w:rsidRPr="00044843">
              <w:rPr>
                <w:color w:val="FFFFFF"/>
              </w:rPr>
              <w:t xml:space="preserve">General </w:t>
            </w:r>
            <w:r>
              <w:rPr>
                <w:color w:val="FFFFFF"/>
              </w:rPr>
              <w:br/>
            </w:r>
            <w:r w:rsidRPr="00044843">
              <w:rPr>
                <w:color w:val="FFFFFF"/>
              </w:rPr>
              <w:t>government sector</w:t>
            </w:r>
          </w:p>
        </w:tc>
        <w:tc>
          <w:tcPr>
            <w:tcW w:w="2268" w:type="dxa"/>
            <w:gridSpan w:val="2"/>
            <w:tcBorders>
              <w:bottom w:val="nil"/>
            </w:tcBorders>
          </w:tcPr>
          <w:p w:rsidR="00A87C72" w:rsidRPr="00044843" w:rsidRDefault="00A87C72"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Public non-financial corporations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A87C72">
            <w:pPr>
              <w:jc w:val="center"/>
              <w:rPr>
                <w:color w:val="FFFFFF"/>
              </w:rPr>
            </w:pPr>
            <w:r w:rsidRPr="00044843">
              <w:rPr>
                <w:color w:val="FFFFFF"/>
              </w:rPr>
              <w:t xml:space="preserve">Public </w:t>
            </w:r>
            <w:r>
              <w:rPr>
                <w:color w:val="FFFFFF"/>
              </w:rPr>
              <w:br/>
            </w:r>
            <w:r w:rsidRPr="00044843">
              <w:rPr>
                <w:color w:val="FFFFFF"/>
              </w:rPr>
              <w:t>financial corporations</w:t>
            </w:r>
          </w:p>
        </w:tc>
        <w:tc>
          <w:tcPr>
            <w:tcW w:w="2268" w:type="dxa"/>
            <w:gridSpan w:val="2"/>
            <w:tcBorders>
              <w:bottom w:val="nil"/>
            </w:tcBorders>
          </w:tcPr>
          <w:p w:rsidR="00A87C72" w:rsidRPr="00044843" w:rsidRDefault="00A87C72"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Eliminations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044843">
            <w:pPr>
              <w:jc w:val="center"/>
              <w:rPr>
                <w:color w:val="FFFFFF"/>
              </w:rPr>
            </w:pPr>
            <w:r w:rsidRPr="00044843">
              <w:rPr>
                <w:color w:val="FFFFFF"/>
              </w:rPr>
              <w:t>State of Victoria</w:t>
            </w:r>
          </w:p>
        </w:tc>
      </w:tr>
      <w:tr w:rsidR="00044843" w:rsidRPr="00044843"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044843" w:rsidRPr="00044843" w:rsidRDefault="00044843" w:rsidP="00044843">
            <w:pPr>
              <w:ind w:left="0" w:firstLine="0"/>
              <w:rPr>
                <w:color w:val="FFFFFF"/>
              </w:rPr>
            </w:pPr>
            <w:r w:rsidRPr="00044843">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rsidR="00044843" w:rsidRPr="00044843" w:rsidRDefault="00044843" w:rsidP="009A7483">
            <w:pPr>
              <w:ind w:left="113" w:hanging="113"/>
              <w:rPr>
                <w:b/>
                <w:color w:val="000000"/>
                <w:vertAlign w:val="superscript"/>
              </w:rPr>
            </w:pPr>
            <w:r w:rsidRPr="00044843">
              <w:rPr>
                <w:b/>
                <w:color w:val="000000"/>
              </w:rPr>
              <w:t xml:space="preserve">Net result from transactions – </w:t>
            </w:r>
            <w:r w:rsidR="00733FFF">
              <w:rPr>
                <w:b/>
                <w:color w:val="000000"/>
              </w:rPr>
              <w:br/>
            </w:r>
            <w:r w:rsidRPr="00044843">
              <w:rPr>
                <w:b/>
                <w:color w:val="000000"/>
              </w:rPr>
              <w:t>net operating balance</w:t>
            </w:r>
            <w:r w:rsidRPr="00044843">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rPr>
                <w:color w:val="000000"/>
              </w:rPr>
            </w:pPr>
            <w:r w:rsidRPr="00044843">
              <w:rPr>
                <w:color w:val="000000"/>
              </w:rPr>
              <w:t>2 664</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1 214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r w:rsidRPr="00044843">
              <w:rPr>
                <w:color w:val="000000"/>
              </w:rPr>
              <w:t>154</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(162)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r w:rsidRPr="00044843">
              <w:rPr>
                <w:color w:val="000000"/>
              </w:rPr>
              <w:t>(797)</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(1 017)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r w:rsidRPr="00044843">
              <w:rPr>
                <w:color w:val="000000"/>
              </w:rPr>
              <w:t>(376)</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(770)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rPr>
                <w:color w:val="000000"/>
              </w:rPr>
            </w:pPr>
            <w:r w:rsidRPr="00044843">
              <w:rPr>
                <w:color w:val="000000"/>
              </w:rPr>
              <w:t>1 645</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(736)</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044843" w:rsidRPr="00044843" w:rsidRDefault="00044843" w:rsidP="00044843">
            <w:pPr>
              <w:ind w:left="0" w:firstLine="0"/>
              <w:rPr>
                <w:i/>
                <w:color w:val="000000"/>
                <w:vertAlign w:val="superscript"/>
              </w:rPr>
            </w:pPr>
            <w:r w:rsidRPr="00044843">
              <w:rPr>
                <w:i/>
                <w:color w:val="000000"/>
              </w:rPr>
              <w:t>Convergence differences:</w:t>
            </w:r>
            <w:r w:rsidRPr="00044843">
              <w:rPr>
                <w:i/>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044843" w:rsidRPr="00044843" w:rsidRDefault="00044843" w:rsidP="00044843">
            <w:pPr>
              <w:ind w:left="0" w:firstLine="0"/>
              <w:rPr>
                <w:color w:val="000000"/>
              </w:rPr>
            </w:pPr>
            <w:r w:rsidRPr="00044843">
              <w:rPr>
                <w:color w:val="000000"/>
              </w:rPr>
              <w:t xml:space="preserve">PNFC/PFC dividends </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000000"/>
              </w:rPr>
            </w:pPr>
            <w:r w:rsidRPr="00044843">
              <w:rPr>
                <w:b/>
                <w:color w:val="000000"/>
              </w:rPr>
              <w:t>..</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r w:rsidRPr="00044843">
              <w:rPr>
                <w:b/>
                <w:color w:val="000000"/>
              </w:rPr>
              <w:t>149</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255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r w:rsidRPr="00044843">
              <w:rPr>
                <w:b/>
                <w:color w:val="000000"/>
              </w:rPr>
              <w:t>239</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566</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r w:rsidRPr="00044843">
              <w:rPr>
                <w:b/>
                <w:color w:val="000000"/>
              </w:rPr>
              <w:t>(387)</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(822)</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000000"/>
              </w:rPr>
            </w:pPr>
            <w:r w:rsidRPr="00044843">
              <w:rPr>
                <w:b/>
                <w:color w:val="000000"/>
              </w:rPr>
              <w:t>..</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rsidR="00044843" w:rsidRPr="00044843" w:rsidRDefault="00044843" w:rsidP="00044843">
            <w:pPr>
              <w:ind w:left="0" w:firstLine="0"/>
              <w:rPr>
                <w:i/>
                <w:color w:val="000000"/>
              </w:rPr>
            </w:pPr>
            <w:r w:rsidRPr="00044843">
              <w:rPr>
                <w: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rPr>
                <w:color w:val="000000"/>
              </w:rPr>
            </w:pPr>
            <w:r w:rsidRPr="00044843">
              <w:rPr>
                <w:color w:val="000000"/>
              </w:rPr>
              <w:t>..</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r w:rsidRPr="00044843">
              <w:rPr>
                <w:color w:val="000000"/>
              </w:rPr>
              <w:t>(149)</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(255)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r w:rsidRPr="00044843">
              <w:rPr>
                <w:color w:val="000000"/>
              </w:rPr>
              <w:t>(239)</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(566)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r w:rsidRPr="00044843">
              <w:rPr>
                <w:color w:val="000000"/>
              </w:rPr>
              <w:t>387</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822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rPr>
                <w:color w:val="000000"/>
              </w:rPr>
            </w:pPr>
            <w:r w:rsidRPr="00044843">
              <w:rPr>
                <w:color w:val="000000"/>
              </w:rPr>
              <w:t>..</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rsidR="00044843" w:rsidRPr="00044843" w:rsidRDefault="00044843" w:rsidP="00044843">
            <w:pPr>
              <w:ind w:left="0" w:firstLine="0"/>
            </w:pPr>
            <w:r w:rsidRPr="00044843">
              <w:rPr>
                <w:b/>
                <w:color w:val="000000"/>
              </w:rPr>
              <w:t>GFS net operating balance</w:t>
            </w:r>
            <w:r w:rsidRPr="00044843">
              <w:rPr>
                <w:b/>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rPr>
                <w:color w:val="000000"/>
              </w:rPr>
            </w:pPr>
            <w:r w:rsidRPr="00044843">
              <w:rPr>
                <w:b/>
                <w:color w:val="000000"/>
              </w:rPr>
              <w:t>2 664</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1 214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r w:rsidRPr="00044843">
              <w:rPr>
                <w:b/>
                <w:color w:val="000000"/>
              </w:rPr>
              <w:t>6</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(417)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r w:rsidRPr="00044843">
              <w:rPr>
                <w:b/>
                <w:color w:val="000000"/>
              </w:rPr>
              <w:t>(1 035</w:t>
            </w:r>
            <w:r w:rsidRPr="00044843">
              <w:rPr>
                <w:b/>
              </w:rPr>
              <w:t>)</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(1 584)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r w:rsidRPr="00044843">
              <w:rPr>
                <w:b/>
                <w:color w:val="000000"/>
              </w:rPr>
              <w:t>11</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51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rPr>
                <w:color w:val="000000"/>
              </w:rPr>
            </w:pPr>
            <w:r w:rsidRPr="00044843">
              <w:rPr>
                <w:b/>
                <w:color w:val="000000"/>
              </w:rPr>
              <w:t>1 645</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(736)</w:t>
            </w:r>
          </w:p>
        </w:tc>
      </w:tr>
    </w:tbl>
    <w:p w:rsidR="00DF17E9" w:rsidRDefault="00DF17E9" w:rsidP="00044843">
      <w:pPr>
        <w:pStyle w:val="Note"/>
      </w:pPr>
      <w:r>
        <w:t>Notes:</w:t>
      </w:r>
    </w:p>
    <w:p w:rsidR="00DF17E9" w:rsidRDefault="00DF17E9" w:rsidP="00044843">
      <w:pPr>
        <w:pStyle w:val="Note"/>
      </w:pPr>
      <w:r>
        <w:t>(a)</w:t>
      </w:r>
      <w:r>
        <w:tab/>
        <w:t>Determined in accordance with the ABS GFS Manual.</w:t>
      </w:r>
    </w:p>
    <w:p w:rsidR="00DF17E9" w:rsidRDefault="00DF17E9" w:rsidP="00044843">
      <w:pPr>
        <w:pStyle w:val="Note"/>
      </w:pPr>
      <w:r>
        <w:t>(b)</w:t>
      </w:r>
      <w:r>
        <w:tab/>
        <w:t>June 2015 comparative figures have been restated to more consistently reflect the classification of insurance entities’ investment income between years.</w:t>
      </w:r>
    </w:p>
    <w:p w:rsidR="00DF17E9" w:rsidRPr="00C5186E" w:rsidRDefault="00DF17E9" w:rsidP="00044843">
      <w:pPr>
        <w:pStyle w:val="Note"/>
      </w:pPr>
      <w:r>
        <w:t>(c)</w:t>
      </w:r>
      <w:r>
        <w:tab/>
        <w:t>The convergence difference arises between GFS recognised dividends paid/payable as an expense from transactions on the operating statement whereas, under accounting standards, dividends are classified as after-profit distributions to owners.</w:t>
      </w:r>
    </w:p>
    <w:p w:rsidR="00DF17E9" w:rsidRDefault="00DF17E9" w:rsidP="00044843"/>
    <w:p w:rsidR="00044843" w:rsidRPr="00044843" w:rsidRDefault="00DF17E9" w:rsidP="00044843">
      <w:pPr>
        <w:pStyle w:val="Heading3"/>
        <w:tabs>
          <w:tab w:val="right" w:pos="14742"/>
        </w:tabs>
        <w:rPr>
          <w:rFonts w:eastAsiaTheme="minorEastAsia"/>
          <w:i/>
          <w:lang w:val="en-US" w:eastAsia="en-AU"/>
        </w:rPr>
      </w:pPr>
      <w:r w:rsidRPr="004D122B">
        <w:t>Reconciliation to GFS net lending/(borrowing)</w:t>
      </w:r>
      <w:r w:rsidRPr="00E93840">
        <w:rPr>
          <w:vertAlign w:val="superscript"/>
        </w:rPr>
        <w:t>(a)</w:t>
      </w:r>
      <w:r>
        <w:tab/>
      </w:r>
      <w:r>
        <w:tab/>
      </w:r>
      <w:r w:rsidRPr="000341AE">
        <w:rPr>
          <w:rStyle w:val="TableUnitsChar"/>
        </w:rPr>
        <w:t>($ million)</w:t>
      </w:r>
    </w:p>
    <w:tbl>
      <w:tblPr>
        <w:tblStyle w:val="TableDTFGeneral"/>
        <w:tblW w:w="14742" w:type="dxa"/>
        <w:tblLayout w:type="fixed"/>
        <w:tblLook w:val="02A0" w:firstRow="1" w:lastRow="0" w:firstColumn="1" w:lastColumn="0" w:noHBand="1" w:noVBand="0"/>
      </w:tblPr>
      <w:tblGrid>
        <w:gridCol w:w="3402"/>
        <w:gridCol w:w="1134"/>
        <w:gridCol w:w="1134"/>
        <w:gridCol w:w="1134"/>
        <w:gridCol w:w="1134"/>
        <w:gridCol w:w="1134"/>
        <w:gridCol w:w="1134"/>
        <w:gridCol w:w="1134"/>
        <w:gridCol w:w="1134"/>
        <w:gridCol w:w="1134"/>
        <w:gridCol w:w="1134"/>
      </w:tblGrid>
      <w:tr w:rsidR="00A87C72" w:rsidRPr="00044843"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A87C72" w:rsidRPr="00044843" w:rsidRDefault="00A87C72" w:rsidP="00044843">
            <w:pPr>
              <w:ind w:left="0" w:firstLine="0"/>
              <w:rPr>
                <w:color w:val="FFFFFF"/>
              </w:rPr>
            </w:pPr>
            <w:r w:rsidRPr="00044843">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A87C72">
            <w:pPr>
              <w:jc w:val="center"/>
              <w:rPr>
                <w:color w:val="FFFFFF"/>
              </w:rPr>
            </w:pPr>
            <w:r w:rsidRPr="00044843">
              <w:rPr>
                <w:color w:val="FFFFFF"/>
              </w:rPr>
              <w:t xml:space="preserve">General </w:t>
            </w:r>
            <w:r>
              <w:rPr>
                <w:color w:val="FFFFFF"/>
              </w:rPr>
              <w:br/>
            </w:r>
            <w:r w:rsidRPr="00044843">
              <w:rPr>
                <w:color w:val="FFFFFF"/>
              </w:rPr>
              <w:t>government sector</w:t>
            </w:r>
          </w:p>
        </w:tc>
        <w:tc>
          <w:tcPr>
            <w:tcW w:w="2268" w:type="dxa"/>
            <w:gridSpan w:val="2"/>
            <w:tcBorders>
              <w:bottom w:val="nil"/>
            </w:tcBorders>
          </w:tcPr>
          <w:p w:rsidR="00A87C72" w:rsidRPr="00044843" w:rsidRDefault="00A87C72"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Public non-financial corporations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A87C72">
            <w:pPr>
              <w:jc w:val="center"/>
              <w:rPr>
                <w:color w:val="FFFFFF"/>
              </w:rPr>
            </w:pPr>
            <w:r w:rsidRPr="00044843">
              <w:rPr>
                <w:color w:val="FFFFFF"/>
              </w:rPr>
              <w:t xml:space="preserve">Public </w:t>
            </w:r>
            <w:r>
              <w:rPr>
                <w:color w:val="FFFFFF"/>
              </w:rPr>
              <w:br/>
            </w:r>
            <w:r w:rsidRPr="00044843">
              <w:rPr>
                <w:color w:val="FFFFFF"/>
              </w:rPr>
              <w:t>financial corporations</w:t>
            </w:r>
          </w:p>
        </w:tc>
        <w:tc>
          <w:tcPr>
            <w:tcW w:w="2268" w:type="dxa"/>
            <w:gridSpan w:val="2"/>
            <w:tcBorders>
              <w:bottom w:val="nil"/>
            </w:tcBorders>
          </w:tcPr>
          <w:p w:rsidR="00A87C72" w:rsidRPr="00044843" w:rsidRDefault="00A87C72"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Eliminations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044843">
            <w:pPr>
              <w:jc w:val="center"/>
              <w:rPr>
                <w:color w:val="FFFFFF"/>
              </w:rPr>
            </w:pPr>
            <w:r w:rsidRPr="00044843">
              <w:rPr>
                <w:color w:val="FFFFFF"/>
              </w:rPr>
              <w:t>State of Victoria</w:t>
            </w:r>
          </w:p>
        </w:tc>
      </w:tr>
      <w:tr w:rsidR="00044843" w:rsidRPr="00044843"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044843" w:rsidRPr="00044843" w:rsidRDefault="00044843" w:rsidP="00044843">
            <w:pPr>
              <w:ind w:left="0" w:firstLine="0"/>
              <w:rPr>
                <w:color w:val="FFFFFF"/>
              </w:rPr>
            </w:pPr>
            <w:r w:rsidRPr="00044843">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FFFFFF"/>
              </w:rPr>
            </w:pPr>
            <w:r w:rsidRPr="00044843">
              <w:rPr>
                <w:color w:val="FFFFFF"/>
              </w:rPr>
              <w:t>2016</w:t>
            </w:r>
          </w:p>
        </w:tc>
        <w:tc>
          <w:tcPr>
            <w:tcW w:w="1134" w:type="dxa"/>
            <w:tcBorders>
              <w:bottom w:val="single" w:sz="6" w:space="0" w:color="auto"/>
            </w:tcBorders>
          </w:tcPr>
          <w:p w:rsidR="00044843" w:rsidRPr="00044843" w:rsidRDefault="00044843" w:rsidP="00044843">
            <w:pPr>
              <w:cnfStyle w:val="100000000000" w:firstRow="1" w:lastRow="0" w:firstColumn="0" w:lastColumn="0" w:oddVBand="0" w:evenVBand="0" w:oddHBand="0" w:evenHBand="0" w:firstRowFirstColumn="0" w:firstRowLastColumn="0" w:lastRowFirstColumn="0" w:lastRowLastColumn="0"/>
              <w:rPr>
                <w:color w:val="FFFFFF"/>
              </w:rPr>
            </w:pPr>
            <w:r w:rsidRPr="00044843">
              <w:rPr>
                <w:color w:val="FFFFFF"/>
              </w:rPr>
              <w:t>2015</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rsidR="00044843" w:rsidRPr="00044843" w:rsidRDefault="00044843" w:rsidP="00044843">
            <w:pPr>
              <w:ind w:left="0" w:firstLine="0"/>
            </w:pPr>
            <w:r w:rsidRPr="00044843">
              <w:rPr>
                <w:b/>
                <w:color w:val="000000"/>
              </w:rPr>
              <w:t>Net lending/(borrowing)</w:t>
            </w:r>
            <w:r w:rsidRPr="00044843">
              <w:rPr>
                <w:b/>
                <w:color w:val="000000"/>
                <w:vertAlign w:val="superscript"/>
              </w:rPr>
              <w:t xml:space="preserve"> (b)(c)(d)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rPr>
                <w:color w:val="000000"/>
              </w:rPr>
            </w:pPr>
            <w:r w:rsidRPr="00044843">
              <w:rPr>
                <w:b/>
                <w:color w:val="000000"/>
              </w:rPr>
              <w:t>1 876</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937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rPr>
                <w:color w:val="000000"/>
              </w:rPr>
            </w:pPr>
            <w:r w:rsidRPr="00044843">
              <w:rPr>
                <w:b/>
                <w:color w:val="000000"/>
              </w:rPr>
              <w:t>(1 984)</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(1 716)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r w:rsidRPr="00044843">
              <w:rPr>
                <w:b/>
                <w:color w:val="000000"/>
              </w:rPr>
              <w:t>(783)</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(998)</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r w:rsidRPr="00044843">
              <w:rPr>
                <w:b/>
                <w:color w:val="000000"/>
              </w:rPr>
              <w:t>(377)</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(750)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rPr>
                <w:color w:val="000000"/>
              </w:rPr>
            </w:pPr>
            <w:r w:rsidRPr="00044843">
              <w:rPr>
                <w:b/>
                <w:color w:val="000000"/>
              </w:rPr>
              <w:t>(1 267)</w:t>
            </w:r>
          </w:p>
        </w:tc>
        <w:tc>
          <w:tcPr>
            <w:tcW w:w="1134" w:type="dxa"/>
            <w:tcBorders>
              <w:top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(2 527)</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044843" w:rsidRPr="00044843" w:rsidRDefault="00044843" w:rsidP="00044843">
            <w:pPr>
              <w:ind w:left="0" w:firstLine="0"/>
            </w:pPr>
            <w:r w:rsidRPr="00044843">
              <w:rPr>
                <w:i/>
                <w:color w:val="000000"/>
              </w:rPr>
              <w:t>Convergence differences:</w:t>
            </w:r>
            <w:r w:rsidRPr="00044843">
              <w:rPr>
                <w:i/>
                <w:color w:val="000000"/>
                <w:vertAlign w:val="superscript"/>
              </w:rPr>
              <w:t xml:space="preserve"> </w:t>
            </w:r>
            <w:r w:rsidRPr="00044843">
              <w:rPr>
                <w:color w:val="000000"/>
                <w:vertAlign w:val="superscript"/>
              </w:rPr>
              <w:t>(e)</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jc w:val="left"/>
              <w:rPr>
                <w:color w:val="000000"/>
              </w:rPr>
            </w:pPr>
            <w:r w:rsidRPr="00044843">
              <w:rPr>
                <w:color w:val="000000"/>
              </w:rPr>
              <w:t xml:space="preserve">   </w:t>
            </w:r>
          </w:p>
        </w:tc>
        <w:tc>
          <w:tcPr>
            <w:tcW w:w="1134" w:type="dxa"/>
            <w:tcBorders>
              <w:bottom w:val="nil"/>
            </w:tcBorders>
          </w:tcPr>
          <w:p w:rsidR="00044843" w:rsidRPr="00044843" w:rsidRDefault="00044843"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 xml:space="preserve">   </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044843" w:rsidRPr="00044843" w:rsidRDefault="00044843" w:rsidP="009A7483">
            <w:pPr>
              <w:ind w:left="113" w:hanging="113"/>
            </w:pPr>
            <w:r w:rsidRPr="00044843">
              <w:t xml:space="preserve">Relating to net operating balance – </w:t>
            </w:r>
            <w:r w:rsidR="00005767">
              <w:t xml:space="preserve">  </w:t>
            </w:r>
            <w:r w:rsidRPr="00044843">
              <w:t xml:space="preserve">PNFC/PFC dividends </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000000"/>
              </w:rPr>
            </w:pPr>
            <w:r w:rsidRPr="00044843">
              <w:rPr>
                <w:color w:val="000000"/>
              </w:rPr>
              <w:t>..</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r w:rsidRPr="00044843">
              <w:rPr>
                <w:color w:val="000000"/>
              </w:rPr>
              <w:t>149</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255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r w:rsidRPr="00044843">
              <w:rPr>
                <w:color w:val="000000"/>
              </w:rPr>
              <w:t>239</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566</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r w:rsidRPr="00044843">
              <w:rPr>
                <w:color w:val="000000"/>
              </w:rPr>
              <w:t>(387)</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(822)</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rPr>
                <w:color w:val="000000"/>
              </w:rPr>
            </w:pPr>
            <w:r w:rsidRPr="00044843">
              <w:rPr>
                <w:color w:val="000000"/>
              </w:rPr>
              <w:t>..</w:t>
            </w:r>
          </w:p>
        </w:tc>
        <w:tc>
          <w:tcPr>
            <w:tcW w:w="1134" w:type="dxa"/>
            <w:tcBorders>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rsidR="00044843" w:rsidRPr="00044843" w:rsidRDefault="00044843" w:rsidP="00044843">
            <w:pPr>
              <w:ind w:left="0" w:firstLine="0"/>
              <w:rPr>
                <w:color w:val="000000"/>
              </w:rPr>
            </w:pPr>
            <w:r w:rsidRPr="00044843">
              <w:rPr>
                <w:i/>
                <w:color w:val="000000"/>
              </w:rPr>
              <w:t>plus total convergence difference: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rPr>
                <w:color w:val="000000"/>
              </w:rPr>
            </w:pPr>
            <w:r w:rsidRPr="00044843">
              <w:rPr>
                <w:color w:val="000000"/>
              </w:rPr>
              <w:t>..</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r w:rsidRPr="00044843">
              <w:rPr>
                <w:color w:val="000000"/>
              </w:rPr>
              <w:t>(149)</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(255)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r w:rsidRPr="00044843">
              <w:rPr>
                <w:color w:val="000000"/>
              </w:rPr>
              <w:t>(239)</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(566)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r w:rsidRPr="00044843">
              <w:rPr>
                <w:color w:val="000000"/>
              </w:rPr>
              <w:t>387</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color w:val="000000"/>
              </w:rPr>
              <w:t>822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rPr>
                <w:color w:val="000000"/>
              </w:rPr>
            </w:pPr>
            <w:r w:rsidRPr="00044843">
              <w:rPr>
                <w:color w:val="000000"/>
              </w:rPr>
              <w:t>..</w:t>
            </w:r>
          </w:p>
        </w:tc>
        <w:tc>
          <w:tcPr>
            <w:tcW w:w="1134" w:type="dxa"/>
            <w:tcBorders>
              <w:top w:val="single" w:sz="6" w:space="0" w:color="auto"/>
              <w:bottom w:val="single" w:sz="6"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color w:val="000000"/>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rsidR="00044843" w:rsidRPr="00044843" w:rsidRDefault="00044843" w:rsidP="00044843">
            <w:pPr>
              <w:ind w:left="0" w:firstLine="0"/>
            </w:pPr>
            <w:r w:rsidRPr="00044843">
              <w:rPr>
                <w:b/>
                <w:color w:val="000000"/>
              </w:rPr>
              <w:t>GFS net lending/(borrowing)</w:t>
            </w:r>
            <w:r w:rsidRPr="00044843">
              <w:rPr>
                <w:b/>
                <w:color w:val="000000"/>
                <w:vertAlign w:val="superscript"/>
              </w:rPr>
              <w:t xml:space="preserve"> (b)(c)(d)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rPr>
                <w:color w:val="000000"/>
              </w:rPr>
            </w:pPr>
            <w:r w:rsidRPr="00044843">
              <w:rPr>
                <w:b/>
                <w:color w:val="000000"/>
              </w:rPr>
              <w:t>1 876</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937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rPr>
                <w:color w:val="000000"/>
              </w:rPr>
            </w:pPr>
            <w:r w:rsidRPr="00044843">
              <w:rPr>
                <w:b/>
                <w:color w:val="000000"/>
              </w:rPr>
              <w:t>(2 132)</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(1 971)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r w:rsidRPr="00044843">
              <w:rPr>
                <w:b/>
                <w:color w:val="000000"/>
              </w:rPr>
              <w:t>(1 021</w:t>
            </w:r>
            <w:r w:rsidRPr="00044843">
              <w:rPr>
                <w:b/>
              </w:rPr>
              <w:t>)</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(1 564)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r w:rsidRPr="00044843">
              <w:rPr>
                <w:b/>
                <w:color w:val="000000"/>
              </w:rPr>
              <w:t>10</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pPr>
            <w:r w:rsidRPr="00044843">
              <w:rPr>
                <w:b/>
                <w:color w:val="000000"/>
              </w:rPr>
              <w:t>72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rPr>
                <w:color w:val="000000"/>
              </w:rPr>
            </w:pPr>
            <w:r w:rsidRPr="00044843">
              <w:rPr>
                <w:b/>
                <w:color w:val="000000"/>
              </w:rPr>
              <w:t>(1 267)</w:t>
            </w:r>
          </w:p>
        </w:tc>
        <w:tc>
          <w:tcPr>
            <w:tcW w:w="1134" w:type="dxa"/>
            <w:tcBorders>
              <w:top w:val="single" w:sz="6" w:space="0" w:color="auto"/>
              <w:bottom w:val="single" w:sz="12" w:space="0" w:color="auto"/>
            </w:tcBorders>
          </w:tcPr>
          <w:p w:rsidR="00044843" w:rsidRPr="00044843" w:rsidRDefault="00044843" w:rsidP="00044843">
            <w:pPr>
              <w:cnfStyle w:val="000000000000" w:firstRow="0" w:lastRow="0" w:firstColumn="0" w:lastColumn="0" w:oddVBand="0" w:evenVBand="0" w:oddHBand="0" w:evenHBand="0" w:firstRowFirstColumn="0" w:firstRowLastColumn="0" w:lastRowFirstColumn="0" w:lastRowLastColumn="0"/>
              <w:rPr>
                <w:color w:val="000000"/>
              </w:rPr>
            </w:pPr>
            <w:r w:rsidRPr="00044843">
              <w:rPr>
                <w:b/>
                <w:color w:val="000000"/>
              </w:rPr>
              <w:t>(2 527)</w:t>
            </w:r>
          </w:p>
        </w:tc>
      </w:tr>
    </w:tbl>
    <w:p w:rsidR="00DF17E9" w:rsidRDefault="00DF17E9" w:rsidP="00044843">
      <w:pPr>
        <w:pStyle w:val="Note"/>
      </w:pPr>
      <w:r>
        <w:t>Notes:</w:t>
      </w:r>
    </w:p>
    <w:p w:rsidR="00DF17E9" w:rsidRDefault="00DF17E9" w:rsidP="00044843">
      <w:pPr>
        <w:pStyle w:val="Note"/>
      </w:pPr>
      <w:r>
        <w:t>(a)</w:t>
      </w:r>
      <w:r>
        <w:tab/>
        <w:t>Determined in accordance with the ABS GFS manual.</w:t>
      </w:r>
    </w:p>
    <w:p w:rsidR="00DF17E9" w:rsidRDefault="00DF17E9" w:rsidP="00044843">
      <w:pPr>
        <w:pStyle w:val="Note"/>
      </w:pPr>
      <w:r>
        <w:t>(b)</w:t>
      </w:r>
      <w:r>
        <w:tab/>
        <w:t>June 2015 comparative figures have been restated to more consistently reflect the classification of insurance entities’ investment income between years.</w:t>
      </w:r>
    </w:p>
    <w:p w:rsidR="00DF17E9" w:rsidRPr="008134DE" w:rsidRDefault="00DF17E9" w:rsidP="00044843">
      <w:pPr>
        <w:pStyle w:val="Note"/>
      </w:pPr>
      <w:r>
        <w:t>(c)</w:t>
      </w:r>
      <w:r>
        <w:tab/>
      </w:r>
      <w:r w:rsidRPr="008134DE">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(d)</w:t>
      </w:r>
      <w:r>
        <w:tab/>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Note"/>
      </w:pPr>
      <w:r>
        <w:t>(e)</w:t>
      </w:r>
      <w:r>
        <w:tab/>
        <w:t>The convergence difference arises between GFS recognised dividends paid/payable as an expense from transactions on the operating statement whereas, under accounting standards, dividends are classified as after-profit distributions to owners.</w:t>
      </w:r>
    </w:p>
    <w:p w:rsidR="00DF17E9" w:rsidRDefault="00DF17E9" w:rsidP="00044843">
      <w:pPr>
        <w:rPr>
          <w:rFonts w:eastAsiaTheme="majorEastAsia" w:cstheme="majorBidi"/>
          <w:szCs w:val="26"/>
        </w:rPr>
      </w:pPr>
      <w:r>
        <w:br w:type="page"/>
      </w:r>
    </w:p>
    <w:p w:rsidR="002F0FEA" w:rsidRPr="002F0FEA" w:rsidRDefault="00DF17E9" w:rsidP="002F0FEA">
      <w:pPr>
        <w:pStyle w:val="Heading3"/>
        <w:tabs>
          <w:tab w:val="right" w:pos="14742"/>
        </w:tabs>
        <w:rPr>
          <w:rFonts w:eastAsiaTheme="minorHAnsi"/>
          <w:lang w:val="en-US"/>
        </w:rPr>
      </w:pPr>
      <w:r w:rsidRPr="0062675F">
        <w:rPr>
          <w:lang w:val="en-US"/>
        </w:rPr>
        <w:lastRenderedPageBreak/>
        <w:t>Reconciliation to G</w:t>
      </w:r>
      <w:r>
        <w:rPr>
          <w:lang w:val="en-US"/>
        </w:rPr>
        <w:t>FS total change in net worth</w:t>
      </w:r>
      <w:r w:rsidRPr="0062675F">
        <w:rPr>
          <w:vertAlign w:val="superscript"/>
          <w:lang w:val="en-US"/>
        </w:rPr>
        <w:t>(a)</w:t>
      </w:r>
      <w:r w:rsidRPr="0062675F">
        <w:rPr>
          <w:lang w:val="en-US"/>
        </w:rPr>
        <w:tab/>
      </w:r>
      <w:r>
        <w:rPr>
          <w:lang w:val="en-US"/>
        </w:rPr>
        <w:tab/>
      </w:r>
      <w:r w:rsidRPr="00A57136">
        <w:rPr>
          <w:rStyle w:val="TableUnitsChar"/>
        </w:rPr>
        <w:t>($ million)</w:t>
      </w:r>
    </w:p>
    <w:tbl>
      <w:tblPr>
        <w:tblStyle w:val="TableDTFGeneral"/>
        <w:tblW w:w="14742" w:type="dxa"/>
        <w:tblLayout w:type="fixed"/>
        <w:tblLook w:val="02A0" w:firstRow="1" w:lastRow="0" w:firstColumn="1" w:lastColumn="0" w:noHBand="1" w:noVBand="0"/>
      </w:tblPr>
      <w:tblGrid>
        <w:gridCol w:w="3402"/>
        <w:gridCol w:w="1134"/>
        <w:gridCol w:w="1134"/>
        <w:gridCol w:w="1134"/>
        <w:gridCol w:w="1134"/>
        <w:gridCol w:w="1134"/>
        <w:gridCol w:w="1134"/>
        <w:gridCol w:w="1134"/>
        <w:gridCol w:w="1134"/>
        <w:gridCol w:w="1134"/>
        <w:gridCol w:w="1134"/>
      </w:tblGrid>
      <w:tr w:rsidR="00A87C72" w:rsidRPr="002F0FEA"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A87C72" w:rsidRPr="002F0FEA" w:rsidRDefault="00A87C72" w:rsidP="002F0FEA">
            <w:pPr>
              <w:ind w:left="0" w:firstLine="0"/>
              <w:rPr>
                <w:color w:val="FFFFFF"/>
              </w:rPr>
            </w:pPr>
            <w:r w:rsidRPr="002F0FEA">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2F0FEA" w:rsidRDefault="00A87C72" w:rsidP="00A87C72">
            <w:pPr>
              <w:jc w:val="center"/>
              <w:rPr>
                <w:color w:val="FFFFFF"/>
              </w:rPr>
            </w:pPr>
            <w:r w:rsidRPr="002F0FEA">
              <w:rPr>
                <w:color w:val="FFFFFF"/>
              </w:rPr>
              <w:t xml:space="preserve">General </w:t>
            </w:r>
            <w:r>
              <w:rPr>
                <w:color w:val="FFFFFF"/>
              </w:rPr>
              <w:br/>
            </w:r>
            <w:r w:rsidRPr="002F0FEA">
              <w:rPr>
                <w:color w:val="FFFFFF"/>
              </w:rPr>
              <w:t>government sector</w:t>
            </w:r>
          </w:p>
        </w:tc>
        <w:tc>
          <w:tcPr>
            <w:tcW w:w="2268" w:type="dxa"/>
            <w:gridSpan w:val="2"/>
            <w:tcBorders>
              <w:bottom w:val="nil"/>
            </w:tcBorders>
          </w:tcPr>
          <w:p w:rsidR="00A87C72" w:rsidRPr="002F0FEA" w:rsidRDefault="00A87C72" w:rsidP="002F0FEA">
            <w:pPr>
              <w:jc w:val="cente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Public non-financial corporations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2F0FEA" w:rsidRDefault="00A87C72" w:rsidP="00A87C72">
            <w:pPr>
              <w:jc w:val="center"/>
              <w:rPr>
                <w:color w:val="FFFFFF"/>
              </w:rPr>
            </w:pPr>
            <w:r w:rsidRPr="002F0FEA">
              <w:rPr>
                <w:color w:val="FFFFFF"/>
              </w:rPr>
              <w:t xml:space="preserve">Public </w:t>
            </w:r>
            <w:r>
              <w:rPr>
                <w:color w:val="FFFFFF"/>
              </w:rPr>
              <w:br/>
            </w:r>
            <w:r w:rsidRPr="002F0FEA">
              <w:rPr>
                <w:color w:val="FFFFFF"/>
              </w:rPr>
              <w:t>financial corporations</w:t>
            </w:r>
          </w:p>
        </w:tc>
        <w:tc>
          <w:tcPr>
            <w:tcW w:w="2268" w:type="dxa"/>
            <w:gridSpan w:val="2"/>
            <w:tcBorders>
              <w:bottom w:val="nil"/>
            </w:tcBorders>
          </w:tcPr>
          <w:p w:rsidR="00A87C72" w:rsidRPr="002F0FEA" w:rsidRDefault="00A87C72" w:rsidP="002F0FEA">
            <w:pPr>
              <w:jc w:val="cente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Eliminations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2F0FEA" w:rsidRDefault="00A87C72" w:rsidP="002F0FEA">
            <w:pPr>
              <w:jc w:val="center"/>
              <w:rPr>
                <w:color w:val="FFFFFF"/>
              </w:rPr>
            </w:pPr>
            <w:r w:rsidRPr="002F0FEA">
              <w:rPr>
                <w:color w:val="FFFFFF"/>
              </w:rPr>
              <w:t>State of Victoria</w:t>
            </w:r>
          </w:p>
        </w:tc>
      </w:tr>
      <w:tr w:rsidR="002F0FEA" w:rsidRPr="002F0FEA" w:rsidTr="002F0F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2F0FEA" w:rsidRPr="002F0FEA" w:rsidRDefault="002F0FEA" w:rsidP="002F0FEA">
            <w:pPr>
              <w:ind w:left="0" w:firstLine="0"/>
              <w:rPr>
                <w:color w:val="FFFFFF"/>
              </w:rPr>
            </w:pPr>
            <w:r w:rsidRPr="002F0FEA">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FFFFFF"/>
              </w:rPr>
            </w:pPr>
            <w:r w:rsidRPr="002F0FEA">
              <w:rPr>
                <w:color w:val="FFFFFF"/>
              </w:rPr>
              <w:t>2016</w:t>
            </w:r>
          </w:p>
        </w:tc>
        <w:tc>
          <w:tcPr>
            <w:tcW w:w="1134" w:type="dxa"/>
            <w:tcBorders>
              <w:bottom w:val="single" w:sz="6" w:space="0" w:color="auto"/>
            </w:tcBorders>
          </w:tcPr>
          <w:p w:rsidR="002F0FEA" w:rsidRPr="002F0FEA" w:rsidRDefault="002F0FEA" w:rsidP="002F0FEA">
            <w:pP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FFFFFF"/>
              </w:rPr>
            </w:pPr>
            <w:r w:rsidRPr="002F0FEA">
              <w:rPr>
                <w:color w:val="FFFFFF"/>
              </w:rPr>
              <w:t>2016</w:t>
            </w:r>
          </w:p>
        </w:tc>
        <w:tc>
          <w:tcPr>
            <w:tcW w:w="1134" w:type="dxa"/>
            <w:tcBorders>
              <w:bottom w:val="single" w:sz="6" w:space="0" w:color="auto"/>
            </w:tcBorders>
          </w:tcPr>
          <w:p w:rsidR="002F0FEA" w:rsidRPr="002F0FEA" w:rsidRDefault="002F0FEA" w:rsidP="002F0FEA">
            <w:pP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FFFFFF"/>
              </w:rPr>
            </w:pPr>
            <w:r w:rsidRPr="002F0FEA">
              <w:rPr>
                <w:color w:val="FFFFFF"/>
              </w:rPr>
              <w:t>2016</w:t>
            </w:r>
          </w:p>
        </w:tc>
        <w:tc>
          <w:tcPr>
            <w:tcW w:w="1134" w:type="dxa"/>
            <w:tcBorders>
              <w:bottom w:val="single" w:sz="6" w:space="0" w:color="auto"/>
            </w:tcBorders>
          </w:tcPr>
          <w:p w:rsidR="002F0FEA" w:rsidRPr="002F0FEA" w:rsidRDefault="002F0FEA" w:rsidP="002F0FEA">
            <w:pP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FFFFFF"/>
              </w:rPr>
            </w:pPr>
            <w:r w:rsidRPr="002F0FEA">
              <w:rPr>
                <w:color w:val="FFFFFF"/>
              </w:rPr>
              <w:t>2016</w:t>
            </w:r>
          </w:p>
        </w:tc>
        <w:tc>
          <w:tcPr>
            <w:tcW w:w="1134" w:type="dxa"/>
            <w:tcBorders>
              <w:bottom w:val="single" w:sz="6" w:space="0" w:color="auto"/>
            </w:tcBorders>
          </w:tcPr>
          <w:p w:rsidR="002F0FEA" w:rsidRPr="002F0FEA" w:rsidRDefault="002F0FEA" w:rsidP="002F0FEA">
            <w:pP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FFFFFF"/>
              </w:rPr>
            </w:pPr>
            <w:r w:rsidRPr="002F0FEA">
              <w:rPr>
                <w:color w:val="FFFFFF"/>
              </w:rPr>
              <w:t>2016</w:t>
            </w:r>
          </w:p>
        </w:tc>
        <w:tc>
          <w:tcPr>
            <w:tcW w:w="1134" w:type="dxa"/>
            <w:tcBorders>
              <w:bottom w:val="single" w:sz="6" w:space="0" w:color="auto"/>
            </w:tcBorders>
          </w:tcPr>
          <w:p w:rsidR="002F0FEA" w:rsidRPr="002F0FEA" w:rsidRDefault="002F0FEA" w:rsidP="002F0FEA">
            <w:pPr>
              <w:cnfStyle w:val="100000000000" w:firstRow="1" w:lastRow="0" w:firstColumn="0" w:lastColumn="0" w:oddVBand="0" w:evenVBand="0" w:oddHBand="0" w:evenHBand="0" w:firstRowFirstColumn="0" w:firstRowLastColumn="0" w:lastRowFirstColumn="0" w:lastRowLastColumn="0"/>
              <w:rPr>
                <w:color w:val="FFFFFF"/>
              </w:rPr>
            </w:pPr>
            <w:r w:rsidRPr="002F0FEA">
              <w:rPr>
                <w:color w:val="FFFFFF"/>
              </w:rPr>
              <w:t>2015</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rsidR="002F0FEA" w:rsidRPr="002F0FEA" w:rsidRDefault="002F0FEA" w:rsidP="002F0FEA">
            <w:pPr>
              <w:ind w:left="113" w:hanging="113"/>
              <w:rPr>
                <w:b/>
                <w:color w:val="000000"/>
                <w:vertAlign w:val="superscript"/>
              </w:rPr>
            </w:pPr>
            <w:r w:rsidRPr="002F0FEA">
              <w:rPr>
                <w:b/>
                <w:color w:val="000000"/>
              </w:rPr>
              <w:t xml:space="preserve">Comprehensive result – </w:t>
            </w:r>
            <w:r w:rsidR="00733FFF">
              <w:rPr>
                <w:b/>
                <w:color w:val="000000"/>
              </w:rPr>
              <w:br/>
            </w:r>
            <w:r w:rsidRPr="002F0FEA">
              <w:rPr>
                <w:b/>
                <w:color w:val="000000"/>
              </w:rPr>
              <w:t xml:space="preserve">total change in net worth </w:t>
            </w:r>
            <w:r w:rsidRPr="002F0FEA">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2F0FEA" w:rsidRPr="002F0FEA" w:rsidRDefault="002F0FEA" w:rsidP="002F0FEA">
            <w:pPr>
              <w:rPr>
                <w:color w:val="000000"/>
              </w:rPr>
            </w:pPr>
            <w:r w:rsidRPr="002F0FEA">
              <w:rPr>
                <w:b/>
                <w:color w:val="000000"/>
              </w:rPr>
              <w:t>15 303</w:t>
            </w:r>
          </w:p>
        </w:tc>
        <w:tc>
          <w:tcPr>
            <w:tcW w:w="1134" w:type="dxa"/>
            <w:tcBorders>
              <w:top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b/>
                <w:color w:val="000000"/>
              </w:rPr>
              <w:t>7 839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2F0FEA" w:rsidRPr="002F0FEA" w:rsidRDefault="002F0FEA" w:rsidP="002F0FEA">
            <w:pPr>
              <w:rPr>
                <w:color w:val="000000"/>
              </w:rPr>
            </w:pPr>
            <w:r w:rsidRPr="002F0FEA">
              <w:rPr>
                <w:b/>
                <w:color w:val="000000"/>
              </w:rPr>
              <w:t>11 106</w:t>
            </w:r>
          </w:p>
        </w:tc>
        <w:tc>
          <w:tcPr>
            <w:tcW w:w="1134" w:type="dxa"/>
            <w:tcBorders>
              <w:top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b/>
                <w:color w:val="000000"/>
              </w:rPr>
              <w:t>3 851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2F0FEA" w:rsidRPr="002F0FEA" w:rsidRDefault="002F0FEA" w:rsidP="002F0FEA">
            <w:pPr>
              <w:rPr>
                <w:color w:val="000000"/>
              </w:rPr>
            </w:pPr>
            <w:r w:rsidRPr="002F0FEA">
              <w:rPr>
                <w:b/>
                <w:color w:val="000000"/>
              </w:rPr>
              <w:t>(2 438)</w:t>
            </w:r>
          </w:p>
        </w:tc>
        <w:tc>
          <w:tcPr>
            <w:tcW w:w="1134" w:type="dxa"/>
            <w:tcBorders>
              <w:top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b/>
                <w:color w:val="000000"/>
              </w:rPr>
              <w:t>85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2F0FEA" w:rsidRPr="002F0FEA" w:rsidRDefault="002F0FEA" w:rsidP="002F0FEA">
            <w:pPr>
              <w:rPr>
                <w:color w:val="000000"/>
              </w:rPr>
            </w:pPr>
            <w:r w:rsidRPr="002F0FEA">
              <w:rPr>
                <w:b/>
                <w:color w:val="000000"/>
              </w:rPr>
              <w:t>(11 646)</w:t>
            </w:r>
          </w:p>
        </w:tc>
        <w:tc>
          <w:tcPr>
            <w:tcW w:w="1134" w:type="dxa"/>
            <w:tcBorders>
              <w:top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b/>
                <w:color w:val="000000"/>
              </w:rPr>
              <w:t>(3 967)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2F0FEA" w:rsidRPr="002F0FEA" w:rsidRDefault="002F0FEA" w:rsidP="002F0FEA">
            <w:pPr>
              <w:rPr>
                <w:color w:val="000000"/>
              </w:rPr>
            </w:pPr>
            <w:r w:rsidRPr="002F0FEA">
              <w:rPr>
                <w:b/>
                <w:color w:val="000000"/>
              </w:rPr>
              <w:t>12 325</w:t>
            </w:r>
          </w:p>
        </w:tc>
        <w:tc>
          <w:tcPr>
            <w:tcW w:w="1134" w:type="dxa"/>
            <w:tcBorders>
              <w:top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b/>
                <w:color w:val="000000"/>
              </w:rPr>
              <w:t>7 807</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pPr>
            <w:r w:rsidRPr="002F0FEA">
              <w:rPr>
                <w:i/>
                <w:color w:val="000000"/>
              </w:rPr>
              <w:t>Convergence differences:</w:t>
            </w:r>
            <w:r w:rsidRPr="002F0FEA">
              <w:rPr>
                <w:color w:val="000000"/>
                <w:vertAlign w:val="superscript"/>
              </w:rPr>
              <w:t xml:space="preserve"> </w:t>
            </w:r>
            <w:r w:rsidRPr="002F0FEA">
              <w:rPr>
                <w:vertAlign w:val="superscript"/>
              </w:rPr>
              <w:t>(d)(e)</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rPr>
                <w:color w:val="000000"/>
              </w:rPr>
            </w:pPr>
            <w:r w:rsidRPr="002F0FEA">
              <w:rPr>
                <w:color w:val="000000"/>
              </w:rPr>
              <w:t xml:space="preserve">Relating to net operating balance – PNFC/PFC dividends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149</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255</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239</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566</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(387)</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(822)</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pPr>
            <w:r w:rsidRPr="002F0FEA">
              <w:rPr>
                <w:color w:val="000000"/>
              </w:rPr>
              <w:t>Relating to other economic flows:</w:t>
            </w:r>
            <w:r w:rsidRPr="002F0FEA">
              <w:rPr>
                <w:color w:val="000000"/>
                <w:vertAlign w:val="superscript"/>
              </w:rPr>
              <w:t xml:space="preserve"> (f)</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rPr>
                <w:color w:val="000000"/>
              </w:rPr>
            </w:pPr>
            <w:r w:rsidRPr="002F0FEA">
              <w:rPr>
                <w:b/>
                <w:color w:val="000000"/>
              </w:rPr>
              <w:t>Contribution by non-controlling interest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jc w:val="left"/>
              <w:rPr>
                <w:color w:val="000000"/>
              </w:rPr>
            </w:pPr>
            <w:r w:rsidRPr="002F0FEA">
              <w:rPr>
                <w:color w:val="000000"/>
              </w:rPr>
              <w:t xml:space="preserve"> </w:t>
            </w:r>
          </w:p>
        </w:tc>
        <w:tc>
          <w:tcPr>
            <w:tcW w:w="1134" w:type="dxa"/>
          </w:tcPr>
          <w:p w:rsidR="002F0FEA" w:rsidRPr="002F0FEA" w:rsidRDefault="002F0FEA" w:rsidP="002F0FEA">
            <w:pPr>
              <w:jc w:val="left"/>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 xml:space="preserve"> </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rPr>
                <w:color w:val="000000"/>
              </w:rPr>
            </w:pPr>
            <w:r w:rsidRPr="002F0FEA">
              <w:rPr>
                <w:color w:val="000000"/>
              </w:rPr>
              <w:t>Doubtful receivables of the general government sector</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22</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22</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rPr>
                <w:color w:val="000000"/>
              </w:rPr>
            </w:pPr>
            <w:r w:rsidRPr="002F0FEA">
              <w:rPr>
                <w:color w:val="000000"/>
              </w:rPr>
              <w:t>Doubtful receivables of the PNFC/PFC sector</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(5)</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(5)</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rPr>
                <w:color w:val="000000"/>
              </w:rPr>
            </w:pPr>
            <w:r w:rsidRPr="002F0FEA">
              <w:rPr>
                <w:color w:val="000000"/>
              </w:rPr>
              <w:t>Future tax benefits of the PNFC/PFC sector</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(44)</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(17)</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(632)</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58</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676</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(42)</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Pr>
          <w:p w:rsidR="002F0FEA" w:rsidRPr="002F0FEA" w:rsidRDefault="002F0FEA" w:rsidP="002F0FEA">
            <w:pPr>
              <w:ind w:left="113" w:hanging="113"/>
              <w:rPr>
                <w:color w:val="000000"/>
              </w:rPr>
            </w:pPr>
            <w:r w:rsidRPr="002F0FEA">
              <w:rPr>
                <w:color w:val="000000"/>
              </w:rPr>
              <w:t xml:space="preserve">Deferred tax liability of the PNFC/PFC sector </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(39)</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703</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(5)</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1</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r w:rsidRPr="002F0FEA">
              <w:rPr>
                <w:color w:val="000000"/>
              </w:rPr>
              <w:t>45</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(703)</w:t>
            </w:r>
          </w:p>
        </w:tc>
        <w:tc>
          <w:tcPr>
            <w:cnfStyle w:val="000010000000" w:firstRow="0" w:lastRow="0" w:firstColumn="0" w:lastColumn="0" w:oddVBand="1" w:evenVBand="0" w:oddHBand="0" w:evenHBand="0" w:firstRowFirstColumn="0" w:firstRowLastColumn="0" w:lastRowFirstColumn="0" w:lastRowLastColumn="0"/>
            <w:tcW w:w="1134" w:type="dxa"/>
          </w:tcPr>
          <w:p w:rsidR="002F0FEA" w:rsidRPr="002F0FEA" w:rsidRDefault="002F0FEA" w:rsidP="002F0FEA">
            <w:pPr>
              <w:rPr>
                <w:color w:val="000000"/>
              </w:rPr>
            </w:pPr>
            <w:r w:rsidRPr="002F0FEA">
              <w:rPr>
                <w:color w:val="000000"/>
              </w:rPr>
              <w:t>..</w:t>
            </w:r>
          </w:p>
        </w:tc>
        <w:tc>
          <w:tcPr>
            <w:tcW w:w="1134" w:type="dxa"/>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rsidR="002F0FEA" w:rsidRPr="002F0FEA" w:rsidRDefault="002F0FEA" w:rsidP="002F0FEA">
            <w:pPr>
              <w:ind w:left="113" w:hanging="113"/>
            </w:pPr>
            <w:r w:rsidRPr="002F0FEA">
              <w:rPr>
                <w:color w:val="000000"/>
              </w:rPr>
              <w:t>Net gain on equity investments in other sector entities measured at proportional share of the carrying amount of net assets/(liabilities)</w:t>
            </w:r>
            <w:r w:rsidRPr="002F0FEA">
              <w:rPr>
                <w:color w:val="000000"/>
                <w:vertAlign w:val="superscript"/>
              </w:rPr>
              <w:t xml:space="preserve"> (g)</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2F0FEA" w:rsidRPr="002F0FEA" w:rsidRDefault="002F0FEA" w:rsidP="002F0FEA">
            <w:r w:rsidRPr="002F0FEA">
              <w:rPr>
                <w:color w:val="000000"/>
              </w:rPr>
              <w:t>(720)</w:t>
            </w:r>
          </w:p>
        </w:tc>
        <w:tc>
          <w:tcPr>
            <w:tcW w:w="1134" w:type="dxa"/>
            <w:tcBorders>
              <w:bottom w:val="nil"/>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740</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2F0FEA" w:rsidRPr="002F0FEA" w:rsidRDefault="002F0FEA" w:rsidP="002F0FEA">
            <w:pPr>
              <w:rPr>
                <w:color w:val="000000"/>
              </w:rPr>
            </w:pPr>
            <w:r w:rsidRPr="002F0FEA">
              <w:rPr>
                <w:color w:val="000000"/>
              </w:rPr>
              <w:t>..</w:t>
            </w:r>
          </w:p>
        </w:tc>
        <w:tc>
          <w:tcPr>
            <w:tcW w:w="1134" w:type="dxa"/>
            <w:tcBorders>
              <w:bottom w:val="nil"/>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2F0FEA" w:rsidRPr="002F0FEA" w:rsidRDefault="002F0FEA" w:rsidP="002F0FEA">
            <w:pPr>
              <w:rPr>
                <w:color w:val="000000"/>
              </w:rPr>
            </w:pPr>
            <w:r w:rsidRPr="002F0FEA">
              <w:rPr>
                <w:color w:val="000000"/>
              </w:rPr>
              <w:t>..</w:t>
            </w:r>
          </w:p>
        </w:tc>
        <w:tc>
          <w:tcPr>
            <w:tcW w:w="1134" w:type="dxa"/>
            <w:tcBorders>
              <w:bottom w:val="nil"/>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2F0FEA" w:rsidRPr="002F0FEA" w:rsidRDefault="002F0FEA" w:rsidP="002F0FEA">
            <w:r w:rsidRPr="002F0FEA">
              <w:rPr>
                <w:color w:val="000000"/>
              </w:rPr>
              <w:t>720</w:t>
            </w:r>
          </w:p>
        </w:tc>
        <w:tc>
          <w:tcPr>
            <w:tcW w:w="1134" w:type="dxa"/>
            <w:tcBorders>
              <w:bottom w:val="nil"/>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(740)</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2F0FEA" w:rsidRPr="002F0FEA" w:rsidRDefault="002F0FEA" w:rsidP="002F0FEA">
            <w:pPr>
              <w:rPr>
                <w:color w:val="000000"/>
              </w:rPr>
            </w:pPr>
            <w:r w:rsidRPr="002F0FEA">
              <w:rPr>
                <w:color w:val="000000"/>
              </w:rPr>
              <w:t>..</w:t>
            </w:r>
          </w:p>
        </w:tc>
        <w:tc>
          <w:tcPr>
            <w:tcW w:w="1134" w:type="dxa"/>
            <w:tcBorders>
              <w:bottom w:val="nil"/>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rsidR="002F0FEA" w:rsidRPr="002F0FEA" w:rsidRDefault="002F0FEA" w:rsidP="002F0FEA">
            <w:pPr>
              <w:ind w:left="113" w:hanging="113"/>
              <w:rPr>
                <w:color w:val="000000"/>
              </w:rPr>
            </w:pPr>
            <w:r w:rsidRPr="002F0FEA">
              <w:rPr>
                <w:color w:val="000000"/>
              </w:rPr>
              <w:t>Change in shares and other contributed capital</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000000"/>
              </w:rPr>
            </w:pPr>
            <w:r w:rsidRPr="002F0FEA">
              <w:rPr>
                <w:color w:val="000000"/>
              </w:rPr>
              <w:t>..</w:t>
            </w:r>
          </w:p>
        </w:tc>
        <w:tc>
          <w:tcPr>
            <w:tcW w:w="1134" w:type="dxa"/>
            <w:tcBorders>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000000"/>
              </w:rPr>
            </w:pPr>
            <w:r w:rsidRPr="002F0FEA">
              <w:rPr>
                <w:color w:val="000000"/>
              </w:rPr>
              <w:t>(11 170)</w:t>
            </w:r>
          </w:p>
        </w:tc>
        <w:tc>
          <w:tcPr>
            <w:tcW w:w="1134" w:type="dxa"/>
            <w:tcBorders>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(4 792)</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000000"/>
              </w:rPr>
            </w:pPr>
            <w:r w:rsidRPr="002F0FEA">
              <w:rPr>
                <w:color w:val="000000"/>
              </w:rPr>
              <w:t>2 836</w:t>
            </w:r>
          </w:p>
        </w:tc>
        <w:tc>
          <w:tcPr>
            <w:tcW w:w="1134" w:type="dxa"/>
            <w:tcBorders>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(705)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000000"/>
              </w:rPr>
            </w:pPr>
            <w:r w:rsidRPr="002F0FEA">
              <w:rPr>
                <w:color w:val="000000"/>
              </w:rPr>
              <w:t>8 335</w:t>
            </w:r>
          </w:p>
        </w:tc>
        <w:tc>
          <w:tcPr>
            <w:tcW w:w="1134" w:type="dxa"/>
            <w:tcBorders>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5 497</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2F0FEA" w:rsidRPr="002F0FEA" w:rsidRDefault="002F0FEA" w:rsidP="002F0FEA">
            <w:pPr>
              <w:rPr>
                <w:color w:val="000000"/>
              </w:rPr>
            </w:pPr>
            <w:r w:rsidRPr="002F0FEA">
              <w:rPr>
                <w:color w:val="000000"/>
              </w:rPr>
              <w:t>..</w:t>
            </w:r>
          </w:p>
        </w:tc>
        <w:tc>
          <w:tcPr>
            <w:tcW w:w="1134" w:type="dxa"/>
            <w:tcBorders>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rsidR="002F0FEA" w:rsidRPr="002F0FEA" w:rsidRDefault="002F0FEA" w:rsidP="002F0FEA">
            <w:pPr>
              <w:ind w:left="113" w:hanging="113"/>
              <w:rPr>
                <w:i/>
                <w:color w:val="000000"/>
                <w:vertAlign w:val="superscript"/>
              </w:rPr>
            </w:pPr>
            <w:r w:rsidRPr="002F0FEA">
              <w:rPr>
                <w:i/>
                <w:color w:val="000000"/>
              </w:rPr>
              <w:t xml:space="preserve">plus total convergence differences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2F0FEA" w:rsidRPr="002F0FEA" w:rsidRDefault="002F0FEA" w:rsidP="002F0FEA">
            <w:r w:rsidRPr="002F0FEA">
              <w:rPr>
                <w:color w:val="000000"/>
              </w:rPr>
              <w:t>(699)</w:t>
            </w:r>
          </w:p>
        </w:tc>
        <w:tc>
          <w:tcPr>
            <w:tcW w:w="1134" w:type="dxa"/>
            <w:tcBorders>
              <w:top w:val="single" w:sz="6" w:space="0" w:color="auto"/>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732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2F0FEA" w:rsidRPr="002F0FEA" w:rsidRDefault="002F0FEA" w:rsidP="002F0FEA">
            <w:pPr>
              <w:rPr>
                <w:color w:val="000000"/>
              </w:rPr>
            </w:pPr>
            <w:r w:rsidRPr="002F0FEA">
              <w:rPr>
                <w:color w:val="000000"/>
              </w:rPr>
              <w:t>(11 106)</w:t>
            </w:r>
          </w:p>
        </w:tc>
        <w:tc>
          <w:tcPr>
            <w:tcW w:w="1134" w:type="dxa"/>
            <w:tcBorders>
              <w:top w:val="single" w:sz="6" w:space="0" w:color="auto"/>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(3 851)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2F0FEA" w:rsidRPr="002F0FEA" w:rsidRDefault="002F0FEA" w:rsidP="002F0FEA">
            <w:pPr>
              <w:rPr>
                <w:color w:val="000000"/>
              </w:rPr>
            </w:pPr>
            <w:r w:rsidRPr="002F0FEA">
              <w:rPr>
                <w:color w:val="000000"/>
              </w:rPr>
              <w:t>2 438</w:t>
            </w:r>
          </w:p>
        </w:tc>
        <w:tc>
          <w:tcPr>
            <w:tcW w:w="1134" w:type="dxa"/>
            <w:tcBorders>
              <w:top w:val="single" w:sz="6" w:space="0" w:color="auto"/>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(85)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2F0FEA" w:rsidRPr="002F0FEA" w:rsidRDefault="002F0FEA" w:rsidP="002F0FEA">
            <w:pPr>
              <w:rPr>
                <w:color w:val="000000"/>
              </w:rPr>
            </w:pPr>
            <w:r w:rsidRPr="002F0FEA">
              <w:rPr>
                <w:color w:val="000000"/>
              </w:rPr>
              <w:t>9 389</w:t>
            </w:r>
          </w:p>
        </w:tc>
        <w:tc>
          <w:tcPr>
            <w:tcW w:w="1134" w:type="dxa"/>
            <w:tcBorders>
              <w:top w:val="single" w:sz="6" w:space="0" w:color="auto"/>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color w:val="000000"/>
              </w:rPr>
            </w:pPr>
            <w:r w:rsidRPr="002F0FEA">
              <w:rPr>
                <w:color w:val="000000"/>
              </w:rPr>
              <w:t>3 191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2F0FEA" w:rsidRPr="002F0FEA" w:rsidRDefault="002F0FEA" w:rsidP="002F0FEA">
            <w:r w:rsidRPr="002F0FEA">
              <w:rPr>
                <w:color w:val="000000"/>
              </w:rPr>
              <w:t>22</w:t>
            </w:r>
          </w:p>
        </w:tc>
        <w:tc>
          <w:tcPr>
            <w:tcW w:w="1134" w:type="dxa"/>
            <w:tcBorders>
              <w:top w:val="single" w:sz="6" w:space="0" w:color="auto"/>
              <w:bottom w:val="single" w:sz="6"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pPr>
            <w:r w:rsidRPr="002F0FEA">
              <w:rPr>
                <w:color w:val="000000"/>
              </w:rPr>
              <w:t>(13)</w:t>
            </w:r>
          </w:p>
        </w:tc>
      </w:tr>
      <w:tr w:rsidR="002F0FEA" w:rsidRPr="002F0FEA" w:rsidTr="002F0FE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rsidR="002F0FEA" w:rsidRPr="002F0FEA" w:rsidRDefault="002F0FEA" w:rsidP="002F0FEA">
            <w:pPr>
              <w:ind w:left="113" w:hanging="113"/>
              <w:rPr>
                <w:b/>
                <w:color w:val="000000"/>
                <w:vertAlign w:val="superscript"/>
              </w:rPr>
            </w:pPr>
            <w:r w:rsidRPr="002F0FEA">
              <w:rPr>
                <w:b/>
                <w:color w:val="000000"/>
              </w:rPr>
              <w:t xml:space="preserve">GFS total change in net worth </w:t>
            </w:r>
            <w:r w:rsidRPr="002F0FEA">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2F0FEA" w:rsidRPr="002F0FEA" w:rsidRDefault="002F0FEA" w:rsidP="002F0FEA">
            <w:pPr>
              <w:rPr>
                <w:b/>
                <w:color w:val="000000"/>
              </w:rPr>
            </w:pPr>
            <w:r w:rsidRPr="002F0FEA">
              <w:rPr>
                <w:b/>
                <w:color w:val="000000"/>
              </w:rPr>
              <w:t>14 605</w:t>
            </w:r>
          </w:p>
        </w:tc>
        <w:tc>
          <w:tcPr>
            <w:tcW w:w="1134" w:type="dxa"/>
            <w:tcBorders>
              <w:top w:val="single" w:sz="6" w:space="0" w:color="auto"/>
              <w:bottom w:val="single" w:sz="12"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b/>
                <w:color w:val="000000"/>
              </w:rPr>
            </w:pPr>
            <w:r w:rsidRPr="002F0FEA">
              <w:rPr>
                <w:b/>
                <w:color w:val="000000"/>
              </w:rPr>
              <w:t>8 571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2F0FEA" w:rsidRPr="002F0FEA" w:rsidRDefault="002F0FEA" w:rsidP="002F0FEA">
            <w:pPr>
              <w:rPr>
                <w:b/>
                <w:color w:val="000000"/>
              </w:rPr>
            </w:pPr>
            <w:r w:rsidRPr="002F0FEA">
              <w:rPr>
                <w:b/>
                <w:color w:val="000000"/>
              </w:rPr>
              <w:t>..</w:t>
            </w:r>
          </w:p>
        </w:tc>
        <w:tc>
          <w:tcPr>
            <w:tcW w:w="1134" w:type="dxa"/>
            <w:tcBorders>
              <w:top w:val="single" w:sz="6" w:space="0" w:color="auto"/>
              <w:bottom w:val="single" w:sz="12"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b/>
                <w:color w:val="000000"/>
              </w:rPr>
            </w:pPr>
            <w:r w:rsidRPr="002F0FEA">
              <w:rPr>
                <w:b/>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2F0FEA" w:rsidRPr="002F0FEA" w:rsidRDefault="002F0FEA" w:rsidP="002F0FEA">
            <w:pPr>
              <w:rPr>
                <w:b/>
                <w:color w:val="000000"/>
              </w:rPr>
            </w:pPr>
            <w:r w:rsidRPr="002F0FEA">
              <w:rPr>
                <w:b/>
                <w:color w:val="000000"/>
              </w:rPr>
              <w:t>..</w:t>
            </w:r>
          </w:p>
        </w:tc>
        <w:tc>
          <w:tcPr>
            <w:tcW w:w="1134" w:type="dxa"/>
            <w:tcBorders>
              <w:top w:val="single" w:sz="6" w:space="0" w:color="auto"/>
              <w:bottom w:val="single" w:sz="12"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b/>
                <w:color w:val="000000"/>
              </w:rPr>
            </w:pPr>
            <w:r w:rsidRPr="002F0FEA">
              <w:rPr>
                <w:b/>
                <w:color w:val="000000"/>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2F0FEA" w:rsidRPr="002F0FEA" w:rsidRDefault="002F0FEA" w:rsidP="002F0FEA">
            <w:pPr>
              <w:rPr>
                <w:b/>
              </w:rPr>
            </w:pPr>
            <w:r w:rsidRPr="002F0FEA">
              <w:rPr>
                <w:b/>
                <w:color w:val="000000"/>
              </w:rPr>
              <w:t>(</w:t>
            </w:r>
            <w:r w:rsidRPr="002F0FEA">
              <w:rPr>
                <w:b/>
              </w:rPr>
              <w:t>2 257)</w:t>
            </w:r>
          </w:p>
        </w:tc>
        <w:tc>
          <w:tcPr>
            <w:tcW w:w="1134" w:type="dxa"/>
            <w:tcBorders>
              <w:top w:val="single" w:sz="6" w:space="0" w:color="auto"/>
              <w:bottom w:val="single" w:sz="12"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b/>
              </w:rPr>
            </w:pPr>
            <w:r w:rsidRPr="002F0FEA">
              <w:rPr>
                <w:b/>
                <w:color w:val="000000"/>
              </w:rPr>
              <w:t>(776)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2F0FEA" w:rsidRPr="002F0FEA" w:rsidRDefault="002F0FEA" w:rsidP="002F0FEA">
            <w:pPr>
              <w:rPr>
                <w:b/>
                <w:color w:val="000000"/>
              </w:rPr>
            </w:pPr>
            <w:r w:rsidRPr="002F0FEA">
              <w:rPr>
                <w:b/>
                <w:color w:val="000000"/>
              </w:rPr>
              <w:t>12 347</w:t>
            </w:r>
          </w:p>
        </w:tc>
        <w:tc>
          <w:tcPr>
            <w:tcW w:w="1134" w:type="dxa"/>
            <w:tcBorders>
              <w:top w:val="single" w:sz="6" w:space="0" w:color="auto"/>
              <w:bottom w:val="single" w:sz="12" w:space="0" w:color="auto"/>
            </w:tcBorders>
          </w:tcPr>
          <w:p w:rsidR="002F0FEA" w:rsidRPr="002F0FEA" w:rsidRDefault="002F0FEA" w:rsidP="002F0FEA">
            <w:pPr>
              <w:cnfStyle w:val="000000000000" w:firstRow="0" w:lastRow="0" w:firstColumn="0" w:lastColumn="0" w:oddVBand="0" w:evenVBand="0" w:oddHBand="0" w:evenHBand="0" w:firstRowFirstColumn="0" w:firstRowLastColumn="0" w:lastRowFirstColumn="0" w:lastRowLastColumn="0"/>
              <w:rPr>
                <w:b/>
                <w:color w:val="000000"/>
              </w:rPr>
            </w:pPr>
            <w:r w:rsidRPr="002F0FEA">
              <w:rPr>
                <w:b/>
                <w:color w:val="000000"/>
              </w:rPr>
              <w:t>7 795</w:t>
            </w:r>
          </w:p>
        </w:tc>
      </w:tr>
    </w:tbl>
    <w:p w:rsidR="00DF17E9" w:rsidRPr="0062675F" w:rsidRDefault="00DF17E9" w:rsidP="00044843">
      <w:pPr>
        <w:pStyle w:val="Notes"/>
        <w:rPr>
          <w:lang w:val="en-US"/>
        </w:rPr>
      </w:pPr>
      <w:r>
        <w:t>Notes:</w:t>
      </w:r>
    </w:p>
    <w:p w:rsidR="00DF17E9" w:rsidRDefault="00DF17E9" w:rsidP="00044843">
      <w:pPr>
        <w:pStyle w:val="Note"/>
      </w:pPr>
      <w:r>
        <w:t>(a)</w:t>
      </w:r>
      <w:r>
        <w:tab/>
        <w:t>Determined in accordance with the ABS GFS manual.</w:t>
      </w:r>
    </w:p>
    <w:p w:rsidR="00DF17E9" w:rsidRDefault="00DF17E9" w:rsidP="00044843">
      <w:pPr>
        <w:pStyle w:val="Note"/>
      </w:pPr>
      <w:r>
        <w:t>(b)</w:t>
      </w:r>
      <w:r>
        <w:tab/>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(c)</w:t>
      </w:r>
      <w:r>
        <w:tab/>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Note"/>
      </w:pPr>
      <w:r>
        <w:t>(d)</w:t>
      </w:r>
      <w:r>
        <w:tab/>
        <w:t>The convergence difference arises because GFS does not recognise doubtful receivables, whereas the operating statement recognises it and classifies doubtful receivables as other economic flows.</w:t>
      </w:r>
    </w:p>
    <w:p w:rsidR="00DF17E9" w:rsidRDefault="00DF17E9" w:rsidP="00044843">
      <w:pPr>
        <w:pStyle w:val="Note"/>
      </w:pPr>
      <w:r>
        <w:t>(e)</w:t>
      </w:r>
      <w:r>
        <w:tab/>
        <w:t>The convergence difference arises because the amount of net assets (and therefore the change in carrying amount of net assets) of other sector entities determined under GFS principles and rules differs from the carrying amount of net assets.</w:t>
      </w:r>
    </w:p>
    <w:p w:rsidR="00DF17E9" w:rsidRDefault="00DF17E9" w:rsidP="00044843">
      <w:pPr>
        <w:pStyle w:val="Note"/>
      </w:pPr>
      <w:r>
        <w:t>(f)</w:t>
      </w:r>
      <w:r>
        <w:tab/>
        <w:t>Excludes transactions with owners as owner, therefore excluding non-controlling interest.</w:t>
      </w:r>
    </w:p>
    <w:p w:rsidR="00DF17E9" w:rsidRDefault="00DF17E9" w:rsidP="00044843">
      <w:pPr>
        <w:pStyle w:val="Note"/>
      </w:pPr>
      <w:r>
        <w:t>(g)</w:t>
      </w:r>
      <w:r>
        <w:tab/>
        <w:t>Net gain on equity investments in other sector entities includes doubtful receivables, future tax benefits and deferred tax liability of the PNFC and PFC sectors.</w:t>
      </w:r>
    </w:p>
    <w:p w:rsidR="00DF17E9" w:rsidRDefault="00DF17E9" w:rsidP="00044843"/>
    <w:p w:rsidR="00DF17E9" w:rsidRDefault="00DF17E9" w:rsidP="00044843">
      <w:pPr>
        <w:rPr>
          <w:rFonts w:asciiTheme="majorHAnsi" w:eastAsiaTheme="majorEastAsia" w:hAnsiTheme="majorHAnsi" w:cstheme="majorBidi"/>
          <w:b/>
          <w:bCs/>
          <w:spacing w:val="-2"/>
          <w:szCs w:val="26"/>
        </w:rPr>
      </w:pPr>
      <w:r>
        <w:br w:type="page"/>
      </w:r>
    </w:p>
    <w:p w:rsidR="00044843" w:rsidRPr="00044843" w:rsidRDefault="00DF17E9" w:rsidP="00044843">
      <w:pPr>
        <w:pStyle w:val="Heading3"/>
        <w:tabs>
          <w:tab w:val="right" w:pos="14742"/>
        </w:tabs>
        <w:rPr>
          <w:vertAlign w:val="superscript"/>
          <w:lang w:val="en-US"/>
        </w:rPr>
      </w:pPr>
      <w:r w:rsidRPr="004D122B">
        <w:lastRenderedPageBreak/>
        <w:t>Reconciliation to GFS net worth</w:t>
      </w:r>
      <w:r w:rsidRPr="00645998">
        <w:rPr>
          <w:vertAlign w:val="superscript"/>
        </w:rPr>
        <w:t>(a)</w:t>
      </w:r>
      <w:r>
        <w:tab/>
      </w:r>
      <w:r>
        <w:tab/>
      </w:r>
      <w:r w:rsidRPr="00B31A9B">
        <w:rPr>
          <w:rStyle w:val="TableUnitsChar"/>
        </w:rPr>
        <w:t>($ million)</w:t>
      </w:r>
    </w:p>
    <w:tbl>
      <w:tblPr>
        <w:tblStyle w:val="TableDTFGeneral"/>
        <w:tblW w:w="14740" w:type="dxa"/>
        <w:tblLayout w:type="fixed"/>
        <w:tblLook w:val="02A0" w:firstRow="1" w:lastRow="0" w:firstColumn="1" w:lastColumn="0" w:noHBand="1" w:noVBand="0"/>
      </w:tblPr>
      <w:tblGrid>
        <w:gridCol w:w="3397"/>
        <w:gridCol w:w="1129"/>
        <w:gridCol w:w="1137"/>
        <w:gridCol w:w="1134"/>
        <w:gridCol w:w="1136"/>
        <w:gridCol w:w="1134"/>
        <w:gridCol w:w="1136"/>
        <w:gridCol w:w="1134"/>
        <w:gridCol w:w="1135"/>
        <w:gridCol w:w="1134"/>
        <w:gridCol w:w="1134"/>
      </w:tblGrid>
      <w:tr w:rsidR="00A87C72" w:rsidRPr="00044843"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bottom w:val="nil"/>
            </w:tcBorders>
          </w:tcPr>
          <w:p w:rsidR="00A87C72" w:rsidRPr="00044843" w:rsidRDefault="00A87C72" w:rsidP="00044843">
            <w:pPr>
              <w:spacing w:after="0"/>
              <w:ind w:left="0" w:firstLine="0"/>
              <w:jc w:val="center"/>
              <w:rPr>
                <w:color w:val="FFFFFF"/>
                <w:sz w:val="16"/>
              </w:rPr>
            </w:pPr>
            <w:r w:rsidRPr="00044843">
              <w:rPr>
                <w:color w:val="FFFFFF"/>
                <w:sz w:val="16"/>
              </w:rPr>
              <w:t xml:space="preserve"> </w:t>
            </w:r>
          </w:p>
        </w:tc>
        <w:tc>
          <w:tcPr>
            <w:cnfStyle w:val="000010000000" w:firstRow="0" w:lastRow="0" w:firstColumn="0" w:lastColumn="0" w:oddVBand="1" w:evenVBand="0" w:oddHBand="0" w:evenHBand="0" w:firstRowFirstColumn="0" w:firstRowLastColumn="0" w:lastRowFirstColumn="0" w:lastRowLastColumn="0"/>
            <w:tcW w:w="2266" w:type="dxa"/>
            <w:gridSpan w:val="2"/>
            <w:tcBorders>
              <w:bottom w:val="nil"/>
            </w:tcBorders>
          </w:tcPr>
          <w:p w:rsidR="00A87C72" w:rsidRPr="00044843" w:rsidRDefault="00A87C72" w:rsidP="00A87C72">
            <w:pPr>
              <w:spacing w:after="0"/>
              <w:jc w:val="center"/>
              <w:rPr>
                <w:color w:val="FFFFFF"/>
                <w:sz w:val="16"/>
              </w:rPr>
            </w:pPr>
            <w:r w:rsidRPr="00044843">
              <w:rPr>
                <w:color w:val="FFFFFF"/>
                <w:sz w:val="16"/>
              </w:rPr>
              <w:t xml:space="preserve">General </w:t>
            </w:r>
            <w:r>
              <w:rPr>
                <w:color w:val="FFFFFF"/>
                <w:sz w:val="16"/>
              </w:rPr>
              <w:br/>
            </w:r>
            <w:r w:rsidRPr="00044843">
              <w:rPr>
                <w:color w:val="FFFFFF"/>
                <w:sz w:val="16"/>
              </w:rPr>
              <w:t>government sector</w:t>
            </w:r>
          </w:p>
        </w:tc>
        <w:tc>
          <w:tcPr>
            <w:tcW w:w="2270" w:type="dxa"/>
            <w:gridSpan w:val="2"/>
            <w:tcBorders>
              <w:bottom w:val="nil"/>
            </w:tcBorders>
          </w:tcPr>
          <w:p w:rsidR="00A87C72" w:rsidRPr="00044843" w:rsidRDefault="00A87C72" w:rsidP="00044843">
            <w:pPr>
              <w:spacing w:after="0"/>
              <w:jc w:val="center"/>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Public non-financial corporations</w:t>
            </w:r>
          </w:p>
        </w:tc>
        <w:tc>
          <w:tcPr>
            <w:cnfStyle w:val="000010000000" w:firstRow="0" w:lastRow="0" w:firstColumn="0" w:lastColumn="0" w:oddVBand="1" w:evenVBand="0" w:oddHBand="0" w:evenHBand="0" w:firstRowFirstColumn="0" w:firstRowLastColumn="0" w:lastRowFirstColumn="0" w:lastRowLastColumn="0"/>
            <w:tcW w:w="2270" w:type="dxa"/>
            <w:gridSpan w:val="2"/>
            <w:tcBorders>
              <w:bottom w:val="nil"/>
            </w:tcBorders>
          </w:tcPr>
          <w:p w:rsidR="00A87C72" w:rsidRPr="00044843" w:rsidRDefault="00A87C72" w:rsidP="00A87C72">
            <w:pPr>
              <w:spacing w:after="0"/>
              <w:jc w:val="center"/>
              <w:rPr>
                <w:color w:val="FFFFFF"/>
                <w:sz w:val="16"/>
              </w:rPr>
            </w:pPr>
            <w:r w:rsidRPr="00044843">
              <w:rPr>
                <w:color w:val="FFFFFF"/>
                <w:sz w:val="16"/>
              </w:rPr>
              <w:t xml:space="preserve">Public </w:t>
            </w:r>
            <w:r>
              <w:rPr>
                <w:color w:val="FFFFFF"/>
                <w:sz w:val="16"/>
              </w:rPr>
              <w:br/>
            </w:r>
            <w:r w:rsidRPr="00044843">
              <w:rPr>
                <w:color w:val="FFFFFF"/>
                <w:sz w:val="16"/>
              </w:rPr>
              <w:t>financial corporations</w:t>
            </w:r>
          </w:p>
        </w:tc>
        <w:tc>
          <w:tcPr>
            <w:tcW w:w="2269" w:type="dxa"/>
            <w:gridSpan w:val="2"/>
            <w:tcBorders>
              <w:bottom w:val="nil"/>
            </w:tcBorders>
          </w:tcPr>
          <w:p w:rsidR="00A87C72" w:rsidRPr="00044843" w:rsidRDefault="00A87C72" w:rsidP="00044843">
            <w:pPr>
              <w:spacing w:after="0"/>
              <w:jc w:val="center"/>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Eliminations</w:t>
            </w:r>
          </w:p>
        </w:tc>
        <w:tc>
          <w:tcPr>
            <w:cnfStyle w:val="000010000000" w:firstRow="0" w:lastRow="0" w:firstColumn="0" w:lastColumn="0" w:oddVBand="1" w:evenVBand="0" w:oddHBand="0" w:evenHBand="0" w:firstRowFirstColumn="0" w:firstRowLastColumn="0" w:lastRowFirstColumn="0" w:lastRowLastColumn="0"/>
            <w:tcW w:w="2268" w:type="dxa"/>
            <w:gridSpan w:val="2"/>
            <w:tcBorders>
              <w:bottom w:val="nil"/>
            </w:tcBorders>
          </w:tcPr>
          <w:p w:rsidR="00A87C72" w:rsidRPr="00044843" w:rsidRDefault="00A87C72" w:rsidP="00A87C72">
            <w:pPr>
              <w:spacing w:after="0"/>
              <w:jc w:val="center"/>
              <w:rPr>
                <w:color w:val="FFFFFF"/>
                <w:sz w:val="16"/>
              </w:rPr>
            </w:pPr>
            <w:r>
              <w:rPr>
                <w:color w:val="FFFFFF"/>
                <w:sz w:val="16"/>
              </w:rPr>
              <w:t>S</w:t>
            </w:r>
            <w:r w:rsidRPr="00044843">
              <w:rPr>
                <w:color w:val="FFFFFF"/>
                <w:sz w:val="16"/>
              </w:rPr>
              <w:t>tate of Victoria</w:t>
            </w:r>
          </w:p>
        </w:tc>
      </w:tr>
      <w:tr w:rsidR="00044843" w:rsidRPr="00044843"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bottom w:val="single" w:sz="6" w:space="0" w:color="auto"/>
            </w:tcBorders>
          </w:tcPr>
          <w:p w:rsidR="00044843" w:rsidRPr="00044843" w:rsidRDefault="00044843" w:rsidP="00044843">
            <w:pPr>
              <w:spacing w:after="0"/>
              <w:ind w:left="0" w:firstLine="0"/>
              <w:jc w:val="center"/>
              <w:rPr>
                <w:color w:val="FFFFFF"/>
                <w:sz w:val="16"/>
              </w:rPr>
            </w:pPr>
            <w:r w:rsidRPr="00044843">
              <w:rPr>
                <w:color w:val="FFFFFF"/>
                <w:sz w:val="16"/>
              </w:rPr>
              <w:t xml:space="preserve"> </w:t>
            </w:r>
          </w:p>
        </w:tc>
        <w:tc>
          <w:tcPr>
            <w:cnfStyle w:val="000010000000" w:firstRow="0" w:lastRow="0" w:firstColumn="0" w:lastColumn="0" w:oddVBand="1" w:evenVBand="0" w:oddHBand="0" w:evenHBand="0" w:firstRowFirstColumn="0" w:firstRowLastColumn="0" w:lastRowFirstColumn="0" w:lastRowLastColumn="0"/>
            <w:tcW w:w="1129" w:type="dxa"/>
            <w:tcBorders>
              <w:bottom w:val="single" w:sz="6" w:space="0" w:color="auto"/>
            </w:tcBorders>
          </w:tcPr>
          <w:p w:rsidR="00044843" w:rsidRPr="00044843" w:rsidRDefault="00044843" w:rsidP="00044843">
            <w:pPr>
              <w:spacing w:after="0"/>
              <w:rPr>
                <w:color w:val="FFFFFF"/>
                <w:sz w:val="16"/>
              </w:rPr>
            </w:pPr>
            <w:r w:rsidRPr="00044843">
              <w:rPr>
                <w:color w:val="FFFFFF"/>
                <w:sz w:val="16"/>
              </w:rPr>
              <w:t>2016</w:t>
            </w:r>
          </w:p>
        </w:tc>
        <w:tc>
          <w:tcPr>
            <w:tcW w:w="1137" w:type="dxa"/>
            <w:tcBorders>
              <w:bottom w:val="single" w:sz="6" w:space="0" w:color="auto"/>
            </w:tcBorders>
          </w:tcPr>
          <w:p w:rsidR="00044843" w:rsidRPr="00044843" w:rsidRDefault="00044843"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after="0"/>
              <w:rPr>
                <w:color w:val="FFFFFF"/>
                <w:sz w:val="16"/>
              </w:rPr>
            </w:pPr>
            <w:r w:rsidRPr="00044843">
              <w:rPr>
                <w:color w:val="FFFFFF"/>
                <w:sz w:val="16"/>
              </w:rPr>
              <w:t>2016</w:t>
            </w:r>
          </w:p>
        </w:tc>
        <w:tc>
          <w:tcPr>
            <w:tcW w:w="1136" w:type="dxa"/>
            <w:tcBorders>
              <w:bottom w:val="single" w:sz="6" w:space="0" w:color="auto"/>
            </w:tcBorders>
          </w:tcPr>
          <w:p w:rsidR="00044843" w:rsidRPr="00044843" w:rsidRDefault="00044843"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after="0"/>
              <w:rPr>
                <w:color w:val="FFFFFF"/>
                <w:sz w:val="16"/>
              </w:rPr>
            </w:pPr>
            <w:r w:rsidRPr="00044843">
              <w:rPr>
                <w:color w:val="FFFFFF"/>
                <w:sz w:val="16"/>
              </w:rPr>
              <w:t>2016</w:t>
            </w:r>
          </w:p>
        </w:tc>
        <w:tc>
          <w:tcPr>
            <w:tcW w:w="1136" w:type="dxa"/>
            <w:tcBorders>
              <w:bottom w:val="single" w:sz="6" w:space="0" w:color="auto"/>
            </w:tcBorders>
          </w:tcPr>
          <w:p w:rsidR="00044843" w:rsidRPr="00044843" w:rsidRDefault="00044843"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after="0"/>
              <w:rPr>
                <w:color w:val="FFFFFF"/>
                <w:sz w:val="16"/>
              </w:rPr>
            </w:pPr>
            <w:r w:rsidRPr="00044843">
              <w:rPr>
                <w:color w:val="FFFFFF"/>
                <w:sz w:val="16"/>
              </w:rPr>
              <w:t>2016</w:t>
            </w:r>
          </w:p>
        </w:tc>
        <w:tc>
          <w:tcPr>
            <w:tcW w:w="1135" w:type="dxa"/>
            <w:tcBorders>
              <w:bottom w:val="single" w:sz="6" w:space="0" w:color="auto"/>
            </w:tcBorders>
          </w:tcPr>
          <w:p w:rsidR="00044843" w:rsidRPr="00044843" w:rsidRDefault="00044843"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after="0"/>
              <w:rPr>
                <w:color w:val="FFFFFF"/>
                <w:sz w:val="16"/>
              </w:rPr>
            </w:pPr>
            <w:r w:rsidRPr="00044843">
              <w:rPr>
                <w:color w:val="FFFFFF"/>
                <w:sz w:val="16"/>
              </w:rPr>
              <w:t>2016</w:t>
            </w:r>
          </w:p>
        </w:tc>
        <w:tc>
          <w:tcPr>
            <w:tcW w:w="1134" w:type="dxa"/>
            <w:tcBorders>
              <w:bottom w:val="single" w:sz="6" w:space="0" w:color="auto"/>
            </w:tcBorders>
          </w:tcPr>
          <w:p w:rsidR="00044843" w:rsidRPr="00044843" w:rsidRDefault="00044843"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044843">
              <w:rPr>
                <w:color w:val="FFFFFF"/>
                <w:sz w:val="16"/>
              </w:rPr>
              <w:t>2015</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Borders>
              <w:top w:val="single" w:sz="6" w:space="0" w:color="auto"/>
            </w:tcBorders>
          </w:tcPr>
          <w:p w:rsidR="00044843" w:rsidRPr="00044843" w:rsidRDefault="00044843" w:rsidP="00044843">
            <w:pPr>
              <w:spacing w:before="0" w:after="0"/>
              <w:ind w:left="0" w:firstLine="0"/>
              <w:rPr>
                <w:b/>
                <w:color w:val="000000"/>
                <w:sz w:val="16"/>
                <w:vertAlign w:val="superscript"/>
              </w:rPr>
            </w:pPr>
            <w:r w:rsidRPr="00044843">
              <w:rPr>
                <w:b/>
                <w:color w:val="000000"/>
                <w:sz w:val="16"/>
              </w:rPr>
              <w:t xml:space="preserve">Net worth </w:t>
            </w:r>
            <w:r w:rsidRPr="00044843">
              <w:rPr>
                <w:b/>
                <w:color w:val="000000"/>
                <w:sz w:val="16"/>
                <w:szCs w:val="17"/>
                <w:vertAlign w:val="superscript"/>
              </w:rPr>
              <w:t>(b)(c)</w:t>
            </w:r>
          </w:p>
        </w:tc>
        <w:tc>
          <w:tcPr>
            <w:cnfStyle w:val="000010000000" w:firstRow="0" w:lastRow="0" w:firstColumn="0" w:lastColumn="0" w:oddVBand="1" w:evenVBand="0" w:oddHBand="0" w:evenHBand="0" w:firstRowFirstColumn="0" w:firstRowLastColumn="0" w:lastRowFirstColumn="0" w:lastRowLastColumn="0"/>
            <w:tcW w:w="1129" w:type="dxa"/>
            <w:tcBorders>
              <w:top w:val="single" w:sz="6" w:space="0" w:color="auto"/>
            </w:tcBorders>
          </w:tcPr>
          <w:p w:rsidR="00044843" w:rsidRPr="00044843" w:rsidRDefault="00044843" w:rsidP="00044843">
            <w:pPr>
              <w:spacing w:before="0" w:after="0"/>
              <w:rPr>
                <w:color w:val="000000"/>
                <w:sz w:val="16"/>
              </w:rPr>
            </w:pPr>
            <w:r w:rsidRPr="00044843">
              <w:rPr>
                <w:b/>
                <w:color w:val="000000"/>
                <w:sz w:val="16"/>
              </w:rPr>
              <w:t>151 695</w:t>
            </w:r>
          </w:p>
        </w:tc>
        <w:tc>
          <w:tcPr>
            <w:tcW w:w="1137" w:type="dxa"/>
            <w:tcBorders>
              <w:top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136 391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spacing w:before="0" w:after="0"/>
              <w:rPr>
                <w:color w:val="000000"/>
                <w:sz w:val="16"/>
              </w:rPr>
            </w:pPr>
            <w:r w:rsidRPr="00044843">
              <w:rPr>
                <w:b/>
                <w:color w:val="000000"/>
                <w:sz w:val="16"/>
              </w:rPr>
              <w:t>92 233</w:t>
            </w:r>
          </w:p>
        </w:tc>
        <w:tc>
          <w:tcPr>
            <w:tcW w:w="1136" w:type="dxa"/>
            <w:tcBorders>
              <w:top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79 052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spacing w:before="0" w:after="0"/>
              <w:rPr>
                <w:color w:val="000000"/>
                <w:sz w:val="16"/>
              </w:rPr>
            </w:pPr>
            <w:r w:rsidRPr="00044843">
              <w:rPr>
                <w:b/>
                <w:color w:val="000000"/>
                <w:sz w:val="16"/>
              </w:rPr>
              <w:t>(3 778)</w:t>
            </w:r>
          </w:p>
        </w:tc>
        <w:tc>
          <w:tcPr>
            <w:tcW w:w="1136" w:type="dxa"/>
            <w:tcBorders>
              <w:top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b/>
                <w:color w:val="000000"/>
                <w:sz w:val="16"/>
              </w:rPr>
              <w:t>(794)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spacing w:before="0" w:after="0"/>
              <w:rPr>
                <w:color w:val="000000"/>
                <w:sz w:val="16"/>
              </w:rPr>
            </w:pPr>
            <w:r w:rsidRPr="00044843">
              <w:rPr>
                <w:b/>
                <w:color w:val="000000"/>
                <w:sz w:val="16"/>
              </w:rPr>
              <w:t>(87 858)</w:t>
            </w:r>
          </w:p>
        </w:tc>
        <w:tc>
          <w:tcPr>
            <w:tcW w:w="1135" w:type="dxa"/>
            <w:tcBorders>
              <w:top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(74 684)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tcBorders>
          </w:tcPr>
          <w:p w:rsidR="00044843" w:rsidRPr="00044843" w:rsidRDefault="00044843" w:rsidP="00044843">
            <w:pPr>
              <w:spacing w:before="0" w:after="0"/>
              <w:rPr>
                <w:color w:val="000000"/>
                <w:sz w:val="16"/>
              </w:rPr>
            </w:pPr>
            <w:r w:rsidRPr="00044843">
              <w:rPr>
                <w:b/>
                <w:color w:val="000000"/>
                <w:sz w:val="16"/>
              </w:rPr>
              <w:t>152 291</w:t>
            </w:r>
          </w:p>
        </w:tc>
        <w:tc>
          <w:tcPr>
            <w:tcW w:w="1134" w:type="dxa"/>
            <w:tcBorders>
              <w:top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139 966</w:t>
            </w:r>
          </w:p>
        </w:tc>
      </w:tr>
      <w:tr w:rsidR="00044843" w:rsidRPr="00044843"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0" w:firstLine="0"/>
              <w:rPr>
                <w:color w:val="000000"/>
                <w:sz w:val="16"/>
              </w:rPr>
            </w:pPr>
            <w:r w:rsidRPr="00044843">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color w:val="000000"/>
                <w:sz w:val="16"/>
              </w:rPr>
            </w:pPr>
          </w:p>
        </w:tc>
        <w:tc>
          <w:tcPr>
            <w:tcW w:w="1137"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6"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6"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5"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4"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0" w:firstLine="0"/>
              <w:rPr>
                <w:sz w:val="16"/>
              </w:rPr>
            </w:pPr>
            <w:r w:rsidRPr="00044843">
              <w:rPr>
                <w:i/>
                <w:color w:val="000000"/>
                <w:sz w:val="16"/>
              </w:rPr>
              <w:t xml:space="preserve">Convergence differences: </w:t>
            </w:r>
            <w:r w:rsidRPr="00044843">
              <w:rPr>
                <w:color w:val="000000"/>
                <w:sz w:val="16"/>
                <w:szCs w:val="17"/>
                <w:vertAlign w:val="superscript"/>
              </w:rPr>
              <w:t>(</w:t>
            </w:r>
            <w:r w:rsidRPr="00044843">
              <w:rPr>
                <w:sz w:val="16"/>
                <w:szCs w:val="17"/>
                <w:vertAlign w:val="superscript"/>
              </w:rPr>
              <w:t>d)(e)</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color w:val="000000"/>
                <w:sz w:val="16"/>
              </w:rPr>
            </w:pPr>
          </w:p>
        </w:tc>
        <w:tc>
          <w:tcPr>
            <w:tcW w:w="1137"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6"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6"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5"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jc w:val="left"/>
              <w:rPr>
                <w:color w:val="000000"/>
                <w:sz w:val="16"/>
              </w:rPr>
            </w:pPr>
            <w:r w:rsidRPr="00044843">
              <w:rPr>
                <w:color w:val="000000"/>
                <w:sz w:val="16"/>
              </w:rPr>
              <w:t xml:space="preserve"> </w:t>
            </w:r>
          </w:p>
        </w:tc>
        <w:tc>
          <w:tcPr>
            <w:tcW w:w="1134" w:type="dxa"/>
          </w:tcPr>
          <w:p w:rsidR="00044843" w:rsidRPr="00044843" w:rsidRDefault="00044843"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 xml:space="preserve"> </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9A7483">
            <w:pPr>
              <w:spacing w:before="0" w:after="0"/>
              <w:rPr>
                <w:sz w:val="16"/>
              </w:rPr>
            </w:pPr>
            <w:r w:rsidRPr="00044843">
              <w:rPr>
                <w:color w:val="000000"/>
                <w:sz w:val="16"/>
              </w:rPr>
              <w:t xml:space="preserve">   Relating to net operating balance – </w:t>
            </w:r>
            <w:r w:rsidR="00733FFF">
              <w:rPr>
                <w:color w:val="000000"/>
                <w:sz w:val="16"/>
              </w:rPr>
              <w:br/>
            </w:r>
            <w:r w:rsidRPr="00044843">
              <w:rPr>
                <w:color w:val="000000"/>
                <w:sz w:val="16"/>
              </w:rPr>
              <w:t>PNFC/PFC dividends</w:t>
            </w:r>
            <w:r w:rsidRPr="00044843">
              <w:rPr>
                <w:sz w:val="16"/>
              </w:rPr>
              <w:t xml:space="preserve"> </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color w:val="000000"/>
                <w:sz w:val="16"/>
              </w:rPr>
            </w:pPr>
            <w:r w:rsidRPr="00044843">
              <w:rPr>
                <w:color w:val="000000"/>
                <w:sz w:val="16"/>
              </w:rPr>
              <w:t>..</w:t>
            </w:r>
          </w:p>
        </w:tc>
        <w:tc>
          <w:tcPr>
            <w:tcW w:w="1137"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149</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255</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239</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566</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(387)</w:t>
            </w:r>
          </w:p>
        </w:tc>
        <w:tc>
          <w:tcPr>
            <w:tcW w:w="1135"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(822)</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4"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0" w:firstLine="0"/>
              <w:rPr>
                <w:sz w:val="16"/>
              </w:rPr>
            </w:pPr>
            <w:r w:rsidRPr="00044843">
              <w:rPr>
                <w:color w:val="000000"/>
                <w:sz w:val="16"/>
              </w:rPr>
              <w:t xml:space="preserve">   Non-controlling </w:t>
            </w:r>
            <w:r w:rsidRPr="00044843">
              <w:rPr>
                <w:sz w:val="16"/>
              </w:rPr>
              <w:t>interest</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sz w:val="16"/>
              </w:rPr>
            </w:pPr>
            <w:r w:rsidRPr="00044843">
              <w:rPr>
                <w:color w:val="000000"/>
                <w:sz w:val="16"/>
              </w:rPr>
              <w:t>(50)</w:t>
            </w:r>
          </w:p>
        </w:tc>
        <w:tc>
          <w:tcPr>
            <w:tcW w:w="1137"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(50)</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5"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(50)</w:t>
            </w:r>
          </w:p>
        </w:tc>
        <w:tc>
          <w:tcPr>
            <w:tcW w:w="1134"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(50)</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114" w:hanging="114"/>
              <w:rPr>
                <w:color w:val="000000"/>
                <w:sz w:val="16"/>
                <w:vertAlign w:val="superscript"/>
              </w:rPr>
            </w:pPr>
            <w:r w:rsidRPr="00044843">
              <w:rPr>
                <w:color w:val="000000"/>
                <w:sz w:val="16"/>
              </w:rPr>
              <w:t xml:space="preserve">Doubtful receivables of the general government sector </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sz w:val="16"/>
              </w:rPr>
            </w:pPr>
            <w:r w:rsidRPr="00044843">
              <w:rPr>
                <w:color w:val="000000"/>
                <w:sz w:val="16"/>
              </w:rPr>
              <w:t>930</w:t>
            </w:r>
          </w:p>
        </w:tc>
        <w:tc>
          <w:tcPr>
            <w:tcW w:w="1137"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908</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5"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930</w:t>
            </w:r>
          </w:p>
        </w:tc>
        <w:tc>
          <w:tcPr>
            <w:tcW w:w="1134"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908</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0" w:firstLine="0"/>
              <w:rPr>
                <w:color w:val="000000"/>
                <w:sz w:val="16"/>
              </w:rPr>
            </w:pPr>
            <w:r w:rsidRPr="00044843">
              <w:rPr>
                <w:color w:val="000000"/>
                <w:sz w:val="16"/>
              </w:rPr>
              <w:t>Doubtful receivables of the PNFC/PFC sector</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color w:val="000000"/>
                <w:sz w:val="16"/>
              </w:rPr>
            </w:pPr>
            <w:r w:rsidRPr="00044843">
              <w:rPr>
                <w:color w:val="000000"/>
                <w:sz w:val="16"/>
              </w:rPr>
              <w:t>..</w:t>
            </w:r>
          </w:p>
        </w:tc>
        <w:tc>
          <w:tcPr>
            <w:tcW w:w="1137"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21</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21</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46</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45</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5"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67</w:t>
            </w:r>
          </w:p>
        </w:tc>
        <w:tc>
          <w:tcPr>
            <w:tcW w:w="1134"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66</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0" w:firstLine="0"/>
              <w:rPr>
                <w:color w:val="000000"/>
                <w:sz w:val="16"/>
              </w:rPr>
            </w:pPr>
            <w:r w:rsidRPr="00044843">
              <w:rPr>
                <w:color w:val="000000"/>
                <w:sz w:val="16"/>
              </w:rPr>
              <w:t xml:space="preserve">Future tax benefits of the PNFC/PFC sector </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color w:val="000000"/>
                <w:sz w:val="16"/>
              </w:rPr>
            </w:pPr>
            <w:r w:rsidRPr="00044843">
              <w:rPr>
                <w:color w:val="000000"/>
                <w:sz w:val="16"/>
              </w:rPr>
              <w:t>..</w:t>
            </w:r>
          </w:p>
        </w:tc>
        <w:tc>
          <w:tcPr>
            <w:tcW w:w="1137"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(237)</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(193)</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(1 473)</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(841)</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1 710</w:t>
            </w:r>
          </w:p>
        </w:tc>
        <w:tc>
          <w:tcPr>
            <w:tcW w:w="1135"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1 034</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4"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Pr>
          <w:p w:rsidR="00044843" w:rsidRPr="00044843" w:rsidRDefault="00044843" w:rsidP="00044843">
            <w:pPr>
              <w:spacing w:before="0" w:after="0"/>
              <w:ind w:left="0" w:firstLine="0"/>
              <w:rPr>
                <w:color w:val="000000"/>
                <w:sz w:val="16"/>
              </w:rPr>
            </w:pPr>
            <w:r w:rsidRPr="00044843">
              <w:rPr>
                <w:color w:val="000000"/>
                <w:sz w:val="16"/>
              </w:rPr>
              <w:t>Deferred tax liability of the PNFC/PFC sector</w:t>
            </w:r>
          </w:p>
        </w:tc>
        <w:tc>
          <w:tcPr>
            <w:cnfStyle w:val="000010000000" w:firstRow="0" w:lastRow="0" w:firstColumn="0" w:lastColumn="0" w:oddVBand="1" w:evenVBand="0" w:oddHBand="0" w:evenHBand="0" w:firstRowFirstColumn="0" w:firstRowLastColumn="0" w:lastRowFirstColumn="0" w:lastRowLastColumn="0"/>
            <w:tcW w:w="1129" w:type="dxa"/>
          </w:tcPr>
          <w:p w:rsidR="00044843" w:rsidRPr="00044843" w:rsidRDefault="00044843" w:rsidP="00044843">
            <w:pPr>
              <w:spacing w:before="0" w:after="0"/>
              <w:rPr>
                <w:color w:val="000000"/>
                <w:sz w:val="16"/>
              </w:rPr>
            </w:pPr>
            <w:r w:rsidRPr="00044843">
              <w:rPr>
                <w:color w:val="000000"/>
                <w:sz w:val="16"/>
              </w:rPr>
              <w:t>..</w:t>
            </w:r>
          </w:p>
        </w:tc>
        <w:tc>
          <w:tcPr>
            <w:tcW w:w="1137"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8 591</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8 630</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sz w:val="16"/>
              </w:rPr>
            </w:pPr>
            <w:r w:rsidRPr="00044843">
              <w:rPr>
                <w:color w:val="000000"/>
                <w:sz w:val="16"/>
              </w:rPr>
              <w:t>2</w:t>
            </w:r>
          </w:p>
        </w:tc>
        <w:tc>
          <w:tcPr>
            <w:tcW w:w="1136"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7</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(8 593)</w:t>
            </w:r>
          </w:p>
        </w:tc>
        <w:tc>
          <w:tcPr>
            <w:tcW w:w="1135"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(8 637)</w:t>
            </w:r>
          </w:p>
        </w:tc>
        <w:tc>
          <w:tcPr>
            <w:cnfStyle w:val="000010000000" w:firstRow="0" w:lastRow="0" w:firstColumn="0" w:lastColumn="0" w:oddVBand="1" w:evenVBand="0" w:oddHBand="0" w:evenHBand="0" w:firstRowFirstColumn="0" w:firstRowLastColumn="0" w:lastRowFirstColumn="0" w:lastRowLastColumn="0"/>
            <w:tcW w:w="1134" w:type="dxa"/>
          </w:tcPr>
          <w:p w:rsidR="00044843" w:rsidRPr="00044843" w:rsidRDefault="00044843" w:rsidP="00044843">
            <w:pPr>
              <w:spacing w:before="0" w:after="0"/>
              <w:rPr>
                <w:color w:val="000000"/>
                <w:sz w:val="16"/>
              </w:rPr>
            </w:pPr>
            <w:r w:rsidRPr="00044843">
              <w:rPr>
                <w:color w:val="000000"/>
                <w:sz w:val="16"/>
              </w:rPr>
              <w:t>..</w:t>
            </w:r>
          </w:p>
        </w:tc>
        <w:tc>
          <w:tcPr>
            <w:tcW w:w="1134" w:type="dxa"/>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Borders>
              <w:bottom w:val="nil"/>
            </w:tcBorders>
          </w:tcPr>
          <w:p w:rsidR="00044843" w:rsidRPr="00044843" w:rsidRDefault="00044843" w:rsidP="00044843">
            <w:pPr>
              <w:spacing w:before="0" w:after="0"/>
              <w:ind w:left="0" w:firstLine="0"/>
              <w:rPr>
                <w:color w:val="000000"/>
                <w:sz w:val="16"/>
                <w:vertAlign w:val="superscript"/>
              </w:rPr>
            </w:pPr>
            <w:r w:rsidRPr="00044843">
              <w:rPr>
                <w:color w:val="000000"/>
                <w:sz w:val="16"/>
              </w:rPr>
              <w:t>Investments in other sector entities</w:t>
            </w:r>
            <w:r w:rsidRPr="00044843">
              <w:rPr>
                <w:color w:val="000000"/>
                <w:sz w:val="16"/>
                <w:szCs w:val="17"/>
              </w:rPr>
              <w:t xml:space="preserve"> </w:t>
            </w:r>
            <w:r w:rsidRPr="00044843">
              <w:rPr>
                <w:color w:val="000000"/>
                <w:sz w:val="16"/>
                <w:szCs w:val="17"/>
                <w:vertAlign w:val="superscript"/>
              </w:rPr>
              <w:t>(f)</w:t>
            </w:r>
          </w:p>
        </w:tc>
        <w:tc>
          <w:tcPr>
            <w:cnfStyle w:val="000010000000" w:firstRow="0" w:lastRow="0" w:firstColumn="0" w:lastColumn="0" w:oddVBand="1" w:evenVBand="0" w:oddHBand="0" w:evenHBand="0" w:firstRowFirstColumn="0" w:firstRowLastColumn="0" w:lastRowFirstColumn="0" w:lastRowLastColumn="0"/>
            <w:tcW w:w="1129" w:type="dxa"/>
            <w:tcBorders>
              <w:bottom w:val="nil"/>
            </w:tcBorders>
          </w:tcPr>
          <w:p w:rsidR="00044843" w:rsidRPr="00044843" w:rsidRDefault="00044843" w:rsidP="00044843">
            <w:pPr>
              <w:spacing w:before="0" w:after="0"/>
              <w:rPr>
                <w:color w:val="000000"/>
                <w:sz w:val="16"/>
              </w:rPr>
            </w:pPr>
            <w:r w:rsidRPr="00044843">
              <w:rPr>
                <w:color w:val="000000"/>
                <w:sz w:val="16"/>
              </w:rPr>
              <w:t>6 949</w:t>
            </w:r>
          </w:p>
        </w:tc>
        <w:tc>
          <w:tcPr>
            <w:tcW w:w="1137" w:type="dxa"/>
            <w:tcBorders>
              <w:bottom w:val="nil"/>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7 670</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spacing w:before="0" w:after="0"/>
              <w:rPr>
                <w:color w:val="000000"/>
                <w:sz w:val="16"/>
              </w:rPr>
            </w:pPr>
            <w:r w:rsidRPr="00044843">
              <w:rPr>
                <w:color w:val="000000"/>
                <w:sz w:val="16"/>
              </w:rPr>
              <w:t>..</w:t>
            </w:r>
          </w:p>
        </w:tc>
        <w:tc>
          <w:tcPr>
            <w:tcW w:w="1136" w:type="dxa"/>
            <w:tcBorders>
              <w:bottom w:val="nil"/>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spacing w:before="0" w:after="0"/>
              <w:rPr>
                <w:color w:val="000000"/>
                <w:sz w:val="16"/>
              </w:rPr>
            </w:pPr>
            <w:r w:rsidRPr="00044843">
              <w:rPr>
                <w:color w:val="000000"/>
                <w:sz w:val="16"/>
              </w:rPr>
              <w:t>..</w:t>
            </w:r>
          </w:p>
        </w:tc>
        <w:tc>
          <w:tcPr>
            <w:tcW w:w="1136" w:type="dxa"/>
            <w:tcBorders>
              <w:bottom w:val="nil"/>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spacing w:before="0" w:after="0"/>
              <w:rPr>
                <w:color w:val="000000"/>
                <w:sz w:val="16"/>
              </w:rPr>
            </w:pPr>
            <w:r w:rsidRPr="00044843">
              <w:rPr>
                <w:color w:val="000000"/>
                <w:sz w:val="16"/>
              </w:rPr>
              <w:t>(6 949)</w:t>
            </w:r>
          </w:p>
        </w:tc>
        <w:tc>
          <w:tcPr>
            <w:tcW w:w="1135" w:type="dxa"/>
            <w:tcBorders>
              <w:bottom w:val="nil"/>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(7 670)</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tcPr>
          <w:p w:rsidR="00044843" w:rsidRPr="00044843" w:rsidRDefault="00044843" w:rsidP="00044843">
            <w:pPr>
              <w:spacing w:before="0" w:after="0"/>
              <w:rPr>
                <w:color w:val="000000"/>
                <w:sz w:val="16"/>
              </w:rPr>
            </w:pPr>
            <w:r w:rsidRPr="00044843">
              <w:rPr>
                <w:color w:val="000000"/>
                <w:sz w:val="16"/>
              </w:rPr>
              <w:t>..</w:t>
            </w:r>
          </w:p>
        </w:tc>
        <w:tc>
          <w:tcPr>
            <w:tcW w:w="1134" w:type="dxa"/>
            <w:tcBorders>
              <w:bottom w:val="nil"/>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Borders>
              <w:bottom w:val="single" w:sz="6" w:space="0" w:color="auto"/>
            </w:tcBorders>
          </w:tcPr>
          <w:p w:rsidR="00044843" w:rsidRPr="00044843" w:rsidRDefault="00044843" w:rsidP="00044843">
            <w:pPr>
              <w:spacing w:before="0" w:after="0"/>
              <w:ind w:left="0" w:firstLine="0"/>
              <w:rPr>
                <w:color w:val="000000"/>
                <w:sz w:val="16"/>
                <w:vertAlign w:val="superscript"/>
              </w:rPr>
            </w:pPr>
            <w:r w:rsidRPr="00044843">
              <w:rPr>
                <w:color w:val="000000"/>
                <w:sz w:val="16"/>
              </w:rPr>
              <w:t>Shares and other contributed capital</w:t>
            </w:r>
            <w:r w:rsidRPr="00044843">
              <w:rPr>
                <w:color w:val="000000"/>
                <w:sz w:val="16"/>
                <w:szCs w:val="17"/>
              </w:rPr>
              <w:t xml:space="preserve"> </w:t>
            </w:r>
            <w:r w:rsidRPr="00044843">
              <w:rPr>
                <w:color w:val="000000"/>
                <w:sz w:val="16"/>
                <w:szCs w:val="17"/>
                <w:vertAlign w:val="superscript"/>
              </w:rPr>
              <w:t>(b)</w:t>
            </w:r>
          </w:p>
        </w:tc>
        <w:tc>
          <w:tcPr>
            <w:cnfStyle w:val="000010000000" w:firstRow="0" w:lastRow="0" w:firstColumn="0" w:lastColumn="0" w:oddVBand="1" w:evenVBand="0" w:oddHBand="0" w:evenHBand="0" w:firstRowFirstColumn="0" w:firstRowLastColumn="0" w:lastRowFirstColumn="0" w:lastRowLastColumn="0"/>
            <w:tcW w:w="1129" w:type="dxa"/>
            <w:tcBorders>
              <w:bottom w:val="single" w:sz="6" w:space="0" w:color="auto"/>
            </w:tcBorders>
          </w:tcPr>
          <w:p w:rsidR="00044843" w:rsidRPr="00044843" w:rsidRDefault="00044843" w:rsidP="00044843">
            <w:pPr>
              <w:spacing w:before="0" w:after="0"/>
              <w:rPr>
                <w:color w:val="000000"/>
                <w:sz w:val="16"/>
              </w:rPr>
            </w:pPr>
            <w:r w:rsidRPr="00044843">
              <w:rPr>
                <w:color w:val="000000"/>
                <w:sz w:val="16"/>
              </w:rPr>
              <w:t>..</w:t>
            </w:r>
          </w:p>
        </w:tc>
        <w:tc>
          <w:tcPr>
            <w:tcW w:w="1137" w:type="dxa"/>
            <w:tcBorders>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before="0" w:after="0"/>
              <w:rPr>
                <w:color w:val="000000"/>
                <w:sz w:val="16"/>
              </w:rPr>
            </w:pPr>
            <w:r w:rsidRPr="00044843">
              <w:rPr>
                <w:color w:val="000000"/>
                <w:sz w:val="16"/>
              </w:rPr>
              <w:t>(100 757)</w:t>
            </w:r>
          </w:p>
        </w:tc>
        <w:tc>
          <w:tcPr>
            <w:tcW w:w="1136" w:type="dxa"/>
            <w:tcBorders>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(87 767)</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before="0" w:after="0"/>
              <w:rPr>
                <w:color w:val="000000"/>
                <w:sz w:val="16"/>
              </w:rPr>
            </w:pPr>
            <w:r w:rsidRPr="00044843">
              <w:rPr>
                <w:color w:val="000000"/>
                <w:sz w:val="16"/>
              </w:rPr>
              <w:t>4 965</w:t>
            </w:r>
          </w:p>
        </w:tc>
        <w:tc>
          <w:tcPr>
            <w:tcW w:w="1136" w:type="dxa"/>
            <w:tcBorders>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1 017</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before="0" w:after="0"/>
              <w:rPr>
                <w:color w:val="000000"/>
                <w:sz w:val="16"/>
              </w:rPr>
            </w:pPr>
            <w:r w:rsidRPr="00044843">
              <w:rPr>
                <w:color w:val="000000"/>
                <w:sz w:val="16"/>
              </w:rPr>
              <w:t>95 791</w:t>
            </w:r>
          </w:p>
        </w:tc>
        <w:tc>
          <w:tcPr>
            <w:tcW w:w="1135" w:type="dxa"/>
            <w:tcBorders>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86 750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6" w:space="0" w:color="auto"/>
            </w:tcBorders>
          </w:tcPr>
          <w:p w:rsidR="00044843" w:rsidRPr="00044843" w:rsidRDefault="00044843" w:rsidP="00044843">
            <w:pPr>
              <w:spacing w:before="0" w:after="0"/>
              <w:rPr>
                <w:color w:val="000000"/>
                <w:sz w:val="16"/>
              </w:rPr>
            </w:pPr>
            <w:r w:rsidRPr="00044843">
              <w:rPr>
                <w:color w:val="000000"/>
                <w:sz w:val="16"/>
              </w:rPr>
              <w:t>..</w:t>
            </w:r>
          </w:p>
        </w:tc>
        <w:tc>
          <w:tcPr>
            <w:tcW w:w="1134" w:type="dxa"/>
            <w:tcBorders>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Borders>
              <w:top w:val="single" w:sz="6" w:space="0" w:color="auto"/>
              <w:bottom w:val="single" w:sz="6" w:space="0" w:color="auto"/>
            </w:tcBorders>
          </w:tcPr>
          <w:p w:rsidR="00044843" w:rsidRPr="00044843" w:rsidRDefault="00044843" w:rsidP="00044843">
            <w:pPr>
              <w:spacing w:before="0" w:after="0"/>
              <w:ind w:left="0" w:firstLine="0"/>
              <w:rPr>
                <w:i/>
                <w:color w:val="000000"/>
                <w:sz w:val="16"/>
                <w:vertAlign w:val="superscript"/>
              </w:rPr>
            </w:pPr>
            <w:r w:rsidRPr="00044843">
              <w:rPr>
                <w:i/>
                <w:color w:val="000000"/>
                <w:sz w:val="16"/>
              </w:rPr>
              <w:t>plus total convergence difference:</w:t>
            </w:r>
            <w:r w:rsidRPr="00044843">
              <w:rPr>
                <w:i/>
                <w:color w:val="000000"/>
                <w:sz w:val="16"/>
                <w:szCs w:val="17"/>
              </w:rPr>
              <w:t xml:space="preserve"> </w:t>
            </w:r>
            <w:r w:rsidRPr="00044843">
              <w:rPr>
                <w:i/>
                <w:color w:val="000000"/>
                <w:sz w:val="16"/>
                <w:szCs w:val="17"/>
                <w:vertAlign w:val="superscript"/>
              </w:rPr>
              <w:t>(b)</w:t>
            </w:r>
          </w:p>
        </w:tc>
        <w:tc>
          <w:tcPr>
            <w:cnfStyle w:val="000010000000" w:firstRow="0" w:lastRow="0" w:firstColumn="0" w:lastColumn="0" w:oddVBand="1" w:evenVBand="0" w:oddHBand="0" w:evenHBand="0" w:firstRowFirstColumn="0" w:firstRowLastColumn="0" w:lastRowFirstColumn="0" w:lastRowLastColumn="0"/>
            <w:tcW w:w="1129" w:type="dxa"/>
            <w:tcBorders>
              <w:top w:val="single" w:sz="6" w:space="0" w:color="auto"/>
              <w:bottom w:val="single" w:sz="6" w:space="0" w:color="auto"/>
            </w:tcBorders>
          </w:tcPr>
          <w:p w:rsidR="00044843" w:rsidRPr="00044843" w:rsidRDefault="00044843" w:rsidP="00044843">
            <w:pPr>
              <w:spacing w:before="0" w:after="0"/>
              <w:rPr>
                <w:color w:val="000000"/>
                <w:sz w:val="16"/>
              </w:rPr>
            </w:pPr>
            <w:r w:rsidRPr="00044843">
              <w:rPr>
                <w:color w:val="000000"/>
                <w:sz w:val="16"/>
              </w:rPr>
              <w:t>7 829</w:t>
            </w:r>
          </w:p>
        </w:tc>
        <w:tc>
          <w:tcPr>
            <w:tcW w:w="1137" w:type="dxa"/>
            <w:tcBorders>
              <w:top w:val="single" w:sz="6" w:space="0" w:color="auto"/>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8 528</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spacing w:before="0" w:after="0"/>
              <w:rPr>
                <w:color w:val="000000"/>
                <w:sz w:val="16"/>
              </w:rPr>
            </w:pPr>
            <w:r w:rsidRPr="00044843">
              <w:rPr>
                <w:color w:val="000000"/>
                <w:sz w:val="16"/>
              </w:rPr>
              <w:t>(92 233)</w:t>
            </w:r>
          </w:p>
        </w:tc>
        <w:tc>
          <w:tcPr>
            <w:tcW w:w="1136" w:type="dxa"/>
            <w:tcBorders>
              <w:top w:val="single" w:sz="6" w:space="0" w:color="auto"/>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(79 052)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spacing w:before="0" w:after="0"/>
              <w:rPr>
                <w:color w:val="000000"/>
                <w:sz w:val="16"/>
              </w:rPr>
            </w:pPr>
            <w:r w:rsidRPr="00044843">
              <w:rPr>
                <w:color w:val="000000"/>
                <w:sz w:val="16"/>
              </w:rPr>
              <w:t>3 778</w:t>
            </w:r>
          </w:p>
        </w:tc>
        <w:tc>
          <w:tcPr>
            <w:tcW w:w="1136" w:type="dxa"/>
            <w:tcBorders>
              <w:top w:val="single" w:sz="6" w:space="0" w:color="auto"/>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794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spacing w:before="0" w:after="0"/>
              <w:rPr>
                <w:color w:val="000000"/>
                <w:sz w:val="16"/>
              </w:rPr>
            </w:pPr>
            <w:r w:rsidRPr="00044843">
              <w:rPr>
                <w:color w:val="000000"/>
                <w:sz w:val="16"/>
              </w:rPr>
              <w:t>81 572</w:t>
            </w:r>
          </w:p>
        </w:tc>
        <w:tc>
          <w:tcPr>
            <w:tcW w:w="1135" w:type="dxa"/>
            <w:tcBorders>
              <w:top w:val="single" w:sz="6" w:space="0" w:color="auto"/>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color w:val="000000"/>
                <w:sz w:val="16"/>
              </w:rPr>
              <w:t>70 655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6" w:space="0" w:color="auto"/>
            </w:tcBorders>
          </w:tcPr>
          <w:p w:rsidR="00044843" w:rsidRPr="00044843" w:rsidRDefault="00044843" w:rsidP="00044843">
            <w:pPr>
              <w:spacing w:before="0" w:after="0"/>
              <w:rPr>
                <w:sz w:val="16"/>
              </w:rPr>
            </w:pPr>
            <w:r w:rsidRPr="00044843">
              <w:rPr>
                <w:color w:val="000000"/>
                <w:sz w:val="16"/>
              </w:rPr>
              <w:t>946</w:t>
            </w:r>
          </w:p>
        </w:tc>
        <w:tc>
          <w:tcPr>
            <w:tcW w:w="1134" w:type="dxa"/>
            <w:tcBorders>
              <w:top w:val="single" w:sz="6" w:space="0" w:color="auto"/>
              <w:bottom w:val="single" w:sz="6"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044843">
              <w:rPr>
                <w:color w:val="000000"/>
                <w:sz w:val="16"/>
              </w:rPr>
              <w:t>924</w:t>
            </w:r>
          </w:p>
        </w:tc>
      </w:tr>
      <w:tr w:rsidR="00044843" w:rsidRPr="00044843" w:rsidTr="00044843">
        <w:tc>
          <w:tcPr>
            <w:cnfStyle w:val="001000000000" w:firstRow="0" w:lastRow="0" w:firstColumn="1" w:lastColumn="0" w:oddVBand="0" w:evenVBand="0" w:oddHBand="0" w:evenHBand="0" w:firstRowFirstColumn="0" w:firstRowLastColumn="0" w:lastRowFirstColumn="0" w:lastRowLastColumn="0"/>
            <w:tcW w:w="3397" w:type="dxa"/>
            <w:tcBorders>
              <w:top w:val="single" w:sz="6" w:space="0" w:color="auto"/>
              <w:bottom w:val="single" w:sz="12" w:space="0" w:color="auto"/>
            </w:tcBorders>
          </w:tcPr>
          <w:p w:rsidR="00044843" w:rsidRPr="00044843" w:rsidRDefault="00044843" w:rsidP="00044843">
            <w:pPr>
              <w:spacing w:before="0" w:after="0"/>
              <w:ind w:left="0" w:firstLine="0"/>
              <w:rPr>
                <w:b/>
                <w:color w:val="000000"/>
                <w:sz w:val="16"/>
                <w:vertAlign w:val="superscript"/>
              </w:rPr>
            </w:pPr>
            <w:r w:rsidRPr="00044843">
              <w:rPr>
                <w:b/>
                <w:color w:val="000000"/>
                <w:sz w:val="16"/>
              </w:rPr>
              <w:t>GFS net worth</w:t>
            </w:r>
            <w:r w:rsidRPr="00044843">
              <w:rPr>
                <w:b/>
                <w:color w:val="000000"/>
                <w:sz w:val="16"/>
                <w:szCs w:val="17"/>
              </w:rPr>
              <w:t xml:space="preserve"> </w:t>
            </w:r>
            <w:r w:rsidRPr="00044843">
              <w:rPr>
                <w:b/>
                <w:color w:val="000000"/>
                <w:sz w:val="16"/>
                <w:szCs w:val="17"/>
                <w:vertAlign w:val="superscript"/>
              </w:rPr>
              <w:t>(b)(c)</w:t>
            </w:r>
          </w:p>
        </w:tc>
        <w:tc>
          <w:tcPr>
            <w:cnfStyle w:val="000010000000" w:firstRow="0" w:lastRow="0" w:firstColumn="0" w:lastColumn="0" w:oddVBand="1" w:evenVBand="0" w:oddHBand="0" w:evenHBand="0" w:firstRowFirstColumn="0" w:firstRowLastColumn="0" w:lastRowFirstColumn="0" w:lastRowLastColumn="0"/>
            <w:tcW w:w="1129" w:type="dxa"/>
            <w:tcBorders>
              <w:top w:val="single" w:sz="6" w:space="0" w:color="auto"/>
              <w:bottom w:val="single" w:sz="12" w:space="0" w:color="auto"/>
            </w:tcBorders>
          </w:tcPr>
          <w:p w:rsidR="00044843" w:rsidRPr="00044843" w:rsidRDefault="00044843" w:rsidP="00044843">
            <w:pPr>
              <w:spacing w:before="0" w:after="0"/>
              <w:rPr>
                <w:color w:val="000000"/>
                <w:sz w:val="16"/>
              </w:rPr>
            </w:pPr>
            <w:r w:rsidRPr="00044843">
              <w:rPr>
                <w:b/>
                <w:color w:val="000000"/>
                <w:sz w:val="16"/>
              </w:rPr>
              <w:t>159 524</w:t>
            </w:r>
          </w:p>
        </w:tc>
        <w:tc>
          <w:tcPr>
            <w:tcW w:w="1137" w:type="dxa"/>
            <w:tcBorders>
              <w:top w:val="single" w:sz="6" w:space="0" w:color="auto"/>
              <w:bottom w:val="single" w:sz="12"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144 919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spacing w:before="0" w:after="0"/>
              <w:rPr>
                <w:color w:val="000000"/>
                <w:sz w:val="16"/>
              </w:rPr>
            </w:pPr>
            <w:r w:rsidRPr="00044843">
              <w:rPr>
                <w:b/>
                <w:color w:val="000000"/>
                <w:sz w:val="16"/>
              </w:rPr>
              <w:t>..</w:t>
            </w:r>
          </w:p>
        </w:tc>
        <w:tc>
          <w:tcPr>
            <w:tcW w:w="1136" w:type="dxa"/>
            <w:tcBorders>
              <w:top w:val="single" w:sz="6" w:space="0" w:color="auto"/>
              <w:bottom w:val="single" w:sz="12"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spacing w:before="0" w:after="0"/>
              <w:rPr>
                <w:color w:val="000000"/>
                <w:sz w:val="16"/>
              </w:rPr>
            </w:pPr>
            <w:r w:rsidRPr="00044843">
              <w:rPr>
                <w:b/>
                <w:color w:val="000000"/>
                <w:sz w:val="16"/>
              </w:rPr>
              <w:t>..</w:t>
            </w:r>
          </w:p>
        </w:tc>
        <w:tc>
          <w:tcPr>
            <w:tcW w:w="1136" w:type="dxa"/>
            <w:tcBorders>
              <w:top w:val="single" w:sz="6" w:space="0" w:color="auto"/>
              <w:bottom w:val="single" w:sz="12"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spacing w:before="0" w:after="0"/>
              <w:rPr>
                <w:color w:val="000000"/>
                <w:sz w:val="16"/>
              </w:rPr>
            </w:pPr>
            <w:r w:rsidRPr="00044843">
              <w:rPr>
                <w:b/>
                <w:color w:val="000000"/>
                <w:sz w:val="16"/>
              </w:rPr>
              <w:t>(6 286)</w:t>
            </w:r>
          </w:p>
        </w:tc>
        <w:tc>
          <w:tcPr>
            <w:tcW w:w="1135" w:type="dxa"/>
            <w:tcBorders>
              <w:top w:val="single" w:sz="6" w:space="0" w:color="auto"/>
              <w:bottom w:val="single" w:sz="12"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(4 029)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bottom w:val="single" w:sz="12" w:space="0" w:color="auto"/>
            </w:tcBorders>
          </w:tcPr>
          <w:p w:rsidR="00044843" w:rsidRPr="00044843" w:rsidRDefault="00044843" w:rsidP="00044843">
            <w:pPr>
              <w:spacing w:before="0" w:after="0"/>
              <w:rPr>
                <w:color w:val="000000"/>
                <w:sz w:val="16"/>
              </w:rPr>
            </w:pPr>
            <w:r w:rsidRPr="00044843">
              <w:rPr>
                <w:b/>
                <w:color w:val="000000"/>
                <w:sz w:val="16"/>
              </w:rPr>
              <w:t>153 238</w:t>
            </w:r>
          </w:p>
        </w:tc>
        <w:tc>
          <w:tcPr>
            <w:tcW w:w="1134" w:type="dxa"/>
            <w:tcBorders>
              <w:top w:val="single" w:sz="6" w:space="0" w:color="auto"/>
              <w:bottom w:val="single" w:sz="12" w:space="0" w:color="auto"/>
            </w:tcBorders>
          </w:tcPr>
          <w:p w:rsidR="00044843" w:rsidRPr="00044843" w:rsidRDefault="00044843"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044843">
              <w:rPr>
                <w:b/>
                <w:color w:val="000000"/>
                <w:sz w:val="16"/>
              </w:rPr>
              <w:t>140 890</w:t>
            </w:r>
          </w:p>
        </w:tc>
      </w:tr>
    </w:tbl>
    <w:p w:rsidR="00DF17E9" w:rsidRDefault="00DF17E9" w:rsidP="00044843">
      <w:pPr>
        <w:pStyle w:val="Note"/>
      </w:pPr>
      <w:r>
        <w:t>Notes:</w:t>
      </w:r>
    </w:p>
    <w:p w:rsidR="00DF17E9" w:rsidRDefault="00DF17E9" w:rsidP="00044843">
      <w:pPr>
        <w:pStyle w:val="Note"/>
      </w:pPr>
      <w:r>
        <w:t>(a)</w:t>
      </w:r>
      <w:r>
        <w:tab/>
        <w:t>Determined in accordance with the ABS GFS manual.</w:t>
      </w:r>
    </w:p>
    <w:p w:rsidR="00DF17E9" w:rsidRDefault="00DF17E9" w:rsidP="00044843">
      <w:pPr>
        <w:pStyle w:val="Note"/>
      </w:pPr>
      <w:r>
        <w:t>(b)</w:t>
      </w:r>
      <w:r>
        <w:tab/>
      </w:r>
      <w:r w:rsidRPr="008134DE">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(c)</w:t>
      </w:r>
      <w:r>
        <w:tab/>
      </w:r>
      <w:r w:rsidRPr="008134DE">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Note"/>
      </w:pPr>
      <w:r>
        <w:t>(d)</w:t>
      </w:r>
      <w:r>
        <w:tab/>
        <w:t>The convergence difference in accounts receivable arises because GFS does not recognise doubtful receivables, whereas a provision for doubtful receivables is recognised in the balance sheet.</w:t>
      </w:r>
    </w:p>
    <w:p w:rsidR="00DF17E9" w:rsidRDefault="00DF17E9" w:rsidP="00044843">
      <w:pPr>
        <w:pStyle w:val="Note"/>
      </w:pPr>
      <w:r>
        <w:t>(e)</w:t>
      </w:r>
      <w:r>
        <w:tab/>
        <w:t>The convergence difference arises because the amount of net assets (and therefore the change in carrying amount of net assets) of other sector entities determined under GFS principles and rules differs from the carrying amount of net assets.</w:t>
      </w:r>
    </w:p>
    <w:p w:rsidR="00DF17E9" w:rsidRDefault="00DF17E9" w:rsidP="00044843">
      <w:pPr>
        <w:pStyle w:val="Note"/>
      </w:pPr>
      <w:r>
        <w:t>(f)</w:t>
      </w:r>
      <w:r>
        <w:tab/>
        <w:t>Investments in other sector entities for general government sector includes doubtful receivables, future tax benefits and deferred tax liability of the PNFC and PFC sectors.</w:t>
      </w:r>
    </w:p>
    <w:p w:rsidR="00DF17E9" w:rsidRPr="00C12632" w:rsidRDefault="00DF17E9" w:rsidP="00044843">
      <w:pPr>
        <w:pStyle w:val="Heading3"/>
        <w:tabs>
          <w:tab w:val="right" w:pos="14742"/>
        </w:tabs>
        <w:rPr>
          <w:lang w:val="en-US"/>
        </w:rPr>
      </w:pPr>
      <w:r>
        <w:t>Reconciliation to GFS c</w:t>
      </w:r>
      <w:r w:rsidRPr="004D122B">
        <w:t>ash surplus/(deficit)</w:t>
      </w:r>
      <w:r w:rsidRPr="00645998">
        <w:rPr>
          <w:vertAlign w:val="superscript"/>
        </w:rPr>
        <w:t>(a)</w:t>
      </w:r>
      <w:r>
        <w:tab/>
      </w:r>
      <w:r>
        <w:tab/>
      </w:r>
      <w:r w:rsidRPr="00B31A9B">
        <w:rPr>
          <w:rStyle w:val="TableUnitsChar"/>
        </w:rPr>
        <w:t>($ million)</w:t>
      </w:r>
    </w:p>
    <w:tbl>
      <w:tblPr>
        <w:tblStyle w:val="TableDTFGeneral"/>
        <w:tblW w:w="14741" w:type="dxa"/>
        <w:tblLayout w:type="fixed"/>
        <w:tblLook w:val="02A0" w:firstRow="1" w:lastRow="0" w:firstColumn="1" w:lastColumn="0" w:noHBand="1" w:noVBand="0"/>
      </w:tblPr>
      <w:tblGrid>
        <w:gridCol w:w="3388"/>
        <w:gridCol w:w="1131"/>
        <w:gridCol w:w="1130"/>
        <w:gridCol w:w="8"/>
        <w:gridCol w:w="1124"/>
        <w:gridCol w:w="1145"/>
        <w:gridCol w:w="1132"/>
        <w:gridCol w:w="1137"/>
        <w:gridCol w:w="1132"/>
        <w:gridCol w:w="1137"/>
        <w:gridCol w:w="1132"/>
        <w:gridCol w:w="1145"/>
      </w:tblGrid>
      <w:tr w:rsidR="00A87C72" w:rsidRPr="00C12632"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8" w:type="dxa"/>
          </w:tcPr>
          <w:p w:rsidR="00A87C72" w:rsidRPr="00C12632" w:rsidRDefault="00A87C72" w:rsidP="00044843">
            <w:pPr>
              <w:ind w:left="0" w:firstLine="0"/>
              <w:jc w:val="center"/>
              <w:rPr>
                <w:color w:val="FFFFFF"/>
                <w:sz w:val="16"/>
              </w:rPr>
            </w:pPr>
            <w:r w:rsidRPr="00C12632">
              <w:rPr>
                <w:color w:val="FFFFFF"/>
                <w:sz w:val="16"/>
              </w:rPr>
              <w:t xml:space="preserve"> </w:t>
            </w:r>
          </w:p>
        </w:tc>
        <w:tc>
          <w:tcPr>
            <w:cnfStyle w:val="000010000000" w:firstRow="0" w:lastRow="0" w:firstColumn="0" w:lastColumn="0" w:oddVBand="1" w:evenVBand="0" w:oddHBand="0" w:evenHBand="0" w:firstRowFirstColumn="0" w:firstRowLastColumn="0" w:lastRowFirstColumn="0" w:lastRowLastColumn="0"/>
            <w:tcW w:w="2269" w:type="dxa"/>
            <w:gridSpan w:val="3"/>
          </w:tcPr>
          <w:p w:rsidR="00A87C72" w:rsidRPr="00C12632" w:rsidRDefault="00A87C72" w:rsidP="00A87C72">
            <w:pPr>
              <w:jc w:val="center"/>
              <w:rPr>
                <w:color w:val="FFFFFF"/>
                <w:sz w:val="16"/>
              </w:rPr>
            </w:pPr>
            <w:r>
              <w:rPr>
                <w:color w:val="FFFFFF"/>
                <w:sz w:val="16"/>
              </w:rPr>
              <w:t>G</w:t>
            </w:r>
            <w:r w:rsidRPr="00C12632">
              <w:rPr>
                <w:color w:val="FFFFFF"/>
                <w:sz w:val="16"/>
              </w:rPr>
              <w:t xml:space="preserve">eneral </w:t>
            </w:r>
            <w:r>
              <w:rPr>
                <w:color w:val="FFFFFF"/>
                <w:sz w:val="16"/>
              </w:rPr>
              <w:br/>
            </w:r>
            <w:r w:rsidRPr="00C12632">
              <w:rPr>
                <w:color w:val="FFFFFF"/>
                <w:sz w:val="16"/>
              </w:rPr>
              <w:t>government sector</w:t>
            </w:r>
          </w:p>
        </w:tc>
        <w:tc>
          <w:tcPr>
            <w:tcW w:w="2269" w:type="dxa"/>
            <w:gridSpan w:val="2"/>
          </w:tcPr>
          <w:p w:rsidR="00A87C72" w:rsidRPr="00C12632" w:rsidRDefault="00A87C72"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Public non-financial corporations</w:t>
            </w:r>
          </w:p>
        </w:tc>
        <w:tc>
          <w:tcPr>
            <w:cnfStyle w:val="000010000000" w:firstRow="0" w:lastRow="0" w:firstColumn="0" w:lastColumn="0" w:oddVBand="1" w:evenVBand="0" w:oddHBand="0" w:evenHBand="0" w:firstRowFirstColumn="0" w:firstRowLastColumn="0" w:lastRowFirstColumn="0" w:lastRowLastColumn="0"/>
            <w:tcW w:w="2269" w:type="dxa"/>
            <w:gridSpan w:val="2"/>
          </w:tcPr>
          <w:p w:rsidR="00A87C72" w:rsidRPr="00C12632" w:rsidRDefault="00A87C72" w:rsidP="00A87C72">
            <w:pPr>
              <w:jc w:val="center"/>
              <w:rPr>
                <w:color w:val="FFFFFF"/>
                <w:sz w:val="16"/>
              </w:rPr>
            </w:pPr>
            <w:r w:rsidRPr="00C12632">
              <w:rPr>
                <w:color w:val="FFFFFF"/>
                <w:sz w:val="16"/>
              </w:rPr>
              <w:t xml:space="preserve">Public </w:t>
            </w:r>
            <w:r>
              <w:rPr>
                <w:color w:val="FFFFFF"/>
                <w:sz w:val="16"/>
              </w:rPr>
              <w:br/>
            </w:r>
            <w:r w:rsidRPr="00C12632">
              <w:rPr>
                <w:color w:val="FFFFFF"/>
                <w:sz w:val="16"/>
              </w:rPr>
              <w:t>financial corporations</w:t>
            </w:r>
          </w:p>
        </w:tc>
        <w:tc>
          <w:tcPr>
            <w:tcW w:w="2269" w:type="dxa"/>
            <w:gridSpan w:val="2"/>
          </w:tcPr>
          <w:p w:rsidR="00A87C72" w:rsidRPr="00C12632" w:rsidRDefault="00A87C72" w:rsidP="00044843">
            <w:pPr>
              <w:jc w:val="cente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Eliminations</w:t>
            </w:r>
          </w:p>
        </w:tc>
        <w:tc>
          <w:tcPr>
            <w:cnfStyle w:val="000010000000" w:firstRow="0" w:lastRow="0" w:firstColumn="0" w:lastColumn="0" w:oddVBand="1" w:evenVBand="0" w:oddHBand="0" w:evenHBand="0" w:firstRowFirstColumn="0" w:firstRowLastColumn="0" w:lastRowFirstColumn="0" w:lastRowLastColumn="0"/>
            <w:tcW w:w="2277" w:type="dxa"/>
            <w:gridSpan w:val="2"/>
          </w:tcPr>
          <w:p w:rsidR="00A87C72" w:rsidRPr="00C12632" w:rsidRDefault="00A87C72" w:rsidP="00044843">
            <w:pPr>
              <w:jc w:val="center"/>
              <w:rPr>
                <w:color w:val="FFFFFF"/>
                <w:sz w:val="16"/>
              </w:rPr>
            </w:pPr>
            <w:r w:rsidRPr="00C12632">
              <w:rPr>
                <w:color w:val="FFFFFF"/>
                <w:sz w:val="16"/>
              </w:rPr>
              <w:t>State of Victoria</w:t>
            </w:r>
          </w:p>
        </w:tc>
      </w:tr>
      <w:tr w:rsidR="00DF17E9" w:rsidRPr="00C12632"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8" w:type="dxa"/>
            <w:tcBorders>
              <w:bottom w:val="single" w:sz="6" w:space="0" w:color="auto"/>
            </w:tcBorders>
          </w:tcPr>
          <w:p w:rsidR="00DF17E9" w:rsidRPr="00C12632" w:rsidRDefault="00DF17E9" w:rsidP="00044843">
            <w:pPr>
              <w:ind w:left="0" w:firstLine="0"/>
              <w:jc w:val="center"/>
              <w:rPr>
                <w:color w:val="FFFFFF"/>
                <w:sz w:val="16"/>
              </w:rPr>
            </w:pPr>
            <w:r w:rsidRPr="00C12632">
              <w:rPr>
                <w:color w:val="FFFFFF"/>
                <w:sz w:val="16"/>
              </w:rPr>
              <w:t xml:space="preserve"> </w:t>
            </w:r>
          </w:p>
        </w:tc>
        <w:tc>
          <w:tcPr>
            <w:cnfStyle w:val="000010000000" w:firstRow="0" w:lastRow="0" w:firstColumn="0" w:lastColumn="0" w:oddVBand="1" w:evenVBand="0" w:oddHBand="0" w:evenHBand="0" w:firstRowFirstColumn="0" w:firstRowLastColumn="0" w:lastRowFirstColumn="0" w:lastRowLastColumn="0"/>
            <w:tcW w:w="1131" w:type="dxa"/>
            <w:tcBorders>
              <w:bottom w:val="single" w:sz="6" w:space="0" w:color="auto"/>
            </w:tcBorders>
          </w:tcPr>
          <w:p w:rsidR="00DF17E9" w:rsidRPr="00C12632" w:rsidRDefault="00DF17E9" w:rsidP="00044843">
            <w:pPr>
              <w:rPr>
                <w:color w:val="FFFFFF"/>
                <w:sz w:val="16"/>
              </w:rPr>
            </w:pPr>
            <w:r w:rsidRPr="00C12632">
              <w:rPr>
                <w:color w:val="FFFFFF"/>
                <w:sz w:val="16"/>
              </w:rPr>
              <w:t>2016</w:t>
            </w:r>
          </w:p>
        </w:tc>
        <w:tc>
          <w:tcPr>
            <w:tcW w:w="1130" w:type="dxa"/>
            <w:tcBorders>
              <w:bottom w:val="single" w:sz="6" w:space="0" w:color="auto"/>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single" w:sz="6" w:space="0" w:color="auto"/>
            </w:tcBorders>
          </w:tcPr>
          <w:p w:rsidR="00DF17E9" w:rsidRPr="00C12632" w:rsidRDefault="00DF17E9" w:rsidP="00044843">
            <w:pPr>
              <w:rPr>
                <w:color w:val="FFFFFF"/>
                <w:sz w:val="16"/>
              </w:rPr>
            </w:pPr>
            <w:r w:rsidRPr="00C12632">
              <w:rPr>
                <w:color w:val="FFFFFF"/>
                <w:sz w:val="16"/>
              </w:rPr>
              <w:t>2016</w:t>
            </w:r>
          </w:p>
        </w:tc>
        <w:tc>
          <w:tcPr>
            <w:tcW w:w="1145" w:type="dxa"/>
            <w:tcBorders>
              <w:bottom w:val="single" w:sz="6" w:space="0" w:color="auto"/>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C12632" w:rsidRDefault="00DF17E9" w:rsidP="00044843">
            <w:pPr>
              <w:rPr>
                <w:color w:val="FFFFFF"/>
                <w:sz w:val="16"/>
              </w:rPr>
            </w:pPr>
            <w:r w:rsidRPr="00C12632">
              <w:rPr>
                <w:color w:val="FFFFFF"/>
                <w:sz w:val="16"/>
              </w:rPr>
              <w:t>2016</w:t>
            </w:r>
          </w:p>
        </w:tc>
        <w:tc>
          <w:tcPr>
            <w:tcW w:w="1137" w:type="dxa"/>
            <w:tcBorders>
              <w:bottom w:val="single" w:sz="6" w:space="0" w:color="auto"/>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C12632" w:rsidRDefault="00DF17E9" w:rsidP="00044843">
            <w:pPr>
              <w:rPr>
                <w:color w:val="FFFFFF"/>
                <w:sz w:val="16"/>
              </w:rPr>
            </w:pPr>
            <w:r w:rsidRPr="00C12632">
              <w:rPr>
                <w:color w:val="FFFFFF"/>
                <w:sz w:val="16"/>
              </w:rPr>
              <w:t>2016</w:t>
            </w:r>
          </w:p>
        </w:tc>
        <w:tc>
          <w:tcPr>
            <w:tcW w:w="1137" w:type="dxa"/>
            <w:tcBorders>
              <w:bottom w:val="single" w:sz="6" w:space="0" w:color="auto"/>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2015</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C12632" w:rsidRDefault="00DF17E9" w:rsidP="00044843">
            <w:pPr>
              <w:rPr>
                <w:color w:val="FFFFFF"/>
                <w:sz w:val="16"/>
              </w:rPr>
            </w:pPr>
            <w:r w:rsidRPr="00C12632">
              <w:rPr>
                <w:color w:val="FFFFFF"/>
                <w:sz w:val="16"/>
              </w:rPr>
              <w:t>2016</w:t>
            </w:r>
          </w:p>
        </w:tc>
        <w:tc>
          <w:tcPr>
            <w:tcW w:w="1145" w:type="dxa"/>
            <w:tcBorders>
              <w:bottom w:val="single" w:sz="6" w:space="0" w:color="auto"/>
            </w:tcBorders>
          </w:tcPr>
          <w:p w:rsidR="00DF17E9" w:rsidRPr="00C12632"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6"/>
              </w:rPr>
            </w:pPr>
            <w:r w:rsidRPr="00C12632">
              <w:rPr>
                <w:color w:val="FFFFFF"/>
                <w:sz w:val="16"/>
              </w:rPr>
              <w:t>2015</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388" w:type="dxa"/>
            <w:tcBorders>
              <w:top w:val="single" w:sz="6" w:space="0" w:color="auto"/>
            </w:tcBorders>
          </w:tcPr>
          <w:p w:rsidR="00DF17E9" w:rsidRPr="00C12632" w:rsidRDefault="00DF17E9" w:rsidP="00044843">
            <w:pPr>
              <w:spacing w:before="0" w:after="0"/>
              <w:ind w:left="113" w:hanging="113"/>
              <w:rPr>
                <w:b/>
                <w:color w:val="000000"/>
                <w:sz w:val="16"/>
                <w:vertAlign w:val="superscript"/>
              </w:rPr>
            </w:pPr>
            <w:r w:rsidRPr="00C12632">
              <w:rPr>
                <w:b/>
                <w:color w:val="000000"/>
                <w:sz w:val="16"/>
              </w:rPr>
              <w:t xml:space="preserve">Cash surplus/(deficit) </w:t>
            </w:r>
            <w:r w:rsidRPr="00C12632">
              <w:rPr>
                <w:b/>
                <w:color w:val="000000"/>
                <w:sz w:val="16"/>
                <w:szCs w:val="17"/>
                <w:vertAlign w:val="superscript"/>
              </w:rPr>
              <w:t>(b)(c)(d)</w:t>
            </w:r>
          </w:p>
        </w:tc>
        <w:tc>
          <w:tcPr>
            <w:cnfStyle w:val="000010000000" w:firstRow="0" w:lastRow="0" w:firstColumn="0" w:lastColumn="0" w:oddVBand="1" w:evenVBand="0" w:oddHBand="0" w:evenHBand="0" w:firstRowFirstColumn="0" w:firstRowLastColumn="0" w:lastRowFirstColumn="0" w:lastRowLastColumn="0"/>
            <w:tcW w:w="1131" w:type="dxa"/>
            <w:tcBorders>
              <w:top w:val="single" w:sz="6" w:space="0" w:color="auto"/>
            </w:tcBorders>
          </w:tcPr>
          <w:p w:rsidR="00DF17E9" w:rsidRPr="00C12632" w:rsidRDefault="00DF17E9" w:rsidP="00044843">
            <w:pPr>
              <w:spacing w:before="0" w:after="0"/>
              <w:rPr>
                <w:color w:val="000000"/>
                <w:sz w:val="16"/>
              </w:rPr>
            </w:pPr>
            <w:r w:rsidRPr="00C12632">
              <w:rPr>
                <w:b/>
                <w:color w:val="000000"/>
                <w:sz w:val="16"/>
              </w:rPr>
              <w:t>1 129</w:t>
            </w:r>
          </w:p>
        </w:tc>
        <w:tc>
          <w:tcPr>
            <w:tcW w:w="1130"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(152)</w:t>
            </w:r>
          </w:p>
        </w:tc>
        <w:tc>
          <w:tcPr>
            <w:cnfStyle w:val="000010000000" w:firstRow="0" w:lastRow="0" w:firstColumn="0" w:lastColumn="0" w:oddVBand="1" w:evenVBand="0" w:oddHBand="0" w:evenHBand="0" w:firstRowFirstColumn="0" w:firstRowLastColumn="0" w:lastRowFirstColumn="0" w:lastRowLastColumn="0"/>
            <w:tcW w:w="1132" w:type="dxa"/>
            <w:gridSpan w:val="2"/>
            <w:tcBorders>
              <w:top w:val="single" w:sz="6" w:space="0" w:color="auto"/>
            </w:tcBorders>
          </w:tcPr>
          <w:p w:rsidR="00DF17E9" w:rsidRPr="00C12632" w:rsidRDefault="00DF17E9" w:rsidP="00044843">
            <w:pPr>
              <w:spacing w:before="0" w:after="0"/>
              <w:rPr>
                <w:sz w:val="16"/>
              </w:rPr>
            </w:pPr>
            <w:r w:rsidRPr="00C12632">
              <w:rPr>
                <w:b/>
                <w:color w:val="000000"/>
                <w:sz w:val="16"/>
              </w:rPr>
              <w:t>(429)</w:t>
            </w:r>
          </w:p>
        </w:tc>
        <w:tc>
          <w:tcPr>
            <w:tcW w:w="1145"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(621)</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tcBorders>
          </w:tcPr>
          <w:p w:rsidR="00DF17E9" w:rsidRPr="00C12632" w:rsidRDefault="00DF17E9" w:rsidP="00044843">
            <w:pPr>
              <w:spacing w:before="0" w:after="0"/>
              <w:rPr>
                <w:sz w:val="16"/>
              </w:rPr>
            </w:pPr>
            <w:r w:rsidRPr="00C12632">
              <w:rPr>
                <w:b/>
                <w:color w:val="000000"/>
                <w:sz w:val="16"/>
              </w:rPr>
              <w:t>849</w:t>
            </w:r>
          </w:p>
        </w:tc>
        <w:tc>
          <w:tcPr>
            <w:tcW w:w="1137"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274</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tcBorders>
          </w:tcPr>
          <w:p w:rsidR="00DF17E9" w:rsidRPr="00C12632" w:rsidRDefault="00DF17E9" w:rsidP="00044843">
            <w:pPr>
              <w:spacing w:before="0" w:after="0"/>
              <w:rPr>
                <w:sz w:val="16"/>
              </w:rPr>
            </w:pPr>
            <w:r w:rsidRPr="00C12632">
              <w:rPr>
                <w:b/>
                <w:color w:val="000000"/>
                <w:sz w:val="16"/>
              </w:rPr>
              <w:t>4</w:t>
            </w:r>
          </w:p>
        </w:tc>
        <w:tc>
          <w:tcPr>
            <w:tcW w:w="1137"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25</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tcBorders>
          </w:tcPr>
          <w:p w:rsidR="00DF17E9" w:rsidRPr="00C12632" w:rsidRDefault="00DF17E9" w:rsidP="00044843">
            <w:pPr>
              <w:spacing w:before="0" w:after="0"/>
              <w:rPr>
                <w:color w:val="000000"/>
                <w:sz w:val="16"/>
              </w:rPr>
            </w:pPr>
            <w:r w:rsidRPr="00C12632">
              <w:rPr>
                <w:b/>
                <w:color w:val="000000"/>
                <w:sz w:val="16"/>
              </w:rPr>
              <w:t>1 554</w:t>
            </w:r>
          </w:p>
        </w:tc>
        <w:tc>
          <w:tcPr>
            <w:tcW w:w="1145" w:type="dxa"/>
            <w:tcBorders>
              <w:top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(474)</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388" w:type="dxa"/>
            <w:tcBorders>
              <w:bottom w:val="nil"/>
            </w:tcBorders>
          </w:tcPr>
          <w:p w:rsidR="00DF17E9" w:rsidRPr="00C12632" w:rsidRDefault="00DF17E9" w:rsidP="00044843">
            <w:pPr>
              <w:spacing w:before="0" w:after="0"/>
              <w:ind w:left="113" w:hanging="113"/>
              <w:rPr>
                <w:sz w:val="16"/>
              </w:rPr>
            </w:pPr>
            <w:r w:rsidRPr="00C12632">
              <w:rPr>
                <w:i/>
                <w:color w:val="000000"/>
                <w:sz w:val="16"/>
              </w:rPr>
              <w:t xml:space="preserve">Convergence differences: </w:t>
            </w:r>
            <w:r w:rsidRPr="00C12632">
              <w:rPr>
                <w:color w:val="000000"/>
                <w:sz w:val="16"/>
                <w:szCs w:val="17"/>
                <w:vertAlign w:val="superscript"/>
              </w:rPr>
              <w:t>(</w:t>
            </w:r>
            <w:r w:rsidRPr="00C12632">
              <w:rPr>
                <w:sz w:val="16"/>
                <w:szCs w:val="17"/>
                <w:vertAlign w:val="superscript"/>
              </w:rPr>
              <w:t>e)(f)</w:t>
            </w:r>
          </w:p>
        </w:tc>
        <w:tc>
          <w:tcPr>
            <w:cnfStyle w:val="000010000000" w:firstRow="0" w:lastRow="0" w:firstColumn="0" w:lastColumn="0" w:oddVBand="1" w:evenVBand="0" w:oddHBand="0" w:evenHBand="0" w:firstRowFirstColumn="0" w:firstRowLastColumn="0" w:lastRowFirstColumn="0" w:lastRowLastColumn="0"/>
            <w:tcW w:w="1131" w:type="dxa"/>
            <w:tcBorders>
              <w:bottom w:val="nil"/>
            </w:tcBorders>
          </w:tcPr>
          <w:p w:rsidR="00DF17E9" w:rsidRPr="00C12632" w:rsidRDefault="00DF17E9" w:rsidP="00044843">
            <w:pPr>
              <w:spacing w:before="0" w:after="0"/>
              <w:rPr>
                <w:color w:val="000000"/>
                <w:sz w:val="16"/>
              </w:rPr>
            </w:pPr>
            <w:r w:rsidRPr="00C12632">
              <w:rPr>
                <w:color w:val="000000"/>
                <w:sz w:val="16"/>
              </w:rPr>
              <w:t xml:space="preserve">          </w:t>
            </w:r>
          </w:p>
        </w:tc>
        <w:tc>
          <w:tcPr>
            <w:tcW w:w="1130" w:type="dxa"/>
            <w:tcBorders>
              <w:bottom w:val="nil"/>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nil"/>
            </w:tcBorders>
          </w:tcPr>
          <w:p w:rsidR="00DF17E9" w:rsidRPr="00C12632" w:rsidRDefault="00DF17E9" w:rsidP="00044843">
            <w:pPr>
              <w:spacing w:before="0" w:after="0"/>
              <w:jc w:val="left"/>
              <w:rPr>
                <w:color w:val="000000"/>
                <w:sz w:val="16"/>
              </w:rPr>
            </w:pPr>
            <w:r w:rsidRPr="00C12632">
              <w:rPr>
                <w:color w:val="000000"/>
                <w:sz w:val="16"/>
              </w:rPr>
              <w:t xml:space="preserve">        </w:t>
            </w:r>
          </w:p>
        </w:tc>
        <w:tc>
          <w:tcPr>
            <w:tcW w:w="1145" w:type="dxa"/>
            <w:tcBorders>
              <w:bottom w:val="nil"/>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2" w:type="dxa"/>
            <w:tcBorders>
              <w:bottom w:val="nil"/>
            </w:tcBorders>
          </w:tcPr>
          <w:p w:rsidR="00DF17E9" w:rsidRPr="00C12632" w:rsidRDefault="00DF17E9" w:rsidP="00044843">
            <w:pPr>
              <w:spacing w:before="0" w:after="0"/>
              <w:jc w:val="left"/>
              <w:rPr>
                <w:color w:val="000000"/>
                <w:sz w:val="16"/>
              </w:rPr>
            </w:pPr>
            <w:r w:rsidRPr="00C12632">
              <w:rPr>
                <w:color w:val="000000"/>
                <w:sz w:val="16"/>
              </w:rPr>
              <w:t xml:space="preserve">       </w:t>
            </w:r>
          </w:p>
        </w:tc>
        <w:tc>
          <w:tcPr>
            <w:tcW w:w="1137" w:type="dxa"/>
            <w:tcBorders>
              <w:bottom w:val="nil"/>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2" w:type="dxa"/>
            <w:tcBorders>
              <w:bottom w:val="nil"/>
            </w:tcBorders>
          </w:tcPr>
          <w:p w:rsidR="00DF17E9" w:rsidRPr="00C12632" w:rsidRDefault="00DF17E9" w:rsidP="00044843">
            <w:pPr>
              <w:spacing w:before="0" w:after="0"/>
              <w:jc w:val="left"/>
              <w:rPr>
                <w:color w:val="000000"/>
                <w:sz w:val="16"/>
              </w:rPr>
            </w:pPr>
            <w:r w:rsidRPr="00C12632">
              <w:rPr>
                <w:color w:val="000000"/>
                <w:sz w:val="16"/>
              </w:rPr>
              <w:t xml:space="preserve">        </w:t>
            </w:r>
          </w:p>
        </w:tc>
        <w:tc>
          <w:tcPr>
            <w:tcW w:w="1137" w:type="dxa"/>
            <w:tcBorders>
              <w:bottom w:val="nil"/>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1132" w:type="dxa"/>
            <w:tcBorders>
              <w:bottom w:val="nil"/>
            </w:tcBorders>
          </w:tcPr>
          <w:p w:rsidR="00DF17E9" w:rsidRPr="00C12632" w:rsidRDefault="00DF17E9" w:rsidP="00044843">
            <w:pPr>
              <w:spacing w:before="0" w:after="0"/>
              <w:jc w:val="left"/>
              <w:rPr>
                <w:color w:val="000000"/>
                <w:sz w:val="16"/>
              </w:rPr>
            </w:pPr>
            <w:r w:rsidRPr="00C12632">
              <w:rPr>
                <w:color w:val="000000"/>
                <w:sz w:val="16"/>
              </w:rPr>
              <w:t xml:space="preserve">        </w:t>
            </w:r>
          </w:p>
        </w:tc>
        <w:tc>
          <w:tcPr>
            <w:tcW w:w="1145" w:type="dxa"/>
            <w:tcBorders>
              <w:bottom w:val="nil"/>
            </w:tcBorders>
          </w:tcPr>
          <w:p w:rsidR="00DF17E9" w:rsidRPr="00C12632" w:rsidRDefault="00DF17E9" w:rsidP="00044843">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 xml:space="preserve">        </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388" w:type="dxa"/>
            <w:tcBorders>
              <w:bottom w:val="single" w:sz="6" w:space="0" w:color="auto"/>
            </w:tcBorders>
          </w:tcPr>
          <w:p w:rsidR="00DF17E9" w:rsidRPr="00C12632" w:rsidRDefault="00DF17E9" w:rsidP="00044843">
            <w:pPr>
              <w:spacing w:before="0" w:after="0"/>
              <w:ind w:left="113" w:hanging="113"/>
              <w:rPr>
                <w:color w:val="000000"/>
                <w:sz w:val="16"/>
              </w:rPr>
            </w:pPr>
            <w:r w:rsidRPr="00C12632">
              <w:rPr>
                <w:color w:val="000000"/>
                <w:sz w:val="16"/>
              </w:rPr>
              <w:t>Less: Acquisitions under finance leases and similar arrangements</w:t>
            </w:r>
          </w:p>
        </w:tc>
        <w:tc>
          <w:tcPr>
            <w:cnfStyle w:val="000010000000" w:firstRow="0" w:lastRow="0" w:firstColumn="0" w:lastColumn="0" w:oddVBand="1" w:evenVBand="0" w:oddHBand="0" w:evenHBand="0" w:firstRowFirstColumn="0" w:firstRowLastColumn="0" w:lastRowFirstColumn="0" w:lastRowLastColumn="0"/>
            <w:tcW w:w="1131" w:type="dxa"/>
            <w:tcBorders>
              <w:bottom w:val="single" w:sz="6" w:space="0" w:color="auto"/>
            </w:tcBorders>
          </w:tcPr>
          <w:p w:rsidR="00DF17E9" w:rsidRPr="00C12632" w:rsidRDefault="00DF17E9" w:rsidP="00044843">
            <w:pPr>
              <w:spacing w:before="0" w:after="0"/>
              <w:rPr>
                <w:color w:val="000000"/>
                <w:sz w:val="16"/>
              </w:rPr>
            </w:pPr>
            <w:r w:rsidRPr="00C12632">
              <w:rPr>
                <w:color w:val="000000"/>
                <w:sz w:val="16"/>
              </w:rPr>
              <w:t>(1 050)</w:t>
            </w:r>
          </w:p>
        </w:tc>
        <w:tc>
          <w:tcPr>
            <w:tcW w:w="1130"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color w:val="000000"/>
                <w:sz w:val="16"/>
              </w:rPr>
              <w:t>(99)</w:t>
            </w:r>
          </w:p>
        </w:tc>
        <w:tc>
          <w:tcPr>
            <w:cnfStyle w:val="000010000000" w:firstRow="0" w:lastRow="0" w:firstColumn="0" w:lastColumn="0" w:oddVBand="1" w:evenVBand="0" w:oddHBand="0" w:evenHBand="0" w:firstRowFirstColumn="0" w:firstRowLastColumn="0" w:lastRowFirstColumn="0" w:lastRowLastColumn="0"/>
            <w:tcW w:w="1132" w:type="dxa"/>
            <w:gridSpan w:val="2"/>
            <w:tcBorders>
              <w:bottom w:val="single" w:sz="6" w:space="0" w:color="auto"/>
            </w:tcBorders>
          </w:tcPr>
          <w:p w:rsidR="00DF17E9" w:rsidRPr="00C12632" w:rsidRDefault="00DF17E9" w:rsidP="00044843">
            <w:pPr>
              <w:spacing w:before="0" w:after="0"/>
              <w:rPr>
                <w:color w:val="000000"/>
                <w:sz w:val="16"/>
              </w:rPr>
            </w:pPr>
            <w:r w:rsidRPr="00C12632">
              <w:rPr>
                <w:color w:val="000000"/>
                <w:sz w:val="16"/>
              </w:rPr>
              <w:t>..</w:t>
            </w:r>
          </w:p>
        </w:tc>
        <w:tc>
          <w:tcPr>
            <w:tcW w:w="1145"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C12632" w:rsidRDefault="00DF17E9" w:rsidP="00044843">
            <w:pPr>
              <w:spacing w:before="0" w:after="0"/>
              <w:rPr>
                <w:color w:val="000000"/>
                <w:sz w:val="16"/>
              </w:rPr>
            </w:pPr>
            <w:r w:rsidRPr="00C12632">
              <w:rPr>
                <w:color w:val="000000"/>
                <w:sz w:val="16"/>
              </w:rPr>
              <w:t>..</w:t>
            </w:r>
          </w:p>
        </w:tc>
        <w:tc>
          <w:tcPr>
            <w:tcW w:w="1137"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C12632" w:rsidRDefault="00DF17E9" w:rsidP="00044843">
            <w:pPr>
              <w:spacing w:before="0" w:after="0"/>
              <w:rPr>
                <w:color w:val="000000"/>
                <w:sz w:val="16"/>
              </w:rPr>
            </w:pPr>
            <w:r w:rsidRPr="00C12632">
              <w:rPr>
                <w:color w:val="000000"/>
                <w:sz w:val="16"/>
              </w:rPr>
              <w:t>..</w:t>
            </w:r>
          </w:p>
        </w:tc>
        <w:tc>
          <w:tcPr>
            <w:tcW w:w="1137"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color w:val="000000"/>
                <w:sz w:val="16"/>
              </w:rPr>
            </w:pPr>
            <w:r w:rsidRPr="00C12632">
              <w:rPr>
                <w:color w:val="000000"/>
                <w:sz w:val="16"/>
              </w:rPr>
              <w:t>..</w:t>
            </w:r>
          </w:p>
        </w:tc>
        <w:tc>
          <w:tcPr>
            <w:cnfStyle w:val="000010000000" w:firstRow="0" w:lastRow="0" w:firstColumn="0" w:lastColumn="0" w:oddVBand="1" w:evenVBand="0" w:oddHBand="0" w:evenHBand="0" w:firstRowFirstColumn="0" w:firstRowLastColumn="0" w:lastRowFirstColumn="0" w:lastRowLastColumn="0"/>
            <w:tcW w:w="1132" w:type="dxa"/>
            <w:tcBorders>
              <w:bottom w:val="single" w:sz="6" w:space="0" w:color="auto"/>
            </w:tcBorders>
          </w:tcPr>
          <w:p w:rsidR="00DF17E9" w:rsidRPr="00C12632" w:rsidRDefault="00DF17E9" w:rsidP="00044843">
            <w:pPr>
              <w:spacing w:before="0" w:after="0"/>
              <w:rPr>
                <w:color w:val="000000"/>
                <w:sz w:val="16"/>
              </w:rPr>
            </w:pPr>
            <w:r w:rsidRPr="00C12632">
              <w:rPr>
                <w:color w:val="000000"/>
                <w:sz w:val="16"/>
              </w:rPr>
              <w:t>(1 050)</w:t>
            </w:r>
          </w:p>
        </w:tc>
        <w:tc>
          <w:tcPr>
            <w:tcW w:w="1145" w:type="dxa"/>
            <w:tcBorders>
              <w:bottom w:val="single" w:sz="6"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color w:val="000000"/>
                <w:sz w:val="16"/>
              </w:rPr>
              <w:t>(99)</w:t>
            </w:r>
          </w:p>
        </w:tc>
      </w:tr>
      <w:tr w:rsidR="00DF17E9" w:rsidRPr="00C12632" w:rsidTr="00044843">
        <w:tc>
          <w:tcPr>
            <w:cnfStyle w:val="001000000000" w:firstRow="0" w:lastRow="0" w:firstColumn="1" w:lastColumn="0" w:oddVBand="0" w:evenVBand="0" w:oddHBand="0" w:evenHBand="0" w:firstRowFirstColumn="0" w:firstRowLastColumn="0" w:lastRowFirstColumn="0" w:lastRowLastColumn="0"/>
            <w:tcW w:w="3388" w:type="dxa"/>
            <w:tcBorders>
              <w:top w:val="single" w:sz="6" w:space="0" w:color="auto"/>
              <w:bottom w:val="single" w:sz="12" w:space="0" w:color="auto"/>
            </w:tcBorders>
          </w:tcPr>
          <w:p w:rsidR="00DF17E9" w:rsidRPr="00C12632" w:rsidRDefault="00DF17E9" w:rsidP="00044843">
            <w:pPr>
              <w:spacing w:before="0" w:after="0"/>
              <w:ind w:left="113" w:hanging="113"/>
              <w:rPr>
                <w:sz w:val="16"/>
              </w:rPr>
            </w:pPr>
            <w:r w:rsidRPr="00C12632">
              <w:rPr>
                <w:b/>
                <w:color w:val="000000"/>
                <w:sz w:val="16"/>
              </w:rPr>
              <w:t>GFS cash surplus/(deficit)</w:t>
            </w:r>
            <w:r w:rsidRPr="00C12632">
              <w:rPr>
                <w:b/>
                <w:color w:val="000000"/>
                <w:sz w:val="16"/>
                <w:szCs w:val="17"/>
                <w:vertAlign w:val="superscript"/>
              </w:rPr>
              <w:t xml:space="preserve"> (b)(c)(d</w:t>
            </w:r>
            <w:r w:rsidRPr="00C12632">
              <w:rPr>
                <w:b/>
                <w:color w:val="000000"/>
                <w:sz w:val="16"/>
                <w:vertAlign w:val="superscript"/>
              </w:rPr>
              <w:t>)</w:t>
            </w:r>
          </w:p>
        </w:tc>
        <w:tc>
          <w:tcPr>
            <w:cnfStyle w:val="000010000000" w:firstRow="0" w:lastRow="0" w:firstColumn="0" w:lastColumn="0" w:oddVBand="1" w:evenVBand="0" w:oddHBand="0" w:evenHBand="0" w:firstRowFirstColumn="0" w:firstRowLastColumn="0" w:lastRowFirstColumn="0" w:lastRowLastColumn="0"/>
            <w:tcW w:w="1131" w:type="dxa"/>
            <w:tcBorders>
              <w:top w:val="single" w:sz="6" w:space="0" w:color="auto"/>
              <w:bottom w:val="single" w:sz="12" w:space="0" w:color="auto"/>
            </w:tcBorders>
          </w:tcPr>
          <w:p w:rsidR="00DF17E9" w:rsidRPr="00C12632" w:rsidRDefault="00DF17E9" w:rsidP="00044843">
            <w:pPr>
              <w:spacing w:before="0" w:after="0"/>
              <w:rPr>
                <w:sz w:val="16"/>
              </w:rPr>
            </w:pPr>
            <w:r w:rsidRPr="00C12632">
              <w:rPr>
                <w:b/>
                <w:color w:val="000000"/>
                <w:sz w:val="16"/>
              </w:rPr>
              <w:t>79</w:t>
            </w:r>
          </w:p>
        </w:tc>
        <w:tc>
          <w:tcPr>
            <w:tcW w:w="1130"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(251)</w:t>
            </w:r>
          </w:p>
        </w:tc>
        <w:tc>
          <w:tcPr>
            <w:cnfStyle w:val="000010000000" w:firstRow="0" w:lastRow="0" w:firstColumn="0" w:lastColumn="0" w:oddVBand="1" w:evenVBand="0" w:oddHBand="0" w:evenHBand="0" w:firstRowFirstColumn="0" w:firstRowLastColumn="0" w:lastRowFirstColumn="0" w:lastRowLastColumn="0"/>
            <w:tcW w:w="1132" w:type="dxa"/>
            <w:gridSpan w:val="2"/>
            <w:tcBorders>
              <w:top w:val="single" w:sz="6" w:space="0" w:color="auto"/>
              <w:bottom w:val="single" w:sz="12" w:space="0" w:color="auto"/>
            </w:tcBorders>
          </w:tcPr>
          <w:p w:rsidR="00DF17E9" w:rsidRPr="00C12632" w:rsidRDefault="00DF17E9" w:rsidP="00044843">
            <w:pPr>
              <w:spacing w:before="0" w:after="0"/>
              <w:rPr>
                <w:sz w:val="16"/>
              </w:rPr>
            </w:pPr>
            <w:r w:rsidRPr="00C12632">
              <w:rPr>
                <w:b/>
                <w:color w:val="000000"/>
                <w:sz w:val="16"/>
              </w:rPr>
              <w:t>(429)</w:t>
            </w:r>
          </w:p>
        </w:tc>
        <w:tc>
          <w:tcPr>
            <w:tcW w:w="1145"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(621)</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bottom w:val="single" w:sz="12" w:space="0" w:color="auto"/>
            </w:tcBorders>
          </w:tcPr>
          <w:p w:rsidR="00DF17E9" w:rsidRPr="00C12632" w:rsidRDefault="00DF17E9" w:rsidP="00044843">
            <w:pPr>
              <w:spacing w:before="0" w:after="0"/>
              <w:rPr>
                <w:sz w:val="16"/>
              </w:rPr>
            </w:pPr>
            <w:r w:rsidRPr="00C12632">
              <w:rPr>
                <w:b/>
                <w:color w:val="000000"/>
                <w:sz w:val="16"/>
              </w:rPr>
              <w:t>849</w:t>
            </w:r>
          </w:p>
        </w:tc>
        <w:tc>
          <w:tcPr>
            <w:tcW w:w="1137"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274</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bottom w:val="single" w:sz="12" w:space="0" w:color="auto"/>
            </w:tcBorders>
          </w:tcPr>
          <w:p w:rsidR="00DF17E9" w:rsidRPr="00C12632" w:rsidRDefault="00DF17E9" w:rsidP="00044843">
            <w:pPr>
              <w:spacing w:before="0" w:after="0"/>
              <w:rPr>
                <w:sz w:val="16"/>
              </w:rPr>
            </w:pPr>
            <w:r w:rsidRPr="00C12632">
              <w:rPr>
                <w:b/>
                <w:color w:val="000000"/>
                <w:sz w:val="16"/>
              </w:rPr>
              <w:t>4</w:t>
            </w:r>
          </w:p>
        </w:tc>
        <w:tc>
          <w:tcPr>
            <w:tcW w:w="1137"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25</w:t>
            </w:r>
          </w:p>
        </w:tc>
        <w:tc>
          <w:tcPr>
            <w:cnfStyle w:val="000010000000" w:firstRow="0" w:lastRow="0" w:firstColumn="0" w:lastColumn="0" w:oddVBand="1" w:evenVBand="0" w:oddHBand="0" w:evenHBand="0" w:firstRowFirstColumn="0" w:firstRowLastColumn="0" w:lastRowFirstColumn="0" w:lastRowLastColumn="0"/>
            <w:tcW w:w="1132" w:type="dxa"/>
            <w:tcBorders>
              <w:top w:val="single" w:sz="6" w:space="0" w:color="auto"/>
              <w:bottom w:val="single" w:sz="12" w:space="0" w:color="auto"/>
            </w:tcBorders>
          </w:tcPr>
          <w:p w:rsidR="00DF17E9" w:rsidRPr="00C12632" w:rsidRDefault="00DF17E9" w:rsidP="00044843">
            <w:pPr>
              <w:spacing w:before="0" w:after="0"/>
              <w:rPr>
                <w:sz w:val="16"/>
              </w:rPr>
            </w:pPr>
            <w:r w:rsidRPr="00C12632">
              <w:rPr>
                <w:b/>
                <w:color w:val="000000"/>
                <w:sz w:val="16"/>
              </w:rPr>
              <w:t>504</w:t>
            </w:r>
          </w:p>
        </w:tc>
        <w:tc>
          <w:tcPr>
            <w:tcW w:w="1145" w:type="dxa"/>
            <w:tcBorders>
              <w:top w:val="single" w:sz="6" w:space="0" w:color="auto"/>
              <w:bottom w:val="single" w:sz="12" w:space="0" w:color="auto"/>
            </w:tcBorders>
          </w:tcPr>
          <w:p w:rsidR="00DF17E9" w:rsidRPr="00C12632" w:rsidRDefault="00DF17E9" w:rsidP="00044843">
            <w:pPr>
              <w:spacing w:before="0" w:after="0"/>
              <w:cnfStyle w:val="000000000000" w:firstRow="0" w:lastRow="0" w:firstColumn="0" w:lastColumn="0" w:oddVBand="0" w:evenVBand="0" w:oddHBand="0" w:evenHBand="0" w:firstRowFirstColumn="0" w:firstRowLastColumn="0" w:lastRowFirstColumn="0" w:lastRowLastColumn="0"/>
              <w:rPr>
                <w:sz w:val="16"/>
              </w:rPr>
            </w:pPr>
            <w:r w:rsidRPr="00C12632">
              <w:rPr>
                <w:b/>
                <w:color w:val="000000"/>
                <w:sz w:val="16"/>
              </w:rPr>
              <w:t>(573)</w:t>
            </w:r>
          </w:p>
        </w:tc>
      </w:tr>
    </w:tbl>
    <w:p w:rsidR="00DF17E9" w:rsidRDefault="00DF17E9" w:rsidP="00044843">
      <w:pPr>
        <w:pStyle w:val="Note"/>
      </w:pPr>
      <w:r>
        <w:t>Notes:</w:t>
      </w:r>
    </w:p>
    <w:p w:rsidR="00DF17E9" w:rsidRDefault="00DF17E9" w:rsidP="00044843">
      <w:pPr>
        <w:pStyle w:val="Note"/>
      </w:pPr>
      <w:r>
        <w:t>(a)</w:t>
      </w:r>
      <w:r>
        <w:tab/>
        <w:t>Determined in accordance with the ABS GFS manual.</w:t>
      </w:r>
    </w:p>
    <w:p w:rsidR="00DF17E9" w:rsidRDefault="00DF17E9" w:rsidP="00044843">
      <w:pPr>
        <w:pStyle w:val="Note"/>
      </w:pPr>
      <w:r>
        <w:t>(b)</w:t>
      </w:r>
      <w:r>
        <w:tab/>
      </w:r>
      <w:r w:rsidRPr="008134DE">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(c</w:t>
      </w:r>
      <w:r w:rsidRPr="008134DE">
        <w:t xml:space="preserve">) </w:t>
      </w:r>
      <w:r>
        <w:tab/>
      </w:r>
      <w:r w:rsidRPr="008134DE">
        <w:t>June 2015 comparative figures have been restated to more consistently reflect the classification of insurance entities' investment income between years.</w:t>
      </w:r>
      <w:r>
        <w:tab/>
      </w:r>
    </w:p>
    <w:p w:rsidR="00DF17E9" w:rsidRDefault="00DF17E9" w:rsidP="00044843">
      <w:pPr>
        <w:pStyle w:val="Note"/>
      </w:pPr>
      <w:r>
        <w:t>(d)</w:t>
      </w:r>
      <w:r>
        <w:tab/>
      </w:r>
      <w:r w:rsidRPr="008134DE">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Note"/>
        <w:sectPr w:rsidR="00DF17E9" w:rsidSect="00044843">
          <w:headerReference w:type="even" r:id="rId269"/>
          <w:headerReference w:type="default" r:id="rId270"/>
          <w:footerReference w:type="even" r:id="rId271"/>
          <w:footerReference w:type="default" r:id="rId272"/>
          <w:pgSz w:w="16838" w:h="11906" w:orient="landscape" w:code="9"/>
          <w:pgMar w:top="1134" w:right="1134" w:bottom="1134" w:left="1134" w:header="624" w:footer="567" w:gutter="0"/>
          <w:cols w:space="708"/>
          <w:docGrid w:linePitch="360"/>
        </w:sectPr>
      </w:pPr>
      <w:r>
        <w:t xml:space="preserve">(e) </w:t>
      </w:r>
      <w:r>
        <w:tab/>
        <w:t>The</w:t>
      </w:r>
      <w:r w:rsidRPr="004A36E2">
        <w:t xml:space="preserve"> </w:t>
      </w:r>
      <w:r>
        <w:t>convergence difference arises because GFS does not recognise acquisitions under finance leases, whereas finance leases is recognised in the cash surplus aggregate of the cash flow statement.</w:t>
      </w:r>
    </w:p>
    <w:p w:rsidR="00DF17E9" w:rsidRPr="00195B47" w:rsidRDefault="00DF17E9" w:rsidP="005C5F28">
      <w:pPr>
        <w:pStyle w:val="Heading2"/>
        <w:spacing w:before="0"/>
        <w:ind w:left="578" w:hanging="578"/>
      </w:pPr>
      <w:bookmarkStart w:id="97" w:name="_Toc462418979"/>
      <w:r w:rsidRPr="00195B47">
        <w:lastRenderedPageBreak/>
        <w:t>Subsequent events</w:t>
      </w:r>
      <w:bookmarkEnd w:id="97"/>
    </w:p>
    <w:p w:rsidR="00DF17E9" w:rsidRPr="007D7730" w:rsidRDefault="00DF17E9" w:rsidP="00044843">
      <w:r w:rsidRPr="007D7730">
        <w:t>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w:t>
      </w:r>
    </w:p>
    <w:p w:rsidR="00DF17E9" w:rsidRPr="007D7730" w:rsidRDefault="00DF17E9" w:rsidP="00044843">
      <w:r w:rsidRPr="007D7730">
        <w:t>Other than the matter</w:t>
      </w:r>
      <w:r>
        <w:t>s</w:t>
      </w:r>
      <w:r w:rsidRPr="007D7730">
        <w:t xml:space="preserve"> below, there are no events that have arisen since 30 June that have significantly affected or may significantly affect the operations, or results, or state of affairs of the State.</w:t>
      </w:r>
    </w:p>
    <w:p w:rsidR="00DF17E9" w:rsidRPr="007D7730" w:rsidRDefault="00DF17E9" w:rsidP="00044843">
      <w:pPr>
        <w:pStyle w:val="Subheading"/>
      </w:pPr>
      <w:r w:rsidRPr="007D7730">
        <w:t>Port of Melbourne lease transaction</w:t>
      </w:r>
    </w:p>
    <w:p w:rsidR="00393611" w:rsidRDefault="00393611" w:rsidP="00393611">
      <w:pPr>
        <w:rPr>
          <w:rFonts w:ascii="Arial" w:hAnsi="Arial" w:cs="Arial"/>
          <w:color w:val="222222"/>
          <w:sz w:val="19"/>
          <w:szCs w:val="19"/>
        </w:rPr>
      </w:pPr>
      <w:r>
        <w:t xml:space="preserve">On 10 March 2016, the </w:t>
      </w:r>
      <w:r w:rsidRPr="007D7730">
        <w:rPr>
          <w:i/>
        </w:rPr>
        <w:t xml:space="preserve">Delivering Victorian Infrastructure (Port </w:t>
      </w:r>
      <w:r>
        <w:rPr>
          <w:i/>
        </w:rPr>
        <w:t xml:space="preserve">of Melbourne Lease Transaction) Bill </w:t>
      </w:r>
      <w:r w:rsidRPr="007D7730">
        <w:rPr>
          <w:i/>
        </w:rPr>
        <w:t>2015</w:t>
      </w:r>
      <w:r>
        <w:t xml:space="preserve"> </w:t>
      </w:r>
      <w:r w:rsidRPr="007D7730">
        <w:t>was passed by the Victorian Parliament.</w:t>
      </w:r>
      <w:r>
        <w:t xml:space="preserve"> </w:t>
      </w:r>
      <w:r w:rsidRPr="007D7730">
        <w:t xml:space="preserve">This </w:t>
      </w:r>
      <w:r>
        <w:t xml:space="preserve">legislation authorises and facilitates </w:t>
      </w:r>
      <w:r w:rsidRPr="007D7730">
        <w:t>the leasing of</w:t>
      </w:r>
      <w:r>
        <w:t xml:space="preserve"> </w:t>
      </w:r>
      <w:r w:rsidRPr="00E070BA">
        <w:t>the land, channels and other infrastructure assets, and the</w:t>
      </w:r>
      <w:r w:rsidRPr="007D7730">
        <w:t xml:space="preserve"> disposal of other assets of the Port of Melbourne Corporation (PoMC) to a private sector entity via a newly created PoMC subsidiary, Port Manager</w:t>
      </w:r>
      <w:r>
        <w:t>,</w:t>
      </w:r>
      <w:r w:rsidRPr="007D7730">
        <w:t xml:space="preserve"> and to amend existing legislation to provide for an appropriate regulatory regime for the Port of Melbourne.</w:t>
      </w:r>
    </w:p>
    <w:p w:rsidR="00393611" w:rsidRDefault="00393611" w:rsidP="00393611">
      <w:r>
        <w:t xml:space="preserve">On 21 March 2016, </w:t>
      </w:r>
      <w:r w:rsidRPr="007D7730">
        <w:t xml:space="preserve">the Victorian Government commenced the formal transaction process for the 50-year lease of Port of Melbourne </w:t>
      </w:r>
      <w:r>
        <w:t xml:space="preserve">assets (comprising land, channels and other infrastructure) </w:t>
      </w:r>
      <w:r w:rsidRPr="007D7730">
        <w:t xml:space="preserve">and disposal of other </w:t>
      </w:r>
      <w:r>
        <w:t xml:space="preserve">minor </w:t>
      </w:r>
      <w:r w:rsidRPr="007D7730">
        <w:t xml:space="preserve">assets of </w:t>
      </w:r>
      <w:r>
        <w:t xml:space="preserve">the former </w:t>
      </w:r>
      <w:r w:rsidRPr="007D7730">
        <w:t>Port of Melbourne Corporation</w:t>
      </w:r>
      <w:r>
        <w:t xml:space="preserve"> (the Port Package).</w:t>
      </w:r>
    </w:p>
    <w:p w:rsidR="00393611" w:rsidRPr="007A5950" w:rsidRDefault="00393611" w:rsidP="00393611">
      <w:r w:rsidRPr="007A5950">
        <w:t xml:space="preserve">On 19 September 2016, the Victorian Government announced that the Lonsdale consortium was the successful bidder for the Port Package. The Lonsdale consortium will pay upfront a consideration of $9.7 billion for the Port Package. This consideration will </w:t>
      </w:r>
      <w:r>
        <w:t>consist of a</w:t>
      </w:r>
      <w:r w:rsidRPr="007A5950">
        <w:t xml:space="preserve"> 50 year</w:t>
      </w:r>
      <w:r>
        <w:t xml:space="preserve"> </w:t>
      </w:r>
      <w:r w:rsidRPr="007A5950">
        <w:t>lease of the land</w:t>
      </w:r>
      <w:r>
        <w:t>,</w:t>
      </w:r>
      <w:r w:rsidRPr="007A5950">
        <w:t xml:space="preserve"> </w:t>
      </w:r>
      <w:r>
        <w:t xml:space="preserve">channels </w:t>
      </w:r>
      <w:r w:rsidRPr="007A5950">
        <w:t xml:space="preserve">and </w:t>
      </w:r>
      <w:r>
        <w:t xml:space="preserve">other infrastructure assets, the purchase of a company holding the commercial operations of the Port of Melbourne and plant and equipment, </w:t>
      </w:r>
      <w:r w:rsidRPr="007A5950">
        <w:t>and an upfront payment of the port licence fee for the first 15 years</w:t>
      </w:r>
      <w:r>
        <w:t xml:space="preserve"> </w:t>
      </w:r>
      <w:r w:rsidRPr="00620834">
        <w:t>(as determined by the Treasurer)</w:t>
      </w:r>
      <w:r w:rsidRPr="007A5950">
        <w:t>. The transaction’s expected completion date is 31</w:t>
      </w:r>
      <w:r w:rsidR="00495E0C">
        <w:t> </w:t>
      </w:r>
      <w:r w:rsidRPr="007A5950">
        <w:t>October 2016.</w:t>
      </w:r>
    </w:p>
    <w:p w:rsidR="00393611" w:rsidRDefault="00393611" w:rsidP="00393611">
      <w:r w:rsidRPr="00620834">
        <w:lastRenderedPageBreak/>
        <w:t xml:space="preserve">As at 30 June 2016, the Port </w:t>
      </w:r>
      <w:r>
        <w:t xml:space="preserve">of Melbourne </w:t>
      </w:r>
      <w:r w:rsidRPr="00620834">
        <w:t xml:space="preserve">assets (land, channels, other infrastructure and property, plant and equipment) have been revalued to reflect the expected </w:t>
      </w:r>
      <w:r>
        <w:t xml:space="preserve">lease </w:t>
      </w:r>
      <w:r w:rsidRPr="00620834">
        <w:t xml:space="preserve">transaction price </w:t>
      </w:r>
      <w:r>
        <w:t>plus</w:t>
      </w:r>
      <w:r w:rsidRPr="00620834">
        <w:t xml:space="preserve"> estimated residual values. The allocation of the </w:t>
      </w:r>
      <w:r>
        <w:t xml:space="preserve">lease </w:t>
      </w:r>
      <w:r w:rsidRPr="00620834">
        <w:t xml:space="preserve">transaction price to the land and infrastructure assets has been determined </w:t>
      </w:r>
      <w:r w:rsidRPr="00620834">
        <w:rPr>
          <w:rFonts w:cs="Helv"/>
        </w:rPr>
        <w:t>based on market driven data where possible and other relevant management assumptions</w:t>
      </w:r>
      <w:r>
        <w:rPr>
          <w:rFonts w:cs="Helv"/>
        </w:rPr>
        <w:t xml:space="preserve">, </w:t>
      </w:r>
      <w:r w:rsidRPr="00620834">
        <w:t>with the remaining value allocated to the channel assets</w:t>
      </w:r>
      <w:r w:rsidRPr="00620834">
        <w:rPr>
          <w:rFonts w:cs="Helv"/>
        </w:rPr>
        <w:t>.</w:t>
      </w:r>
      <w:r w:rsidRPr="00620834">
        <w:t xml:space="preserve"> Property, plant and equipment value</w:t>
      </w:r>
      <w:r>
        <w:t>s</w:t>
      </w:r>
      <w:r w:rsidRPr="00620834">
        <w:t xml:space="preserve"> ha</w:t>
      </w:r>
      <w:r>
        <w:t>ve</w:t>
      </w:r>
      <w:r w:rsidRPr="00620834">
        <w:t xml:space="preserve"> been allocated based on the assessed depreciated replacement cost for these assets. </w:t>
      </w:r>
    </w:p>
    <w:p w:rsidR="00393611" w:rsidRDefault="00393611" w:rsidP="00393611">
      <w:r>
        <w:t>The valuation of the channels and the residual values struck for land, channels and other infrastructure assets at the end of the lease term include management judgements and assumptions that are inherently subject to estimation uncertainty and are based on professional judgement and other factors that are believed to be reasonable under the circumstances. Key assumptions and inputs used in those valuations are:</w:t>
      </w:r>
    </w:p>
    <w:p w:rsidR="00393611" w:rsidRDefault="00393611" w:rsidP="00495E0C">
      <w:pPr>
        <w:pStyle w:val="ListBullet"/>
      </w:pPr>
      <w:r>
        <w:t>discount rates</w:t>
      </w:r>
    </w:p>
    <w:p w:rsidR="00393611" w:rsidRDefault="00393611" w:rsidP="00495E0C">
      <w:pPr>
        <w:pStyle w:val="ListBullet"/>
      </w:pPr>
      <w:r>
        <w:t>projected cash flows after the lease term</w:t>
      </w:r>
    </w:p>
    <w:p w:rsidR="00393611" w:rsidRDefault="00393611" w:rsidP="00495E0C">
      <w:pPr>
        <w:pStyle w:val="ListBullet"/>
      </w:pPr>
      <w:r>
        <w:t>asset useful lives</w:t>
      </w:r>
    </w:p>
    <w:p w:rsidR="00393611" w:rsidRDefault="00393611" w:rsidP="00393611">
      <w:pPr>
        <w:rPr>
          <w:rFonts w:ascii="Arial" w:hAnsi="Arial" w:cs="Arial"/>
          <w:color w:val="222222"/>
          <w:sz w:val="19"/>
          <w:szCs w:val="19"/>
        </w:rPr>
      </w:pPr>
      <w:r w:rsidRPr="00620834">
        <w:t>Further info</w:t>
      </w:r>
      <w:r w:rsidR="00495E0C">
        <w:t>rmation on the valuation of non</w:t>
      </w:r>
      <w:r w:rsidR="00495E0C">
        <w:noBreakHyphen/>
      </w:r>
      <w:r w:rsidRPr="00620834">
        <w:t>financial assets is outlined in note 7.5</w:t>
      </w:r>
      <w:r w:rsidRPr="00620834">
        <w:rPr>
          <w:rFonts w:ascii="Arial" w:hAnsi="Arial" w:cs="Arial"/>
          <w:color w:val="222222"/>
          <w:sz w:val="19"/>
          <w:szCs w:val="19"/>
        </w:rPr>
        <w:t>.</w:t>
      </w:r>
      <w:r>
        <w:rPr>
          <w:rFonts w:ascii="Arial" w:hAnsi="Arial" w:cs="Arial"/>
          <w:color w:val="222222"/>
          <w:sz w:val="19"/>
          <w:szCs w:val="19"/>
        </w:rPr>
        <w:t xml:space="preserve"> </w:t>
      </w:r>
    </w:p>
    <w:p w:rsidR="00DF17E9" w:rsidRPr="006E6553" w:rsidRDefault="00DF17E9" w:rsidP="00044843">
      <w:pPr>
        <w:pStyle w:val="Subheading"/>
      </w:pPr>
      <w:r w:rsidRPr="006E6553">
        <w:t>Recent Victorian floods</w:t>
      </w:r>
    </w:p>
    <w:p w:rsidR="00DF17E9" w:rsidRPr="00346641" w:rsidRDefault="00DF17E9" w:rsidP="00044843">
      <w:r w:rsidRPr="006E6553">
        <w:t>In September 2016, significant rain caused flooding across parts of Victoria. As at the date of this report, the full financial impact of this event on the State of Victoria is yet to be determined as the flood event is still unfolding.</w:t>
      </w:r>
    </w:p>
    <w:p w:rsidR="00495E0C" w:rsidRDefault="00495E0C">
      <w:pPr>
        <w:rPr>
          <w:rFonts w:asciiTheme="majorHAnsi" w:eastAsiaTheme="majorEastAsia" w:hAnsiTheme="majorHAnsi" w:cstheme="majorBidi"/>
          <w:b/>
          <w:spacing w:val="-2"/>
          <w:sz w:val="24"/>
          <w:szCs w:val="26"/>
        </w:rPr>
      </w:pPr>
      <w:bookmarkStart w:id="98" w:name="_Toc462418980"/>
      <w:r>
        <w:br w:type="page"/>
      </w:r>
    </w:p>
    <w:p w:rsidR="00DF17E9" w:rsidRPr="00195B47" w:rsidRDefault="00DF17E9" w:rsidP="00044843">
      <w:pPr>
        <w:pStyle w:val="Heading2"/>
      </w:pPr>
      <w:r w:rsidRPr="00195B47">
        <w:lastRenderedPageBreak/>
        <w:t>Other accounting policies</w:t>
      </w:r>
      <w:bookmarkEnd w:id="98"/>
    </w:p>
    <w:p w:rsidR="00DF17E9" w:rsidRDefault="00DF17E9" w:rsidP="00044843">
      <w:pPr>
        <w:pStyle w:val="Heading3"/>
        <w:tabs>
          <w:tab w:val="right" w:pos="14742"/>
        </w:tabs>
      </w:pPr>
      <w:r w:rsidRPr="001B438B">
        <w:t>How leases are accounted for</w:t>
      </w:r>
    </w:p>
    <w:p w:rsidR="00DF17E9" w:rsidRDefault="00DF17E9" w:rsidP="00044843">
      <w:r>
        <w:t>A lease is a right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DF17E9" w:rsidRPr="001B438B" w:rsidRDefault="00DF17E9" w:rsidP="00044843">
      <w:pPr>
        <w:pStyle w:val="Subheading"/>
      </w:pPr>
      <w:r w:rsidRPr="001B438B">
        <w:t>State as lessor in finance leases</w:t>
      </w:r>
    </w:p>
    <w:p w:rsidR="00DF17E9" w:rsidRDefault="00DF17E9" w:rsidP="00044843">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DF17E9" w:rsidRPr="00195B47" w:rsidRDefault="00DF17E9" w:rsidP="00044843">
      <w:pPr>
        <w:pStyle w:val="Subheading"/>
      </w:pPr>
      <w:r w:rsidRPr="00195B47">
        <w:t>State as lessee under finance leases</w:t>
      </w:r>
    </w:p>
    <w:p w:rsidR="00DF17E9" w:rsidRDefault="00DF17E9" w:rsidP="00044843">
      <w:r>
        <w:t xml:space="preserve">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 </w:t>
      </w:r>
    </w:p>
    <w:p w:rsidR="00DF17E9" w:rsidRDefault="00DF17E9" w:rsidP="00044843">
      <w:r>
        <w:t xml:space="preserve">Contingent rentals associated with finance leases are recognised as an expense in the period in which they are incurred. </w:t>
      </w:r>
    </w:p>
    <w:p w:rsidR="00DF17E9" w:rsidRPr="001B438B" w:rsidRDefault="00DF17E9" w:rsidP="00044843">
      <w:pPr>
        <w:pStyle w:val="Subheading"/>
      </w:pPr>
      <w:r w:rsidRPr="001B438B">
        <w:lastRenderedPageBreak/>
        <w:t>State as lessor under operating leases</w:t>
      </w:r>
    </w:p>
    <w:p w:rsidR="00DF17E9" w:rsidRDefault="00DF17E9" w:rsidP="00044843">
      <w:r>
        <w:t>Rental revenue from operating leases is recognised on a straight line basis over the term of the relevant lease.</w:t>
      </w:r>
    </w:p>
    <w:p w:rsidR="00DF17E9" w:rsidRDefault="00DF17E9" w:rsidP="00044843">
      <w:r>
        <w:t>All incentives for the agreement of a new or renewed operating lease are recognised as an integral part of the net consideration agreed for the use of the leased asset, irrespective of the incentive’s nature or form or the timing of payments. 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rsidR="00DF17E9" w:rsidRPr="001B438B" w:rsidRDefault="00DF17E9" w:rsidP="00044843">
      <w:pPr>
        <w:pStyle w:val="Subheading"/>
      </w:pPr>
      <w:r w:rsidRPr="001B438B">
        <w:t>State as lessee under operating leases</w:t>
      </w:r>
    </w:p>
    <w:p w:rsidR="00DF17E9" w:rsidRDefault="00DF17E9" w:rsidP="00044843">
      <w:r>
        <w:t>All incentives for the agreement of a new or renewed operating lease are recognised as an integral part of the net consideration agreed for the use of the leased asset, irrespective of the incentive’s nature or form or the timing of payments. 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rsidR="00DF17E9" w:rsidRDefault="00DF17E9" w:rsidP="00044843">
      <w:pPr>
        <w:pStyle w:val="Heading3"/>
        <w:tabs>
          <w:tab w:val="right" w:pos="14742"/>
        </w:tabs>
      </w:pPr>
      <w:r w:rsidRPr="001B438B">
        <w:t>Accounting for the goods and services tax</w:t>
      </w:r>
    </w:p>
    <w:p w:rsidR="00DF17E9" w:rsidRDefault="00DF17E9" w:rsidP="00044843">
      <w:r>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rsidR="00DF17E9" w:rsidRDefault="00DF17E9" w:rsidP="00044843">
      <w:r>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rsidR="00DF17E9" w:rsidRDefault="00DF17E9" w:rsidP="00044843">
      <w:pPr>
        <w:pStyle w:val="Heading3"/>
        <w:tabs>
          <w:tab w:val="right" w:pos="14742"/>
        </w:tabs>
      </w:pPr>
      <w:r>
        <w:lastRenderedPageBreak/>
        <w:t>Prospective accounting and reporting changes</w:t>
      </w:r>
    </w:p>
    <w:p w:rsidR="00DF17E9" w:rsidRDefault="00DF17E9" w:rsidP="00044843">
      <w:r>
        <w:t>Certain new and revised accounting standards have been published but are not effective for the 2015</w:t>
      </w:r>
      <w:r>
        <w:noBreakHyphen/>
        <w:t xml:space="preserve">16 reporting period. They include: </w:t>
      </w:r>
    </w:p>
    <w:p w:rsidR="00DF17E9" w:rsidRDefault="00DF17E9" w:rsidP="00044843">
      <w:pPr>
        <w:pStyle w:val="ListBullet"/>
        <w:numPr>
          <w:ilvl w:val="0"/>
          <w:numId w:val="20"/>
        </w:numPr>
        <w:ind w:left="397" w:hanging="397"/>
      </w:pPr>
      <w:r w:rsidDel="008D11A8">
        <w:t xml:space="preserve">AASB 124 </w:t>
      </w:r>
      <w:r w:rsidRPr="008B61E2" w:rsidDel="008D11A8">
        <w:rPr>
          <w:i/>
        </w:rPr>
        <w:t>Related Party Disclosures</w:t>
      </w:r>
      <w:r w:rsidDel="008D11A8">
        <w:t>, operative for reporting periods commencing 1 July 2016. This standard extends the scope of related party disclosures to not</w:t>
      </w:r>
      <w:r w:rsidDel="008D11A8">
        <w:noBreakHyphen/>
        <w:t>for</w:t>
      </w:r>
      <w:r w:rsidDel="008D11A8">
        <w:noBreakHyphen/>
        <w:t>profit public sector entities, which will result in more disclosures in relation to the key management personnel and related party transactions at the entity and State level.</w:t>
      </w:r>
    </w:p>
    <w:p w:rsidR="00DF17E9" w:rsidRDefault="00DF17E9" w:rsidP="00044843">
      <w:pPr>
        <w:pStyle w:val="ListBullet"/>
        <w:numPr>
          <w:ilvl w:val="0"/>
          <w:numId w:val="20"/>
        </w:numPr>
        <w:ind w:left="397" w:hanging="397"/>
      </w:pPr>
      <w:r>
        <w:t xml:space="preserve">AASB 9 </w:t>
      </w:r>
      <w:r w:rsidRPr="008B61E2">
        <w:rPr>
          <w:i/>
        </w:rPr>
        <w:t>Financial Instruments</w:t>
      </w:r>
      <w:r>
        <w:t>, operative for reporting periods commencing 1 January 2018 as revised by AASB 2014</w:t>
      </w:r>
      <w:r>
        <w:noBreakHyphen/>
        <w:t xml:space="preserve">1 </w:t>
      </w:r>
      <w:r w:rsidRPr="008B61E2">
        <w:rPr>
          <w:i/>
        </w:rPr>
        <w:t>Amendments to Australian Accounting Standards</w:t>
      </w:r>
      <w:r>
        <w:t xml:space="preserve"> (Part E </w:t>
      </w:r>
      <w:r w:rsidRPr="008B61E2">
        <w:rPr>
          <w:i/>
        </w:rPr>
        <w:t>Financial Instruments</w:t>
      </w:r>
      <w:r>
        <w:t>). The key changes introduced by AASB 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r w:rsidRPr="008D11A8">
        <w:t xml:space="preserve"> </w:t>
      </w:r>
      <w:r>
        <w:t>The State is reviewing its existing policies to make changes as required.</w:t>
      </w:r>
    </w:p>
    <w:p w:rsidR="00DF17E9" w:rsidRDefault="00DF17E9" w:rsidP="00044843">
      <w:pPr>
        <w:pStyle w:val="ListBullet"/>
        <w:numPr>
          <w:ilvl w:val="0"/>
          <w:numId w:val="20"/>
        </w:numPr>
        <w:ind w:left="397" w:hanging="397"/>
      </w:pPr>
      <w:r>
        <w:t xml:space="preserve">AASB 15 </w:t>
      </w:r>
      <w:r w:rsidRPr="008B61E2">
        <w:rPr>
          <w:i/>
        </w:rPr>
        <w:t>Revenue from Contracts with Customers</w:t>
      </w:r>
      <w:r>
        <w:t>, operative for reporting periods commencing 1 January 2019. The core principle of AASB 15 requires an entity to recognise revenue when the entity satisfies a performance obligation by transferring a promised good or service to a customer. The State is reviewing its existing revenue recognition policy to assess the potential implications arising from AASB 15.</w:t>
      </w:r>
    </w:p>
    <w:p w:rsidR="00DF17E9" w:rsidRDefault="00495E0C" w:rsidP="00044843">
      <w:pPr>
        <w:pStyle w:val="ListBullet"/>
        <w:numPr>
          <w:ilvl w:val="0"/>
          <w:numId w:val="20"/>
        </w:numPr>
        <w:ind w:left="397" w:hanging="397"/>
      </w:pPr>
      <w:r>
        <w:br w:type="column"/>
      </w:r>
      <w:r w:rsidR="00DF17E9" w:rsidRPr="00841A87">
        <w:lastRenderedPageBreak/>
        <w:t xml:space="preserve">AASB 16 </w:t>
      </w:r>
      <w:r w:rsidR="00DF17E9" w:rsidRPr="008B61E2">
        <w:rPr>
          <w:i/>
        </w:rPr>
        <w:t>Leases</w:t>
      </w:r>
      <w:r w:rsidR="00DF17E9" w:rsidRPr="00841A87">
        <w:t>, operative</w:t>
      </w:r>
      <w:r w:rsidR="00DF17E9" w:rsidRPr="000D0B5D">
        <w:t xml:space="preserve"> </w:t>
      </w:r>
      <w:r w:rsidR="00DF17E9" w:rsidRPr="00841A87">
        <w:t xml:space="preserve">for reporting periods beginning from 1 January 2019. The key changes introduced by AASB 16 include the recognition of most operating </w:t>
      </w:r>
      <w:r w:rsidR="00DF17E9" w:rsidRPr="00BC1440">
        <w:t>leases on balance sheet. The State is reviewing its existing policy to assess the potential implications arising from AASB 16.</w:t>
      </w:r>
    </w:p>
    <w:p w:rsidR="00DF17E9" w:rsidRPr="00BC1440" w:rsidRDefault="00DF17E9" w:rsidP="00044843">
      <w:pPr>
        <w:pStyle w:val="ListBullet"/>
        <w:numPr>
          <w:ilvl w:val="0"/>
          <w:numId w:val="20"/>
        </w:numPr>
        <w:ind w:left="397" w:hanging="397"/>
      </w:pPr>
      <w:r w:rsidRPr="006343CC">
        <w:t xml:space="preserve">Amendments to AASB 136 </w:t>
      </w:r>
      <w:r w:rsidRPr="00A26791">
        <w:rPr>
          <w:i/>
        </w:rPr>
        <w:t>Impairment of Assets</w:t>
      </w:r>
      <w:r w:rsidRPr="006343CC">
        <w:t xml:space="preserve"> are operative for reporting periods commencing 1 January 2017. The key change removes references to depreciated replacement cost (DRC) as a measure of value in use for not-for-profit entities. The State has assessed and determined the impact to be minimal, as the current replacement cost method used for public sector assets, under AASB 13 </w:t>
      </w:r>
      <w:r w:rsidRPr="00A26791">
        <w:rPr>
          <w:i/>
        </w:rPr>
        <w:t>Fair Value Measurement</w:t>
      </w:r>
      <w:r w:rsidRPr="006343CC">
        <w:t>, is the same as DRC.</w:t>
      </w:r>
    </w:p>
    <w:p w:rsidR="00DF17E9" w:rsidRDefault="00DF17E9" w:rsidP="00044843">
      <w:r w:rsidRPr="00BC1440">
        <w:t>Several other amending standards and AASB interpretations have been issued that apply to future reporting periods</w:t>
      </w:r>
      <w:r>
        <w:t>, but are considered to have limited impact on public sector reporting.</w:t>
      </w:r>
    </w:p>
    <w:p w:rsidR="00DF17E9" w:rsidRDefault="00DF17E9" w:rsidP="00044843">
      <w:r>
        <w:t>There is no intention to early adopt the above accounting standards.</w:t>
      </w:r>
    </w:p>
    <w:p w:rsidR="00DF17E9" w:rsidRDefault="00DF17E9" w:rsidP="00044843">
      <w:r>
        <w:t>The</w:t>
      </w:r>
      <w:r w:rsidRPr="00B77107">
        <w:t xml:space="preserve"> Australian Bureau of Statistics (ABS) </w:t>
      </w:r>
      <w:r>
        <w:t xml:space="preserve">recently </w:t>
      </w:r>
      <w:r w:rsidRPr="00B77107">
        <w:t xml:space="preserve">released a new manual, </w:t>
      </w:r>
      <w:r w:rsidRPr="00344A79">
        <w:rPr>
          <w:i/>
        </w:rPr>
        <w:t xml:space="preserve">Australian System of Government Finance Statistics: Concepts, Sources and Methods 2015 </w:t>
      </w:r>
      <w:r w:rsidRPr="00472541">
        <w:t>on 23 December 2015</w:t>
      </w:r>
      <w:r>
        <w:t>. For the purpose of financial reporting under AASB 1049, the new manual will apply for reporting periods beginning from 1 July 2018. The State will assess the potential reporting implications of the amendments.</w:t>
      </w:r>
    </w:p>
    <w:p w:rsidR="00DF17E9" w:rsidRDefault="00DF17E9">
      <w:pPr>
        <w:rPr>
          <w:rFonts w:asciiTheme="majorHAnsi" w:eastAsiaTheme="majorEastAsia" w:hAnsiTheme="majorHAnsi" w:cstheme="majorBidi"/>
          <w:b/>
          <w:spacing w:val="-2"/>
          <w:sz w:val="24"/>
          <w:szCs w:val="26"/>
        </w:rPr>
      </w:pPr>
      <w:r>
        <w:br w:type="page"/>
      </w:r>
    </w:p>
    <w:p w:rsidR="00DF17E9" w:rsidRPr="00E83A5A" w:rsidRDefault="00DF17E9" w:rsidP="00044843">
      <w:pPr>
        <w:pStyle w:val="Heading2"/>
      </w:pPr>
      <w:bookmarkStart w:id="99" w:name="_Toc462418981"/>
      <w:r w:rsidRPr="00E83A5A">
        <w:lastRenderedPageBreak/>
        <w:t>Controlled entities</w:t>
      </w:r>
      <w:bookmarkEnd w:id="99"/>
    </w:p>
    <w:p w:rsidR="005C5F28" w:rsidRDefault="00DF17E9" w:rsidP="005C5F28">
      <w:pPr>
        <w:spacing w:after="60"/>
      </w:pPr>
      <w:r w:rsidRPr="00002CA0">
        <w:t xml:space="preserve">The table </w:t>
      </w:r>
      <w:r>
        <w:t xml:space="preserve">below </w:t>
      </w:r>
      <w:r w:rsidRPr="00002CA0">
        <w:t>contain</w:t>
      </w:r>
      <w:r>
        <w:t>s</w:t>
      </w:r>
      <w:r w:rsidRPr="00002CA0">
        <w:t xml:space="preserve"> a list of significant controlled entities which have been consolidated for the purposes of the financial report. Unless otherwise noted below, all such entities are wholly</w:t>
      </w:r>
      <w:r>
        <w:t>-</w:t>
      </w:r>
      <w:r w:rsidRPr="00002CA0">
        <w:t>owned.</w:t>
      </w:r>
      <w:r>
        <w:t xml:space="preserve"> The entities below may include additional consolidated entities, for which only the parent entity has been listed.</w:t>
      </w:r>
    </w:p>
    <w:p w:rsidR="005C5F28" w:rsidRDefault="005C5F28" w:rsidP="005C5F28">
      <w:pPr>
        <w:spacing w:after="170"/>
      </w:pPr>
      <w:r>
        <w:br w:type="column"/>
      </w:r>
    </w:p>
    <w:p w:rsidR="00DF17E9" w:rsidRDefault="00DF17E9" w:rsidP="005C5F28">
      <w:pPr>
        <w:spacing w:after="60"/>
      </w:pPr>
      <w:r w:rsidRPr="00865C24">
        <w:t xml:space="preserve">The principal activities of the controlled entities reflect the three sectors of government they are within as set out in </w:t>
      </w:r>
      <w:r>
        <w:t xml:space="preserve">the reporting structure under </w:t>
      </w:r>
      <w:r w:rsidRPr="00FD13C0">
        <w:t>Public sector terms explained (refer to page 24).</w:t>
      </w:r>
      <w:r>
        <w:t xml:space="preserve"> Further, </w:t>
      </w:r>
      <w:r w:rsidRPr="00FD13C0">
        <w:t>Note 3.6 Government purpose classification</w:t>
      </w:r>
      <w:r>
        <w:t xml:space="preserve"> reflects the broad objectives of these controlled entities.</w:t>
      </w:r>
    </w:p>
    <w:p w:rsidR="00DF17E9" w:rsidRDefault="00DF17E9" w:rsidP="00044843"/>
    <w:p w:rsidR="00DF17E9" w:rsidRDefault="00DF17E9" w:rsidP="00703BF5">
      <w:pPr>
        <w:spacing w:after="60"/>
        <w:sectPr w:rsidR="00DF17E9" w:rsidSect="00044843">
          <w:headerReference w:type="even" r:id="rId273"/>
          <w:headerReference w:type="default" r:id="rId274"/>
          <w:footerReference w:type="even" r:id="rId275"/>
          <w:footerReference w:type="default" r:id="rId276"/>
          <w:pgSz w:w="11906" w:h="16838" w:code="9"/>
          <w:pgMar w:top="1138" w:right="1138" w:bottom="1138" w:left="1138" w:header="619" w:footer="562" w:gutter="0"/>
          <w:cols w:num="2" w:space="708"/>
          <w:docGrid w:linePitch="360"/>
        </w:sectPr>
      </w:pPr>
    </w:p>
    <w:p w:rsidR="00DF17E9" w:rsidRDefault="00DF17E9" w:rsidP="00044843">
      <w:pPr>
        <w:pStyle w:val="ControlledEntitiesHeading1"/>
        <w:sectPr w:rsidR="00DF17E9" w:rsidSect="007A0115">
          <w:footerReference w:type="even" r:id="rId277"/>
          <w:type w:val="continuous"/>
          <w:pgSz w:w="11906" w:h="16838" w:code="9"/>
          <w:pgMar w:top="1134" w:right="1134" w:bottom="1134" w:left="1134" w:header="624" w:footer="567" w:gutter="0"/>
          <w:cols w:space="708"/>
          <w:docGrid w:linePitch="360"/>
        </w:sectPr>
      </w:pPr>
      <w:r>
        <w:lastRenderedPageBreak/>
        <w:t>General government</w:t>
      </w:r>
    </w:p>
    <w:p w:rsidR="00DF17E9" w:rsidRDefault="00DF17E9" w:rsidP="00044843">
      <w:pPr>
        <w:pStyle w:val="ControlledEntitiesHeading2"/>
      </w:pPr>
      <w:r>
        <w:lastRenderedPageBreak/>
        <w:t>Department of Education and Training</w:t>
      </w:r>
    </w:p>
    <w:p w:rsidR="00DF17E9" w:rsidRDefault="00DF17E9" w:rsidP="00044843">
      <w:pPr>
        <w:pStyle w:val="ControlledEntitiesText"/>
      </w:pPr>
      <w:r>
        <w:t xml:space="preserve">Adult Community and Further Education Board </w:t>
      </w:r>
    </w:p>
    <w:p w:rsidR="00DF17E9" w:rsidRDefault="00DF17E9" w:rsidP="00044843">
      <w:pPr>
        <w:pStyle w:val="ControlledEntitiesText"/>
      </w:pPr>
      <w:r>
        <w:t xml:space="preserve">Adult Multicultural Education Services </w:t>
      </w:r>
    </w:p>
    <w:p w:rsidR="00DF17E9" w:rsidRDefault="00DF17E9" w:rsidP="00044843">
      <w:pPr>
        <w:pStyle w:val="ControlledEntitiesText"/>
      </w:pPr>
      <w:r>
        <w:t xml:space="preserve">International Fibre Centre Limited </w:t>
      </w:r>
    </w:p>
    <w:p w:rsidR="00DF17E9" w:rsidRDefault="00DF17E9" w:rsidP="00044843">
      <w:pPr>
        <w:pStyle w:val="ControlledEntitiesText"/>
      </w:pPr>
      <w:r>
        <w:t>TAFEs including:</w:t>
      </w:r>
    </w:p>
    <w:p w:rsidR="00DF17E9" w:rsidRPr="00582562" w:rsidRDefault="00DF17E9" w:rsidP="00044843">
      <w:pPr>
        <w:pStyle w:val="ControlledEntitiesDash"/>
        <w:numPr>
          <w:ilvl w:val="0"/>
          <w:numId w:val="21"/>
        </w:numPr>
        <w:ind w:left="284" w:hanging="284"/>
      </w:pPr>
      <w:r w:rsidRPr="00582562">
        <w:t>Bendigo Kangan Institute</w:t>
      </w:r>
    </w:p>
    <w:p w:rsidR="00DF17E9" w:rsidRPr="00582562" w:rsidRDefault="00DF17E9" w:rsidP="00044843">
      <w:pPr>
        <w:pStyle w:val="ControlledEntitiesDash"/>
        <w:numPr>
          <w:ilvl w:val="0"/>
          <w:numId w:val="21"/>
        </w:numPr>
        <w:ind w:left="284" w:hanging="284"/>
      </w:pPr>
      <w:r>
        <w:t xml:space="preserve">Box Hill Institute </w:t>
      </w:r>
      <w:r w:rsidRPr="00C9775E">
        <w:rPr>
          <w:vertAlign w:val="superscript"/>
        </w:rPr>
        <w:t>(a)</w:t>
      </w:r>
    </w:p>
    <w:p w:rsidR="00DF17E9" w:rsidRPr="00582562" w:rsidRDefault="00DF17E9" w:rsidP="00044843">
      <w:pPr>
        <w:pStyle w:val="ControlledEntitiesDash"/>
        <w:numPr>
          <w:ilvl w:val="0"/>
          <w:numId w:val="21"/>
        </w:numPr>
        <w:ind w:left="284" w:hanging="284"/>
      </w:pPr>
      <w:r>
        <w:t xml:space="preserve">Chisholm Institute </w:t>
      </w:r>
      <w:r w:rsidRPr="00C9775E">
        <w:rPr>
          <w:vertAlign w:val="superscript"/>
        </w:rPr>
        <w:t>(a)</w:t>
      </w:r>
    </w:p>
    <w:p w:rsidR="00DF17E9" w:rsidRPr="00582562" w:rsidRDefault="00DF17E9" w:rsidP="00044843">
      <w:pPr>
        <w:pStyle w:val="ControlledEntitiesDash"/>
        <w:numPr>
          <w:ilvl w:val="0"/>
          <w:numId w:val="21"/>
        </w:numPr>
        <w:ind w:left="284" w:hanging="284"/>
      </w:pPr>
      <w:r w:rsidRPr="00582562">
        <w:t>Federation Training</w:t>
      </w:r>
    </w:p>
    <w:p w:rsidR="00DF17E9" w:rsidRPr="00582562" w:rsidRDefault="00DF17E9" w:rsidP="00044843">
      <w:pPr>
        <w:pStyle w:val="ControlledEntitiesDash"/>
        <w:numPr>
          <w:ilvl w:val="0"/>
          <w:numId w:val="21"/>
        </w:numPr>
        <w:ind w:left="284" w:hanging="284"/>
      </w:pPr>
      <w:r w:rsidRPr="00582562">
        <w:t>Gordon Institute of TAFE</w:t>
      </w:r>
    </w:p>
    <w:p w:rsidR="00DF17E9" w:rsidRPr="00582562" w:rsidRDefault="00DF17E9" w:rsidP="00044843">
      <w:pPr>
        <w:pStyle w:val="ControlledEntitiesDash"/>
        <w:numPr>
          <w:ilvl w:val="0"/>
          <w:numId w:val="21"/>
        </w:numPr>
        <w:ind w:left="284" w:hanging="284"/>
      </w:pPr>
      <w:r w:rsidRPr="00582562">
        <w:t>Goulburn Ovens Institute of TAFE</w:t>
      </w:r>
    </w:p>
    <w:p w:rsidR="00DF17E9" w:rsidRPr="00582562" w:rsidRDefault="00DF17E9" w:rsidP="00044843">
      <w:pPr>
        <w:pStyle w:val="ControlledEntitiesDash"/>
        <w:numPr>
          <w:ilvl w:val="0"/>
          <w:numId w:val="21"/>
        </w:numPr>
        <w:ind w:left="284" w:hanging="284"/>
      </w:pPr>
      <w:r>
        <w:t xml:space="preserve">Holmesglen Institute </w:t>
      </w:r>
      <w:r w:rsidRPr="00C9775E">
        <w:rPr>
          <w:vertAlign w:val="superscript"/>
        </w:rPr>
        <w:t>(a)</w:t>
      </w:r>
    </w:p>
    <w:p w:rsidR="00DF17E9" w:rsidRPr="00582562" w:rsidRDefault="00DF17E9" w:rsidP="00044843">
      <w:pPr>
        <w:pStyle w:val="ControlledEntitiesDash"/>
        <w:numPr>
          <w:ilvl w:val="0"/>
          <w:numId w:val="21"/>
        </w:numPr>
        <w:ind w:left="284" w:hanging="284"/>
      </w:pPr>
      <w:r w:rsidRPr="00582562">
        <w:t>Melbourne Polytechnic</w:t>
      </w:r>
    </w:p>
    <w:p w:rsidR="00DF17E9" w:rsidRPr="00582562" w:rsidRDefault="00DF17E9" w:rsidP="00044843">
      <w:pPr>
        <w:pStyle w:val="ControlledEntitiesDash"/>
        <w:numPr>
          <w:ilvl w:val="0"/>
          <w:numId w:val="21"/>
        </w:numPr>
        <w:ind w:left="284" w:hanging="284"/>
      </w:pPr>
      <w:r w:rsidRPr="00582562">
        <w:t>South West Institute of TAFE</w:t>
      </w:r>
    </w:p>
    <w:p w:rsidR="00DF17E9" w:rsidRPr="00582562" w:rsidRDefault="00DF17E9" w:rsidP="00044843">
      <w:pPr>
        <w:pStyle w:val="ControlledEntitiesDash"/>
        <w:numPr>
          <w:ilvl w:val="0"/>
          <w:numId w:val="21"/>
        </w:numPr>
        <w:ind w:left="284" w:hanging="284"/>
      </w:pPr>
      <w:r w:rsidRPr="00582562">
        <w:t>Sunraysia Institute of TAFE</w:t>
      </w:r>
    </w:p>
    <w:p w:rsidR="00DF17E9" w:rsidRPr="00582562" w:rsidRDefault="00DF17E9" w:rsidP="00044843">
      <w:pPr>
        <w:pStyle w:val="ControlledEntitiesDash"/>
        <w:numPr>
          <w:ilvl w:val="0"/>
          <w:numId w:val="21"/>
        </w:numPr>
        <w:ind w:left="284" w:hanging="284"/>
      </w:pPr>
      <w:r w:rsidRPr="00582562">
        <w:t>William Angliss Institute of TAFE</w:t>
      </w:r>
    </w:p>
    <w:p w:rsidR="00DF17E9" w:rsidRPr="00582562" w:rsidRDefault="00DF17E9" w:rsidP="00044843">
      <w:pPr>
        <w:pStyle w:val="ControlledEntitiesDash"/>
        <w:numPr>
          <w:ilvl w:val="0"/>
          <w:numId w:val="21"/>
        </w:numPr>
        <w:ind w:left="284" w:hanging="284"/>
      </w:pPr>
      <w:r w:rsidRPr="00582562">
        <w:t xml:space="preserve">Wodonga Institute of TAFE </w:t>
      </w:r>
    </w:p>
    <w:p w:rsidR="00DF17E9" w:rsidRDefault="00DF17E9" w:rsidP="00044843">
      <w:pPr>
        <w:pStyle w:val="ControlledEntitiesText"/>
      </w:pPr>
      <w:r>
        <w:t>Victorian Curriculum and Assessment Authority</w:t>
      </w:r>
    </w:p>
    <w:p w:rsidR="00DF17E9" w:rsidRDefault="00DF17E9" w:rsidP="00044843">
      <w:pPr>
        <w:pStyle w:val="ControlledEntitiesText"/>
      </w:pPr>
      <w:r>
        <w:t>Victorian Institute of Teaching</w:t>
      </w:r>
    </w:p>
    <w:p w:rsidR="00DF17E9" w:rsidRDefault="00DF17E9" w:rsidP="00044843">
      <w:pPr>
        <w:pStyle w:val="ControlledEntitiesText"/>
      </w:pPr>
      <w:r>
        <w:t>Victorian Registration and Qualifications Authority</w:t>
      </w:r>
    </w:p>
    <w:p w:rsidR="00DF17E9" w:rsidRDefault="00DF17E9" w:rsidP="00044843">
      <w:pPr>
        <w:pStyle w:val="ControlledEntitiesHeading2"/>
      </w:pPr>
      <w:r>
        <w:t>Department of Environment, Land, Water and Planning</w:t>
      </w:r>
    </w:p>
    <w:p w:rsidR="00DF17E9" w:rsidRDefault="00DF17E9" w:rsidP="00044843">
      <w:pPr>
        <w:pStyle w:val="ControlledEntitiesText"/>
      </w:pPr>
      <w:r>
        <w:t>Architects Registration Board of Victoria</w:t>
      </w:r>
    </w:p>
    <w:p w:rsidR="00DF17E9" w:rsidRDefault="00DF17E9" w:rsidP="00044843">
      <w:pPr>
        <w:pStyle w:val="ControlledEntitiesText"/>
      </w:pPr>
      <w:r>
        <w:t>Catchment Management Authorities including:</w:t>
      </w:r>
    </w:p>
    <w:p w:rsidR="00DF17E9" w:rsidRDefault="00DF17E9" w:rsidP="00044843">
      <w:pPr>
        <w:pStyle w:val="ControlledEntitiesDash"/>
        <w:numPr>
          <w:ilvl w:val="0"/>
          <w:numId w:val="21"/>
        </w:numPr>
        <w:ind w:left="284" w:hanging="284"/>
      </w:pPr>
      <w:r>
        <w:t>Corangamite Catchment Management Authority</w:t>
      </w:r>
    </w:p>
    <w:p w:rsidR="00DF17E9" w:rsidRDefault="00DF17E9" w:rsidP="00044843">
      <w:pPr>
        <w:pStyle w:val="ControlledEntitiesDash"/>
        <w:numPr>
          <w:ilvl w:val="0"/>
          <w:numId w:val="21"/>
        </w:numPr>
        <w:ind w:left="284" w:hanging="284"/>
      </w:pPr>
      <w:r>
        <w:t>East Gippsland Catchment Management Authority</w:t>
      </w:r>
    </w:p>
    <w:p w:rsidR="00DF17E9" w:rsidRDefault="00DF17E9" w:rsidP="00044843">
      <w:pPr>
        <w:pStyle w:val="ControlledEntitiesDash"/>
        <w:numPr>
          <w:ilvl w:val="0"/>
          <w:numId w:val="21"/>
        </w:numPr>
        <w:ind w:left="284" w:hanging="284"/>
      </w:pPr>
      <w:r>
        <w:t>Glenelg Hopkins Catchment Management Authority</w:t>
      </w:r>
    </w:p>
    <w:p w:rsidR="00DF17E9" w:rsidRDefault="00DF17E9" w:rsidP="00044843">
      <w:pPr>
        <w:pStyle w:val="ControlledEntitiesDash"/>
        <w:numPr>
          <w:ilvl w:val="0"/>
          <w:numId w:val="21"/>
        </w:numPr>
        <w:ind w:left="284" w:hanging="284"/>
      </w:pPr>
      <w:r>
        <w:t>Goulburn Broken Catchment Management Authority</w:t>
      </w:r>
    </w:p>
    <w:p w:rsidR="00DF17E9" w:rsidRDefault="00DF17E9" w:rsidP="00044843">
      <w:pPr>
        <w:pStyle w:val="ControlledEntitiesDash"/>
        <w:numPr>
          <w:ilvl w:val="0"/>
          <w:numId w:val="21"/>
        </w:numPr>
        <w:ind w:left="284" w:hanging="284"/>
      </w:pPr>
      <w:r>
        <w:t>Mallee Catchment Management Authority</w:t>
      </w:r>
    </w:p>
    <w:p w:rsidR="00DF17E9" w:rsidRDefault="00DF17E9" w:rsidP="00044843">
      <w:pPr>
        <w:pStyle w:val="ControlledEntitiesDash"/>
        <w:numPr>
          <w:ilvl w:val="0"/>
          <w:numId w:val="21"/>
        </w:numPr>
        <w:ind w:left="284" w:hanging="284"/>
      </w:pPr>
      <w:r>
        <w:t>North Central Catchment Management Authority</w:t>
      </w:r>
    </w:p>
    <w:p w:rsidR="00DF17E9" w:rsidRDefault="00DF17E9" w:rsidP="00044843">
      <w:pPr>
        <w:pStyle w:val="ControlledEntitiesDash"/>
        <w:numPr>
          <w:ilvl w:val="0"/>
          <w:numId w:val="21"/>
        </w:numPr>
        <w:ind w:left="284" w:hanging="284"/>
      </w:pPr>
      <w:r>
        <w:t>North East Catchment Management Authority</w:t>
      </w:r>
    </w:p>
    <w:p w:rsidR="00DF17E9" w:rsidRDefault="00DF17E9" w:rsidP="00044843">
      <w:pPr>
        <w:pStyle w:val="ControlledEntitiesDash"/>
        <w:numPr>
          <w:ilvl w:val="0"/>
          <w:numId w:val="21"/>
        </w:numPr>
        <w:ind w:left="284" w:hanging="284"/>
      </w:pPr>
      <w:r>
        <w:t>Port Phillip and Westernport Catchment Management Authority</w:t>
      </w:r>
    </w:p>
    <w:p w:rsidR="00DF17E9" w:rsidRDefault="00DF17E9" w:rsidP="00044843">
      <w:pPr>
        <w:pStyle w:val="ControlledEntitiesDash"/>
        <w:numPr>
          <w:ilvl w:val="0"/>
          <w:numId w:val="21"/>
        </w:numPr>
        <w:ind w:left="284" w:hanging="284"/>
      </w:pPr>
      <w:r>
        <w:t>West Gippsland Catchment Management Authority</w:t>
      </w:r>
    </w:p>
    <w:p w:rsidR="00DF17E9" w:rsidRDefault="00DF17E9" w:rsidP="00044843">
      <w:pPr>
        <w:pStyle w:val="ControlledEntitiesDash"/>
        <w:numPr>
          <w:ilvl w:val="0"/>
          <w:numId w:val="21"/>
        </w:numPr>
        <w:ind w:left="284" w:hanging="284"/>
      </w:pPr>
      <w:r>
        <w:t>Wimmera Catchment Management Authority</w:t>
      </w:r>
    </w:p>
    <w:p w:rsidR="00DF17E9" w:rsidRDefault="00DF17E9" w:rsidP="00044843">
      <w:pPr>
        <w:pStyle w:val="ControlledEntitiesText"/>
      </w:pPr>
      <w:r>
        <w:t>Dhelkunya Dja Land Management Board</w:t>
      </w:r>
    </w:p>
    <w:p w:rsidR="00DF17E9" w:rsidRDefault="00DF17E9" w:rsidP="00044843">
      <w:pPr>
        <w:pStyle w:val="ControlledEntitiesText"/>
      </w:pPr>
      <w:r>
        <w:lastRenderedPageBreak/>
        <w:t>Environment Protection Authority</w:t>
      </w:r>
    </w:p>
    <w:p w:rsidR="00DF17E9" w:rsidRDefault="00DF17E9" w:rsidP="00044843">
      <w:pPr>
        <w:pStyle w:val="ControlledEntitiesText"/>
      </w:pPr>
      <w:r>
        <w:t>Gunaikurnai Traditional Owner Land Management</w:t>
      </w:r>
    </w:p>
    <w:p w:rsidR="00DF17E9" w:rsidRDefault="00DF17E9" w:rsidP="00044843">
      <w:pPr>
        <w:pStyle w:val="ControlledEntitiesText"/>
      </w:pPr>
      <w:r>
        <w:t>Heritage Council of Victoria</w:t>
      </w:r>
    </w:p>
    <w:p w:rsidR="00DF17E9" w:rsidRDefault="00DF17E9" w:rsidP="00044843">
      <w:pPr>
        <w:pStyle w:val="ControlledEntitiesText"/>
      </w:pPr>
      <w:r>
        <w:t>Metropolitan Planning Authority</w:t>
      </w:r>
    </w:p>
    <w:p w:rsidR="00DF17E9" w:rsidRDefault="00DF17E9" w:rsidP="00044843">
      <w:pPr>
        <w:pStyle w:val="ControlledEntitiesText"/>
      </w:pPr>
      <w:r>
        <w:t>Office of the Commissioner for Environmental Sustainability</w:t>
      </w:r>
    </w:p>
    <w:p w:rsidR="00DF17E9" w:rsidRDefault="00DF17E9" w:rsidP="00044843">
      <w:pPr>
        <w:pStyle w:val="ControlledEntitiesText"/>
      </w:pPr>
      <w:r>
        <w:t>Parks Victoria</w:t>
      </w:r>
    </w:p>
    <w:p w:rsidR="00DF17E9" w:rsidRDefault="00DF17E9" w:rsidP="00044843">
      <w:pPr>
        <w:pStyle w:val="ControlledEntitiesText"/>
      </w:pPr>
      <w:r>
        <w:t>Royal Botanic Gardens Board Victoria</w:t>
      </w:r>
    </w:p>
    <w:p w:rsidR="00DF17E9" w:rsidRDefault="00DF17E9" w:rsidP="00044843">
      <w:pPr>
        <w:pStyle w:val="ControlledEntitiesText"/>
      </w:pPr>
      <w:r>
        <w:t>Surveyors Registration Board of Victoria</w:t>
      </w:r>
    </w:p>
    <w:p w:rsidR="00DF17E9" w:rsidRDefault="00DF17E9" w:rsidP="00044843">
      <w:pPr>
        <w:pStyle w:val="ControlledEntitiesText"/>
      </w:pPr>
      <w:r>
        <w:t>Sustainability Victoria</w:t>
      </w:r>
    </w:p>
    <w:p w:rsidR="00DF17E9" w:rsidRDefault="00DF17E9" w:rsidP="00044843">
      <w:pPr>
        <w:pStyle w:val="ControlledEntitiesText"/>
      </w:pPr>
      <w:r>
        <w:t>Trust for Nature (Victoria)</w:t>
      </w:r>
    </w:p>
    <w:p w:rsidR="00DF17E9" w:rsidRDefault="00DF17E9" w:rsidP="00044843">
      <w:pPr>
        <w:pStyle w:val="ControlledEntitiesText"/>
      </w:pPr>
      <w:r>
        <w:t>Victorian Building Authority</w:t>
      </w:r>
    </w:p>
    <w:p w:rsidR="00DF17E9" w:rsidRDefault="00DF17E9" w:rsidP="00044843">
      <w:pPr>
        <w:pStyle w:val="ControlledEntitiesText"/>
      </w:pPr>
      <w:r>
        <w:t>Victorian Environmental Water Holder</w:t>
      </w:r>
    </w:p>
    <w:p w:rsidR="00DF17E9" w:rsidRDefault="00DF17E9" w:rsidP="00044843">
      <w:pPr>
        <w:pStyle w:val="ControlledEntitiesText"/>
      </w:pPr>
      <w:r>
        <w:t>Yorta Yorta Traditional Owner Land Management Board</w:t>
      </w:r>
    </w:p>
    <w:p w:rsidR="00DF17E9" w:rsidRDefault="00DF17E9" w:rsidP="00044843">
      <w:pPr>
        <w:pStyle w:val="ControlledEntitiesHeading2"/>
      </w:pPr>
      <w:r>
        <w:t>Department of Health and Human Services</w:t>
      </w:r>
    </w:p>
    <w:p w:rsidR="00DF17E9" w:rsidRDefault="00DF17E9" w:rsidP="00044843">
      <w:pPr>
        <w:pStyle w:val="ControlledEntitiesText"/>
      </w:pPr>
      <w:r>
        <w:t>Commission for Children and Young People</w:t>
      </w:r>
    </w:p>
    <w:p w:rsidR="00DF17E9" w:rsidRDefault="00DF17E9" w:rsidP="00044843">
      <w:pPr>
        <w:pStyle w:val="ControlledEntitiesText"/>
      </w:pPr>
      <w:r>
        <w:t>Health Purchasing Victoria</w:t>
      </w:r>
    </w:p>
    <w:p w:rsidR="00DF17E9" w:rsidRDefault="00DF17E9" w:rsidP="00044843">
      <w:pPr>
        <w:pStyle w:val="ControlledEntitiesText"/>
      </w:pPr>
      <w:r>
        <w:t>Hospitals, Health and Ambulance Services including:</w:t>
      </w:r>
    </w:p>
    <w:p w:rsidR="00DF17E9" w:rsidRDefault="00DF17E9" w:rsidP="00044843">
      <w:pPr>
        <w:pStyle w:val="ControlledEntitiesDash"/>
        <w:numPr>
          <w:ilvl w:val="0"/>
          <w:numId w:val="21"/>
        </w:numPr>
        <w:ind w:left="284" w:hanging="284"/>
      </w:pPr>
      <w:r>
        <w:t xml:space="preserve">Albury Wodonga Health </w:t>
      </w:r>
    </w:p>
    <w:p w:rsidR="00DF17E9" w:rsidRDefault="00DF17E9" w:rsidP="00044843">
      <w:pPr>
        <w:pStyle w:val="ControlledEntitiesDash"/>
        <w:numPr>
          <w:ilvl w:val="0"/>
          <w:numId w:val="21"/>
        </w:numPr>
        <w:ind w:left="284" w:hanging="284"/>
      </w:pPr>
      <w:r>
        <w:t xml:space="preserve">Alexandra District Health </w:t>
      </w:r>
      <w:r>
        <w:rPr>
          <w:vertAlign w:val="superscript"/>
        </w:rPr>
        <w:t>(b</w:t>
      </w:r>
      <w:r w:rsidRPr="00BF6B3C">
        <w:rPr>
          <w:vertAlign w:val="superscript"/>
        </w:rPr>
        <w:t>)</w:t>
      </w:r>
    </w:p>
    <w:p w:rsidR="00DF17E9" w:rsidRDefault="00DF17E9" w:rsidP="00044843">
      <w:pPr>
        <w:pStyle w:val="ControlledEntitiesDash"/>
        <w:numPr>
          <w:ilvl w:val="0"/>
          <w:numId w:val="21"/>
        </w:numPr>
        <w:ind w:left="284" w:hanging="284"/>
      </w:pPr>
      <w:r>
        <w:t>Alfred Health</w:t>
      </w:r>
    </w:p>
    <w:p w:rsidR="00DF17E9" w:rsidRDefault="00DF17E9" w:rsidP="00044843">
      <w:pPr>
        <w:pStyle w:val="ControlledEntitiesDash"/>
        <w:numPr>
          <w:ilvl w:val="0"/>
          <w:numId w:val="21"/>
        </w:numPr>
        <w:ind w:left="284" w:hanging="284"/>
      </w:pPr>
      <w:r>
        <w:t>Alpine Health</w:t>
      </w:r>
    </w:p>
    <w:p w:rsidR="00DF17E9" w:rsidRDefault="00DF17E9" w:rsidP="00044843">
      <w:pPr>
        <w:pStyle w:val="ControlledEntitiesDash"/>
        <w:numPr>
          <w:ilvl w:val="0"/>
          <w:numId w:val="21"/>
        </w:numPr>
        <w:ind w:left="284" w:hanging="284"/>
      </w:pPr>
      <w:r>
        <w:t>Ambulance Victoria</w:t>
      </w:r>
    </w:p>
    <w:p w:rsidR="00DF17E9" w:rsidRDefault="00DF17E9" w:rsidP="00044843">
      <w:pPr>
        <w:pStyle w:val="ControlledEntitiesDash"/>
        <w:numPr>
          <w:ilvl w:val="0"/>
          <w:numId w:val="21"/>
        </w:numPr>
        <w:ind w:left="284" w:hanging="284"/>
      </w:pPr>
      <w:r>
        <w:t>Austin Health</w:t>
      </w:r>
    </w:p>
    <w:p w:rsidR="00DF17E9" w:rsidRDefault="00DF17E9" w:rsidP="00044843">
      <w:pPr>
        <w:pStyle w:val="ControlledEntitiesDash"/>
        <w:numPr>
          <w:ilvl w:val="0"/>
          <w:numId w:val="21"/>
        </w:numPr>
        <w:ind w:left="284" w:hanging="284"/>
      </w:pPr>
      <w:r>
        <w:t>Bairnsdale Regional Health Service</w:t>
      </w:r>
    </w:p>
    <w:p w:rsidR="00DF17E9" w:rsidRDefault="00DF17E9" w:rsidP="00044843">
      <w:pPr>
        <w:pStyle w:val="ControlledEntitiesDash"/>
        <w:numPr>
          <w:ilvl w:val="0"/>
          <w:numId w:val="21"/>
        </w:numPr>
        <w:ind w:left="284" w:hanging="284"/>
      </w:pPr>
      <w:r>
        <w:t>Ballarat Health Services</w:t>
      </w:r>
    </w:p>
    <w:p w:rsidR="00DF17E9" w:rsidRDefault="00DF17E9" w:rsidP="00044843">
      <w:pPr>
        <w:pStyle w:val="ControlledEntitiesDash"/>
        <w:numPr>
          <w:ilvl w:val="0"/>
          <w:numId w:val="21"/>
        </w:numPr>
        <w:ind w:left="284" w:hanging="284"/>
      </w:pPr>
      <w:r>
        <w:t>Barwon Health</w:t>
      </w:r>
    </w:p>
    <w:p w:rsidR="00DF17E9" w:rsidRDefault="00DF17E9" w:rsidP="00044843">
      <w:pPr>
        <w:pStyle w:val="ControlledEntitiesDash"/>
        <w:numPr>
          <w:ilvl w:val="0"/>
          <w:numId w:val="21"/>
        </w:numPr>
        <w:ind w:left="284" w:hanging="284"/>
      </w:pPr>
      <w:r>
        <w:t>Bass Coast Health</w:t>
      </w:r>
    </w:p>
    <w:p w:rsidR="00DF17E9" w:rsidRDefault="00DF17E9" w:rsidP="00044843">
      <w:pPr>
        <w:pStyle w:val="ControlledEntitiesDash"/>
        <w:numPr>
          <w:ilvl w:val="0"/>
          <w:numId w:val="21"/>
        </w:numPr>
        <w:ind w:left="284" w:hanging="284"/>
      </w:pPr>
      <w:r>
        <w:t>Beaufort and Skipton Health Service</w:t>
      </w:r>
    </w:p>
    <w:p w:rsidR="00DF17E9" w:rsidRDefault="00DF17E9" w:rsidP="00044843">
      <w:pPr>
        <w:pStyle w:val="ControlledEntitiesDash"/>
        <w:numPr>
          <w:ilvl w:val="0"/>
          <w:numId w:val="21"/>
        </w:numPr>
        <w:ind w:left="284" w:hanging="284"/>
      </w:pPr>
      <w:r>
        <w:t>Beechworth Health Service</w:t>
      </w:r>
    </w:p>
    <w:p w:rsidR="00DF17E9" w:rsidRDefault="00DF17E9" w:rsidP="00044843">
      <w:pPr>
        <w:pStyle w:val="ControlledEntitiesDash"/>
        <w:numPr>
          <w:ilvl w:val="0"/>
          <w:numId w:val="21"/>
        </w:numPr>
        <w:ind w:left="284" w:hanging="284"/>
      </w:pPr>
      <w:r>
        <w:t>Benalla Health</w:t>
      </w:r>
    </w:p>
    <w:p w:rsidR="00DF17E9" w:rsidRDefault="00DF17E9" w:rsidP="00044843">
      <w:pPr>
        <w:pStyle w:val="ControlledEntitiesDash"/>
        <w:numPr>
          <w:ilvl w:val="0"/>
          <w:numId w:val="21"/>
        </w:numPr>
        <w:ind w:left="284" w:hanging="284"/>
      </w:pPr>
      <w:r>
        <w:t>Bendigo Health Care Group</w:t>
      </w:r>
    </w:p>
    <w:p w:rsidR="00DF17E9" w:rsidRDefault="00DF17E9" w:rsidP="00044843">
      <w:pPr>
        <w:pStyle w:val="ControlledEntitiesDash"/>
        <w:numPr>
          <w:ilvl w:val="0"/>
          <w:numId w:val="21"/>
        </w:numPr>
        <w:ind w:left="284" w:hanging="284"/>
      </w:pPr>
      <w:r>
        <w:t>Boort District Health</w:t>
      </w:r>
    </w:p>
    <w:p w:rsidR="00DF17E9" w:rsidRDefault="00DF17E9" w:rsidP="00044843">
      <w:pPr>
        <w:pStyle w:val="ControlledEntitiesDash"/>
        <w:numPr>
          <w:ilvl w:val="0"/>
          <w:numId w:val="21"/>
        </w:numPr>
        <w:ind w:left="284" w:hanging="284"/>
      </w:pPr>
      <w:r>
        <w:t>Casterton Memorial Hospital</w:t>
      </w:r>
    </w:p>
    <w:p w:rsidR="00DF17E9" w:rsidRDefault="00DF17E9" w:rsidP="00044843">
      <w:pPr>
        <w:pStyle w:val="ControlledEntitiesDash"/>
        <w:numPr>
          <w:ilvl w:val="0"/>
          <w:numId w:val="21"/>
        </w:numPr>
        <w:ind w:left="284" w:hanging="284"/>
      </w:pPr>
      <w:r>
        <w:t xml:space="preserve">Castlemaine Health </w:t>
      </w:r>
    </w:p>
    <w:p w:rsidR="00DF17E9" w:rsidRDefault="00DF17E9" w:rsidP="00044843">
      <w:pPr>
        <w:pStyle w:val="ControlledEntitiesDash"/>
        <w:numPr>
          <w:ilvl w:val="0"/>
          <w:numId w:val="21"/>
        </w:numPr>
        <w:ind w:left="284" w:hanging="284"/>
      </w:pPr>
      <w:r>
        <w:t>Central Gippsland Health Service</w:t>
      </w:r>
    </w:p>
    <w:p w:rsidR="00DF17E9" w:rsidRDefault="00DF17E9" w:rsidP="00044843">
      <w:pPr>
        <w:pStyle w:val="ControlledEntitiesDash"/>
        <w:numPr>
          <w:ilvl w:val="0"/>
          <w:numId w:val="21"/>
        </w:numPr>
        <w:ind w:left="284" w:hanging="284"/>
      </w:pPr>
      <w:r>
        <w:t>Cobram District Health</w:t>
      </w:r>
    </w:p>
    <w:p w:rsidR="00DF17E9" w:rsidRDefault="00DF17E9" w:rsidP="00044843">
      <w:pPr>
        <w:pStyle w:val="ControlledEntitiesDash"/>
        <w:numPr>
          <w:ilvl w:val="0"/>
          <w:numId w:val="21"/>
        </w:numPr>
        <w:ind w:left="284" w:hanging="284"/>
      </w:pPr>
      <w:r>
        <w:t>Cohuna District Hospital</w:t>
      </w:r>
    </w:p>
    <w:p w:rsidR="00DF17E9" w:rsidRDefault="00DF17E9" w:rsidP="00044843">
      <w:pPr>
        <w:pStyle w:val="ControlledEntitiesDash"/>
        <w:numPr>
          <w:ilvl w:val="0"/>
          <w:numId w:val="21"/>
        </w:numPr>
        <w:ind w:left="284" w:hanging="284"/>
      </w:pPr>
      <w:r>
        <w:t>Colac Area Health</w:t>
      </w:r>
    </w:p>
    <w:p w:rsidR="00DF17E9" w:rsidRDefault="00DF17E9" w:rsidP="00044843">
      <w:pPr>
        <w:pStyle w:val="ControlledEntitiesDash"/>
        <w:numPr>
          <w:ilvl w:val="0"/>
          <w:numId w:val="21"/>
        </w:numPr>
        <w:ind w:left="284" w:hanging="284"/>
      </w:pPr>
      <w:r>
        <w:t>Dental Health Services Victoria</w:t>
      </w:r>
    </w:p>
    <w:p w:rsidR="00DF17E9" w:rsidRDefault="00DF17E9" w:rsidP="00044843">
      <w:pPr>
        <w:pStyle w:val="ControlledEntitiesDash"/>
        <w:numPr>
          <w:ilvl w:val="0"/>
          <w:numId w:val="21"/>
        </w:numPr>
        <w:ind w:left="284" w:hanging="284"/>
      </w:pPr>
      <w:r>
        <w:t>Djerriwarrh Health Services</w:t>
      </w:r>
    </w:p>
    <w:p w:rsidR="00DF17E9" w:rsidRDefault="00DF17E9" w:rsidP="00044843">
      <w:pPr>
        <w:pStyle w:val="ControlledEntitiesDash"/>
        <w:numPr>
          <w:ilvl w:val="0"/>
          <w:numId w:val="21"/>
        </w:numPr>
        <w:ind w:left="284" w:hanging="284"/>
      </w:pPr>
      <w:r>
        <w:t xml:space="preserve">Dunmunkle Health Services </w:t>
      </w:r>
      <w:r w:rsidRPr="00F167E0">
        <w:rPr>
          <w:vertAlign w:val="superscript"/>
        </w:rPr>
        <w:t>(c)</w:t>
      </w:r>
    </w:p>
    <w:p w:rsidR="00DF17E9" w:rsidRDefault="00DF17E9" w:rsidP="00044843">
      <w:pPr>
        <w:pStyle w:val="ControlledEntitiesDash"/>
        <w:numPr>
          <w:ilvl w:val="0"/>
          <w:numId w:val="21"/>
        </w:numPr>
        <w:ind w:left="284" w:hanging="284"/>
      </w:pPr>
      <w:r>
        <w:t>East Grampians Health Service</w:t>
      </w:r>
    </w:p>
    <w:p w:rsidR="00DF17E9" w:rsidRDefault="00DF17E9" w:rsidP="00044843">
      <w:pPr>
        <w:pStyle w:val="ControlledEntitiesDash"/>
        <w:numPr>
          <w:ilvl w:val="0"/>
          <w:numId w:val="21"/>
        </w:numPr>
        <w:ind w:left="284" w:hanging="284"/>
      </w:pPr>
      <w:r>
        <w:t>East Wimmera Health Service</w:t>
      </w:r>
    </w:p>
    <w:p w:rsidR="00DF17E9" w:rsidRDefault="00DF17E9" w:rsidP="00044843">
      <w:pPr>
        <w:pStyle w:val="ControlledEntitiesDash"/>
        <w:numPr>
          <w:ilvl w:val="0"/>
          <w:numId w:val="21"/>
        </w:numPr>
        <w:ind w:left="284" w:hanging="284"/>
      </w:pPr>
      <w:r>
        <w:lastRenderedPageBreak/>
        <w:t>Eastern Health</w:t>
      </w:r>
    </w:p>
    <w:p w:rsidR="00DF17E9" w:rsidRDefault="00DF17E9" w:rsidP="00044843">
      <w:pPr>
        <w:pStyle w:val="ControlledEntitiesDash"/>
        <w:numPr>
          <w:ilvl w:val="0"/>
          <w:numId w:val="21"/>
        </w:numPr>
        <w:ind w:left="284" w:hanging="284"/>
      </w:pPr>
      <w:r>
        <w:t>Echuca Regional Health</w:t>
      </w:r>
    </w:p>
    <w:p w:rsidR="00DF17E9" w:rsidRDefault="00DF17E9" w:rsidP="00044843">
      <w:pPr>
        <w:pStyle w:val="ControlledEntitiesDash"/>
        <w:numPr>
          <w:ilvl w:val="0"/>
          <w:numId w:val="21"/>
        </w:numPr>
        <w:ind w:left="284" w:hanging="284"/>
      </w:pPr>
      <w:r>
        <w:t>Edenhope and District Memorial Hospital</w:t>
      </w:r>
    </w:p>
    <w:p w:rsidR="00DF17E9" w:rsidRDefault="00DF17E9" w:rsidP="00044843">
      <w:pPr>
        <w:pStyle w:val="ControlledEntitiesDash"/>
        <w:numPr>
          <w:ilvl w:val="0"/>
          <w:numId w:val="21"/>
        </w:numPr>
        <w:ind w:left="284" w:hanging="284"/>
      </w:pPr>
      <w:r>
        <w:t>Gippsland Southern Health Service</w:t>
      </w:r>
    </w:p>
    <w:p w:rsidR="00DF17E9" w:rsidRDefault="00DF17E9" w:rsidP="00044843">
      <w:pPr>
        <w:pStyle w:val="ControlledEntitiesDash"/>
        <w:numPr>
          <w:ilvl w:val="0"/>
          <w:numId w:val="21"/>
        </w:numPr>
        <w:ind w:left="284" w:hanging="284"/>
      </w:pPr>
      <w:r>
        <w:t>Goulburn Valley Health</w:t>
      </w:r>
    </w:p>
    <w:p w:rsidR="00DF17E9" w:rsidRDefault="00DF17E9" w:rsidP="00044843">
      <w:pPr>
        <w:pStyle w:val="ControlledEntitiesDash"/>
        <w:numPr>
          <w:ilvl w:val="0"/>
          <w:numId w:val="21"/>
        </w:numPr>
        <w:ind w:left="284" w:hanging="284"/>
      </w:pPr>
      <w:r>
        <w:t xml:space="preserve">Heathcote Health </w:t>
      </w:r>
    </w:p>
    <w:p w:rsidR="00DF17E9" w:rsidRDefault="00DF17E9" w:rsidP="00044843">
      <w:pPr>
        <w:pStyle w:val="ControlledEntitiesDash"/>
        <w:numPr>
          <w:ilvl w:val="0"/>
          <w:numId w:val="21"/>
        </w:numPr>
        <w:ind w:left="284" w:hanging="284"/>
      </w:pPr>
      <w:r>
        <w:t>Hepburn Health Service</w:t>
      </w:r>
    </w:p>
    <w:p w:rsidR="00DF17E9" w:rsidRDefault="00DF17E9" w:rsidP="00044843">
      <w:pPr>
        <w:pStyle w:val="ControlledEntitiesDash"/>
        <w:numPr>
          <w:ilvl w:val="0"/>
          <w:numId w:val="21"/>
        </w:numPr>
        <w:ind w:left="284" w:hanging="284"/>
      </w:pPr>
      <w:r>
        <w:t>Hesse Rural Health Service</w:t>
      </w:r>
    </w:p>
    <w:p w:rsidR="00DF17E9" w:rsidRDefault="00DF17E9" w:rsidP="00044843">
      <w:pPr>
        <w:pStyle w:val="ControlledEntitiesDash"/>
        <w:numPr>
          <w:ilvl w:val="0"/>
          <w:numId w:val="21"/>
        </w:numPr>
        <w:ind w:left="284" w:hanging="284"/>
      </w:pPr>
      <w:r>
        <w:t>Heywood Rural Health</w:t>
      </w:r>
    </w:p>
    <w:p w:rsidR="00DF17E9" w:rsidRDefault="00DF17E9" w:rsidP="00044843">
      <w:pPr>
        <w:pStyle w:val="ControlledEntitiesDash"/>
        <w:numPr>
          <w:ilvl w:val="0"/>
          <w:numId w:val="21"/>
        </w:numPr>
        <w:ind w:left="284" w:hanging="284"/>
      </w:pPr>
      <w:r>
        <w:t>Inglewood and Districts Health Service</w:t>
      </w:r>
    </w:p>
    <w:p w:rsidR="00DF17E9" w:rsidRDefault="00DF17E9" w:rsidP="00044843">
      <w:pPr>
        <w:pStyle w:val="ControlledEntitiesDash"/>
        <w:numPr>
          <w:ilvl w:val="0"/>
          <w:numId w:val="21"/>
        </w:numPr>
        <w:ind w:left="284" w:hanging="284"/>
      </w:pPr>
      <w:r>
        <w:t xml:space="preserve">Kerang District Health </w:t>
      </w:r>
    </w:p>
    <w:p w:rsidR="00DF17E9" w:rsidRDefault="00DF17E9" w:rsidP="00044843">
      <w:pPr>
        <w:pStyle w:val="ControlledEntitiesDash"/>
        <w:numPr>
          <w:ilvl w:val="0"/>
          <w:numId w:val="21"/>
        </w:numPr>
        <w:ind w:left="284" w:hanging="284"/>
      </w:pPr>
      <w:r>
        <w:t>Kooweerup Regional Health Service</w:t>
      </w:r>
    </w:p>
    <w:p w:rsidR="00DF17E9" w:rsidRDefault="00DF17E9" w:rsidP="00044843">
      <w:pPr>
        <w:pStyle w:val="ControlledEntitiesDash"/>
        <w:numPr>
          <w:ilvl w:val="0"/>
          <w:numId w:val="21"/>
        </w:numPr>
        <w:ind w:left="284" w:hanging="284"/>
      </w:pPr>
      <w:r>
        <w:t>Kyabram and District Health Services</w:t>
      </w:r>
    </w:p>
    <w:p w:rsidR="00DF17E9" w:rsidRDefault="00DF17E9" w:rsidP="00044843">
      <w:pPr>
        <w:pStyle w:val="ControlledEntitiesDash"/>
        <w:numPr>
          <w:ilvl w:val="0"/>
          <w:numId w:val="21"/>
        </w:numPr>
        <w:ind w:left="284" w:hanging="284"/>
      </w:pPr>
      <w:r>
        <w:t>Kyneton District Health Service</w:t>
      </w:r>
    </w:p>
    <w:p w:rsidR="00DF17E9" w:rsidRDefault="00DF17E9" w:rsidP="00044843">
      <w:pPr>
        <w:pStyle w:val="ControlledEntitiesDash"/>
        <w:numPr>
          <w:ilvl w:val="0"/>
          <w:numId w:val="21"/>
        </w:numPr>
        <w:ind w:left="284" w:hanging="284"/>
      </w:pPr>
      <w:r>
        <w:t>Latrobe Regional Hospital</w:t>
      </w:r>
    </w:p>
    <w:p w:rsidR="00DF17E9" w:rsidRDefault="00DF17E9" w:rsidP="00044843">
      <w:pPr>
        <w:pStyle w:val="ControlledEntitiesDash"/>
        <w:numPr>
          <w:ilvl w:val="0"/>
          <w:numId w:val="21"/>
        </w:numPr>
        <w:ind w:left="284" w:hanging="284"/>
      </w:pPr>
      <w:r>
        <w:t>Lorne Community Hospital</w:t>
      </w:r>
    </w:p>
    <w:p w:rsidR="00DF17E9" w:rsidRDefault="00DF17E9" w:rsidP="00044843">
      <w:pPr>
        <w:pStyle w:val="ControlledEntitiesDash"/>
        <w:numPr>
          <w:ilvl w:val="0"/>
          <w:numId w:val="21"/>
        </w:numPr>
        <w:ind w:left="284" w:hanging="284"/>
      </w:pPr>
      <w:r>
        <w:t>Maldon Hospital</w:t>
      </w:r>
    </w:p>
    <w:p w:rsidR="00DF17E9" w:rsidRDefault="00DF17E9" w:rsidP="00044843">
      <w:pPr>
        <w:pStyle w:val="ControlledEntitiesDash"/>
        <w:numPr>
          <w:ilvl w:val="0"/>
          <w:numId w:val="21"/>
        </w:numPr>
        <w:ind w:left="284" w:hanging="284"/>
      </w:pPr>
      <w:r>
        <w:t>Mallee Track Health and Community Service</w:t>
      </w:r>
    </w:p>
    <w:p w:rsidR="00DF17E9" w:rsidRDefault="00DF17E9" w:rsidP="00044843">
      <w:pPr>
        <w:pStyle w:val="ControlledEntitiesDash"/>
        <w:numPr>
          <w:ilvl w:val="0"/>
          <w:numId w:val="21"/>
        </w:numPr>
        <w:ind w:left="284" w:hanging="284"/>
      </w:pPr>
      <w:r>
        <w:t xml:space="preserve">Mansfield District Hospital </w:t>
      </w:r>
    </w:p>
    <w:p w:rsidR="00DF17E9" w:rsidRDefault="00DF17E9" w:rsidP="00044843">
      <w:pPr>
        <w:pStyle w:val="ControlledEntitiesDash"/>
        <w:numPr>
          <w:ilvl w:val="0"/>
          <w:numId w:val="21"/>
        </w:numPr>
        <w:ind w:left="284" w:hanging="284"/>
      </w:pPr>
      <w:r>
        <w:t>Maryborough District Health Service</w:t>
      </w:r>
    </w:p>
    <w:p w:rsidR="00DF17E9" w:rsidRDefault="00DF17E9" w:rsidP="00044843">
      <w:pPr>
        <w:pStyle w:val="ControlledEntitiesDash"/>
        <w:numPr>
          <w:ilvl w:val="0"/>
          <w:numId w:val="21"/>
        </w:numPr>
        <w:ind w:left="284" w:hanging="284"/>
      </w:pPr>
      <w:r>
        <w:t>Melbourne Health</w:t>
      </w:r>
    </w:p>
    <w:p w:rsidR="00DF17E9" w:rsidRDefault="00DF17E9" w:rsidP="00044843">
      <w:pPr>
        <w:pStyle w:val="ControlledEntitiesDash"/>
        <w:numPr>
          <w:ilvl w:val="0"/>
          <w:numId w:val="21"/>
        </w:numPr>
        <w:ind w:left="284" w:hanging="284"/>
      </w:pPr>
      <w:r>
        <w:t>Monash Health</w:t>
      </w:r>
    </w:p>
    <w:p w:rsidR="00DF17E9" w:rsidRDefault="00DF17E9" w:rsidP="00044843">
      <w:pPr>
        <w:pStyle w:val="ControlledEntitiesDash"/>
        <w:numPr>
          <w:ilvl w:val="0"/>
          <w:numId w:val="21"/>
        </w:numPr>
        <w:ind w:left="284" w:hanging="284"/>
      </w:pPr>
      <w:r>
        <w:t>Moyne Health Services</w:t>
      </w:r>
    </w:p>
    <w:p w:rsidR="00DF17E9" w:rsidRDefault="00DF17E9" w:rsidP="00044843">
      <w:pPr>
        <w:pStyle w:val="ControlledEntitiesDash"/>
        <w:numPr>
          <w:ilvl w:val="0"/>
          <w:numId w:val="21"/>
        </w:numPr>
        <w:ind w:left="284" w:hanging="284"/>
      </w:pPr>
      <w:r>
        <w:t>Nathalia District Hospital</w:t>
      </w:r>
    </w:p>
    <w:p w:rsidR="00DF17E9" w:rsidRDefault="00DF17E9" w:rsidP="00044843">
      <w:pPr>
        <w:pStyle w:val="ControlledEntitiesDash"/>
        <w:numPr>
          <w:ilvl w:val="0"/>
          <w:numId w:val="21"/>
        </w:numPr>
        <w:ind w:left="284" w:hanging="284"/>
      </w:pPr>
      <w:r>
        <w:t>Northeast Health Wangaratta</w:t>
      </w:r>
    </w:p>
    <w:p w:rsidR="00DF17E9" w:rsidRDefault="00DF17E9" w:rsidP="00044843">
      <w:pPr>
        <w:pStyle w:val="ControlledEntitiesDash"/>
        <w:numPr>
          <w:ilvl w:val="0"/>
          <w:numId w:val="21"/>
        </w:numPr>
        <w:ind w:left="284" w:hanging="284"/>
      </w:pPr>
      <w:r>
        <w:t>Northern Health</w:t>
      </w:r>
    </w:p>
    <w:p w:rsidR="00DF17E9" w:rsidRDefault="00DF17E9" w:rsidP="00044843">
      <w:pPr>
        <w:pStyle w:val="ControlledEntitiesDash"/>
        <w:numPr>
          <w:ilvl w:val="0"/>
          <w:numId w:val="21"/>
        </w:numPr>
        <w:ind w:left="284" w:hanging="284"/>
      </w:pPr>
      <w:r>
        <w:t>Numurkah District Health Service</w:t>
      </w:r>
    </w:p>
    <w:p w:rsidR="00DF17E9" w:rsidRDefault="00DF17E9" w:rsidP="00044843">
      <w:pPr>
        <w:pStyle w:val="ControlledEntitiesDash"/>
        <w:numPr>
          <w:ilvl w:val="0"/>
          <w:numId w:val="21"/>
        </w:numPr>
        <w:ind w:left="284" w:hanging="284"/>
      </w:pPr>
      <w:r>
        <w:t>Omeo District Health</w:t>
      </w:r>
    </w:p>
    <w:p w:rsidR="00DF17E9" w:rsidRDefault="00DF17E9" w:rsidP="00044843">
      <w:pPr>
        <w:pStyle w:val="ControlledEntitiesDash"/>
        <w:numPr>
          <w:ilvl w:val="0"/>
          <w:numId w:val="21"/>
        </w:numPr>
        <w:ind w:left="284" w:hanging="284"/>
      </w:pPr>
      <w:r>
        <w:t>Orbost Regional Health</w:t>
      </w:r>
    </w:p>
    <w:p w:rsidR="00DF17E9" w:rsidRDefault="00DF17E9" w:rsidP="00044843">
      <w:pPr>
        <w:pStyle w:val="ControlledEntitiesDash"/>
        <w:numPr>
          <w:ilvl w:val="0"/>
          <w:numId w:val="21"/>
        </w:numPr>
        <w:ind w:left="284" w:hanging="284"/>
      </w:pPr>
      <w:r>
        <w:t>Otway Health</w:t>
      </w:r>
    </w:p>
    <w:p w:rsidR="00DF17E9" w:rsidRDefault="00DF17E9" w:rsidP="00044843">
      <w:pPr>
        <w:pStyle w:val="ControlledEntitiesDash"/>
        <w:numPr>
          <w:ilvl w:val="0"/>
          <w:numId w:val="21"/>
        </w:numPr>
        <w:ind w:left="284" w:hanging="284"/>
      </w:pPr>
      <w:r>
        <w:t>Peninsula Health</w:t>
      </w:r>
    </w:p>
    <w:p w:rsidR="00DF17E9" w:rsidRDefault="00DF17E9" w:rsidP="00044843">
      <w:pPr>
        <w:pStyle w:val="ControlledEntitiesDash"/>
        <w:numPr>
          <w:ilvl w:val="0"/>
          <w:numId w:val="21"/>
        </w:numPr>
        <w:ind w:left="284" w:hanging="284"/>
      </w:pPr>
      <w:r>
        <w:t>Peter MacCallum Cancer Institute</w:t>
      </w:r>
    </w:p>
    <w:p w:rsidR="00DF17E9" w:rsidRDefault="00DF17E9" w:rsidP="00044843">
      <w:pPr>
        <w:pStyle w:val="ControlledEntitiesDash"/>
        <w:numPr>
          <w:ilvl w:val="0"/>
          <w:numId w:val="21"/>
        </w:numPr>
        <w:ind w:left="284" w:hanging="284"/>
      </w:pPr>
      <w:r>
        <w:t>Portland District Health</w:t>
      </w:r>
    </w:p>
    <w:p w:rsidR="00DF17E9" w:rsidRDefault="00DF17E9" w:rsidP="00044843">
      <w:pPr>
        <w:pStyle w:val="ControlledEntitiesDash"/>
        <w:numPr>
          <w:ilvl w:val="0"/>
          <w:numId w:val="21"/>
        </w:numPr>
        <w:ind w:left="284" w:hanging="284"/>
      </w:pPr>
      <w:r>
        <w:t>Robinvale District Health Services</w:t>
      </w:r>
    </w:p>
    <w:p w:rsidR="00DF17E9" w:rsidRDefault="00DF17E9" w:rsidP="00044843">
      <w:pPr>
        <w:pStyle w:val="ControlledEntitiesDash"/>
        <w:numPr>
          <w:ilvl w:val="0"/>
          <w:numId w:val="21"/>
        </w:numPr>
        <w:ind w:left="284" w:hanging="284"/>
      </w:pPr>
      <w:r>
        <w:t>Rochester and Elmore District Health Service</w:t>
      </w:r>
    </w:p>
    <w:p w:rsidR="00DF17E9" w:rsidRDefault="00DF17E9" w:rsidP="00044843">
      <w:pPr>
        <w:pStyle w:val="ControlledEntitiesDash"/>
        <w:numPr>
          <w:ilvl w:val="0"/>
          <w:numId w:val="21"/>
        </w:numPr>
        <w:ind w:left="284" w:hanging="284"/>
      </w:pPr>
      <w:r>
        <w:t>Rural Northwest Health</w:t>
      </w:r>
    </w:p>
    <w:p w:rsidR="00DF17E9" w:rsidRDefault="00DF17E9" w:rsidP="00044843">
      <w:pPr>
        <w:pStyle w:val="ControlledEntitiesDash"/>
        <w:numPr>
          <w:ilvl w:val="0"/>
          <w:numId w:val="21"/>
        </w:numPr>
        <w:ind w:left="284" w:hanging="284"/>
      </w:pPr>
      <w:r>
        <w:t>Seymour Health</w:t>
      </w:r>
    </w:p>
    <w:p w:rsidR="00DF17E9" w:rsidRDefault="00DF17E9" w:rsidP="00044843">
      <w:pPr>
        <w:pStyle w:val="ControlledEntitiesDash"/>
        <w:numPr>
          <w:ilvl w:val="0"/>
          <w:numId w:val="21"/>
        </w:numPr>
        <w:ind w:left="284" w:hanging="284"/>
      </w:pPr>
      <w:r>
        <w:t>South Gippsland Hospital</w:t>
      </w:r>
    </w:p>
    <w:p w:rsidR="00DF17E9" w:rsidRDefault="00DF17E9" w:rsidP="00044843">
      <w:pPr>
        <w:pStyle w:val="ControlledEntitiesDash"/>
        <w:numPr>
          <w:ilvl w:val="0"/>
          <w:numId w:val="21"/>
        </w:numPr>
        <w:ind w:left="284" w:hanging="284"/>
      </w:pPr>
      <w:r>
        <w:t>South West Healthcare</w:t>
      </w:r>
    </w:p>
    <w:p w:rsidR="00DF17E9" w:rsidRDefault="00DF17E9" w:rsidP="00044843">
      <w:pPr>
        <w:pStyle w:val="ControlledEntitiesDash"/>
        <w:numPr>
          <w:ilvl w:val="0"/>
          <w:numId w:val="21"/>
        </w:numPr>
        <w:ind w:left="284" w:hanging="284"/>
      </w:pPr>
      <w:r>
        <w:t>Stawell Regional Health</w:t>
      </w:r>
    </w:p>
    <w:p w:rsidR="00DF17E9" w:rsidRDefault="00DF17E9" w:rsidP="00044843">
      <w:pPr>
        <w:pStyle w:val="ControlledEntitiesDash"/>
        <w:numPr>
          <w:ilvl w:val="0"/>
          <w:numId w:val="21"/>
        </w:numPr>
        <w:ind w:left="284" w:hanging="284"/>
      </w:pPr>
      <w:r>
        <w:t>Swan Hill District Health</w:t>
      </w:r>
    </w:p>
    <w:p w:rsidR="007422A6" w:rsidRDefault="007422A6" w:rsidP="007422A6">
      <w:pPr>
        <w:pStyle w:val="ListParagraph"/>
        <w:numPr>
          <w:ilvl w:val="0"/>
          <w:numId w:val="21"/>
        </w:numPr>
      </w:pPr>
    </w:p>
    <w:p w:rsidR="007422A6" w:rsidRDefault="007422A6" w:rsidP="007422A6">
      <w:pPr>
        <w:pStyle w:val="ListParagraph"/>
        <w:numPr>
          <w:ilvl w:val="0"/>
          <w:numId w:val="21"/>
        </w:numPr>
        <w:spacing w:after="60"/>
        <w:sectPr w:rsidR="007422A6" w:rsidSect="007422A6">
          <w:headerReference w:type="even" r:id="rId278"/>
          <w:headerReference w:type="default" r:id="rId279"/>
          <w:footerReference w:type="even" r:id="rId280"/>
          <w:footerReference w:type="default" r:id="rId281"/>
          <w:type w:val="continuous"/>
          <w:pgSz w:w="11906" w:h="16838" w:code="9"/>
          <w:pgMar w:top="1134" w:right="992" w:bottom="1134" w:left="1134" w:header="624" w:footer="567" w:gutter="0"/>
          <w:cols w:num="3" w:space="454"/>
          <w:docGrid w:linePitch="360"/>
        </w:sectPr>
      </w:pPr>
    </w:p>
    <w:p w:rsidR="007422A6" w:rsidRDefault="007422A6" w:rsidP="007422A6">
      <w:pPr>
        <w:pStyle w:val="ControlledEntitiesHeading1"/>
        <w:sectPr w:rsidR="007422A6" w:rsidSect="007A0115">
          <w:footerReference w:type="even" r:id="rId282"/>
          <w:type w:val="continuous"/>
          <w:pgSz w:w="11906" w:h="16838" w:code="9"/>
          <w:pgMar w:top="1134" w:right="1134" w:bottom="1134" w:left="1134" w:header="624" w:footer="567" w:gutter="0"/>
          <w:cols w:space="708"/>
          <w:docGrid w:linePitch="360"/>
        </w:sectPr>
      </w:pPr>
      <w:r>
        <w:lastRenderedPageBreak/>
        <w:t>General government (continued)</w:t>
      </w:r>
    </w:p>
    <w:p w:rsidR="00DF17E9" w:rsidRDefault="00DF17E9" w:rsidP="00044843">
      <w:pPr>
        <w:pStyle w:val="ControlledEntitiesDash"/>
        <w:numPr>
          <w:ilvl w:val="0"/>
          <w:numId w:val="21"/>
        </w:numPr>
        <w:ind w:left="284" w:hanging="284"/>
      </w:pPr>
      <w:r>
        <w:lastRenderedPageBreak/>
        <w:t>Tallangatta Health Service</w:t>
      </w:r>
    </w:p>
    <w:p w:rsidR="00DF17E9" w:rsidRDefault="00DF17E9" w:rsidP="00044843">
      <w:pPr>
        <w:pStyle w:val="ControlledEntitiesDash"/>
        <w:numPr>
          <w:ilvl w:val="0"/>
          <w:numId w:val="21"/>
        </w:numPr>
        <w:ind w:left="284" w:hanging="284"/>
      </w:pPr>
      <w:r>
        <w:t>Terang and Mortlake Health Service</w:t>
      </w:r>
    </w:p>
    <w:p w:rsidR="00DF17E9" w:rsidRDefault="00DF17E9" w:rsidP="00044843">
      <w:pPr>
        <w:pStyle w:val="ControlledEntitiesDash"/>
        <w:numPr>
          <w:ilvl w:val="0"/>
          <w:numId w:val="21"/>
        </w:numPr>
        <w:ind w:left="284" w:hanging="284"/>
      </w:pPr>
      <w:r>
        <w:t>The Kilmore and District Health</w:t>
      </w:r>
    </w:p>
    <w:p w:rsidR="00DF17E9" w:rsidRDefault="00DF17E9" w:rsidP="00044843">
      <w:pPr>
        <w:pStyle w:val="ControlledEntitiesDash"/>
        <w:numPr>
          <w:ilvl w:val="0"/>
          <w:numId w:val="21"/>
        </w:numPr>
        <w:ind w:left="284" w:hanging="284"/>
      </w:pPr>
      <w:r>
        <w:t>The Royal Children’s Hospital</w:t>
      </w:r>
    </w:p>
    <w:p w:rsidR="00DF17E9" w:rsidRDefault="00DF17E9" w:rsidP="00044843">
      <w:pPr>
        <w:pStyle w:val="ControlledEntitiesDash"/>
        <w:numPr>
          <w:ilvl w:val="0"/>
          <w:numId w:val="21"/>
        </w:numPr>
        <w:ind w:left="284" w:hanging="284"/>
      </w:pPr>
      <w:r>
        <w:t>The Royal Victorian Eye and Ear Hospital</w:t>
      </w:r>
    </w:p>
    <w:p w:rsidR="00DF17E9" w:rsidRDefault="00DF17E9" w:rsidP="00044843">
      <w:pPr>
        <w:pStyle w:val="ControlledEntitiesDash"/>
        <w:numPr>
          <w:ilvl w:val="0"/>
          <w:numId w:val="21"/>
        </w:numPr>
        <w:ind w:left="284" w:hanging="284"/>
      </w:pPr>
      <w:r>
        <w:t>The Royal Women’s Hospital</w:t>
      </w:r>
    </w:p>
    <w:p w:rsidR="00DF17E9" w:rsidRDefault="00DF17E9" w:rsidP="00044843">
      <w:pPr>
        <w:pStyle w:val="ControlledEntitiesDash"/>
        <w:numPr>
          <w:ilvl w:val="0"/>
          <w:numId w:val="21"/>
        </w:numPr>
        <w:ind w:left="284" w:hanging="284"/>
      </w:pPr>
      <w:r>
        <w:t>Timboon and District Healthcare Service</w:t>
      </w:r>
    </w:p>
    <w:p w:rsidR="00DF17E9" w:rsidRDefault="00DF17E9" w:rsidP="00044843">
      <w:pPr>
        <w:pStyle w:val="ControlledEntitiesDash"/>
        <w:numPr>
          <w:ilvl w:val="0"/>
          <w:numId w:val="21"/>
        </w:numPr>
        <w:ind w:left="284" w:hanging="284"/>
      </w:pPr>
      <w:r>
        <w:t>Upper Murray Health and Community Services</w:t>
      </w:r>
    </w:p>
    <w:p w:rsidR="00DF17E9" w:rsidRDefault="00DF17E9" w:rsidP="00044843">
      <w:pPr>
        <w:pStyle w:val="ControlledEntitiesDash"/>
        <w:numPr>
          <w:ilvl w:val="0"/>
          <w:numId w:val="21"/>
        </w:numPr>
        <w:ind w:left="284" w:hanging="284"/>
      </w:pPr>
      <w:r>
        <w:t xml:space="preserve">Victorian Assisted Reproductive Treatment Authority </w:t>
      </w:r>
    </w:p>
    <w:p w:rsidR="00DF17E9" w:rsidRDefault="00DF17E9" w:rsidP="00044843">
      <w:pPr>
        <w:pStyle w:val="ControlledEntitiesDash"/>
        <w:numPr>
          <w:ilvl w:val="0"/>
          <w:numId w:val="21"/>
        </w:numPr>
        <w:ind w:left="284" w:hanging="284"/>
      </w:pPr>
      <w:r>
        <w:t>Victorian Institute of Forensic Mental Health</w:t>
      </w:r>
    </w:p>
    <w:p w:rsidR="00DF17E9" w:rsidRDefault="00DF17E9" w:rsidP="00044843">
      <w:pPr>
        <w:pStyle w:val="ControlledEntitiesDash"/>
        <w:numPr>
          <w:ilvl w:val="0"/>
          <w:numId w:val="21"/>
        </w:numPr>
        <w:ind w:left="284" w:hanging="284"/>
      </w:pPr>
      <w:r>
        <w:t>West Gippsland Healthcare Group</w:t>
      </w:r>
    </w:p>
    <w:p w:rsidR="00DF17E9" w:rsidRDefault="00DF17E9" w:rsidP="00044843">
      <w:pPr>
        <w:pStyle w:val="ControlledEntitiesDash"/>
        <w:numPr>
          <w:ilvl w:val="0"/>
          <w:numId w:val="21"/>
        </w:numPr>
        <w:ind w:left="284" w:hanging="284"/>
      </w:pPr>
      <w:r>
        <w:t xml:space="preserve">West Wimmera Health Service </w:t>
      </w:r>
      <w:r w:rsidRPr="00F755F9">
        <w:rPr>
          <w:vertAlign w:val="superscript"/>
        </w:rPr>
        <w:t>(c)</w:t>
      </w:r>
    </w:p>
    <w:p w:rsidR="00DF17E9" w:rsidRDefault="00DF17E9" w:rsidP="00044843">
      <w:pPr>
        <w:pStyle w:val="ControlledEntitiesDash"/>
        <w:numPr>
          <w:ilvl w:val="0"/>
          <w:numId w:val="21"/>
        </w:numPr>
        <w:ind w:left="284" w:hanging="284"/>
      </w:pPr>
      <w:r>
        <w:t>Western District Health Service</w:t>
      </w:r>
    </w:p>
    <w:p w:rsidR="00DF17E9" w:rsidRDefault="00DF17E9" w:rsidP="00044843">
      <w:pPr>
        <w:pStyle w:val="ControlledEntitiesDash"/>
        <w:numPr>
          <w:ilvl w:val="0"/>
          <w:numId w:val="21"/>
        </w:numPr>
        <w:ind w:left="284" w:hanging="284"/>
      </w:pPr>
      <w:r>
        <w:t>Western Health</w:t>
      </w:r>
    </w:p>
    <w:p w:rsidR="00DF17E9" w:rsidRDefault="00DF17E9" w:rsidP="00044843">
      <w:pPr>
        <w:pStyle w:val="ControlledEntitiesDash"/>
        <w:numPr>
          <w:ilvl w:val="0"/>
          <w:numId w:val="21"/>
        </w:numPr>
        <w:ind w:left="284" w:hanging="284"/>
      </w:pPr>
      <w:r>
        <w:t>Wimmera Health Care Group</w:t>
      </w:r>
    </w:p>
    <w:p w:rsidR="00DF17E9" w:rsidRDefault="00DF17E9" w:rsidP="00044843">
      <w:pPr>
        <w:pStyle w:val="ControlledEntitiesDash"/>
        <w:numPr>
          <w:ilvl w:val="0"/>
          <w:numId w:val="21"/>
        </w:numPr>
        <w:ind w:left="284" w:hanging="284"/>
      </w:pPr>
      <w:r>
        <w:t>Yarram and District Health Service</w:t>
      </w:r>
    </w:p>
    <w:p w:rsidR="00DF17E9" w:rsidRDefault="00DF17E9" w:rsidP="00044843">
      <w:pPr>
        <w:pStyle w:val="ControlledEntitiesDash"/>
        <w:numPr>
          <w:ilvl w:val="0"/>
          <w:numId w:val="21"/>
        </w:numPr>
        <w:ind w:left="284" w:hanging="284"/>
      </w:pPr>
      <w:r>
        <w:t>Yarrawonga District Health Service</w:t>
      </w:r>
    </w:p>
    <w:p w:rsidR="00DF17E9" w:rsidRDefault="00DF17E9" w:rsidP="00044843">
      <w:pPr>
        <w:pStyle w:val="ControlledEntitiesDash"/>
        <w:numPr>
          <w:ilvl w:val="0"/>
          <w:numId w:val="21"/>
        </w:numPr>
        <w:ind w:left="284" w:hanging="284"/>
      </w:pPr>
      <w:r>
        <w:t>Yea and District Memorial Hospital</w:t>
      </w:r>
    </w:p>
    <w:p w:rsidR="00DF17E9" w:rsidRDefault="00DF17E9" w:rsidP="00044843">
      <w:pPr>
        <w:pStyle w:val="ControlledEntitiesText"/>
      </w:pPr>
      <w:r>
        <w:t>The Queen Elizabeth Centre</w:t>
      </w:r>
    </w:p>
    <w:p w:rsidR="00DF17E9" w:rsidRDefault="00DF17E9" w:rsidP="00044843">
      <w:pPr>
        <w:pStyle w:val="ControlledEntitiesText"/>
      </w:pPr>
      <w:r>
        <w:t>Tweddle Child and Family Health Service</w:t>
      </w:r>
    </w:p>
    <w:p w:rsidR="00DF17E9" w:rsidRDefault="00DF17E9" w:rsidP="00044843">
      <w:pPr>
        <w:pStyle w:val="ControlledEntitiesText"/>
      </w:pPr>
      <w:r>
        <w:t>Victorian Health Promotion Foundation</w:t>
      </w:r>
    </w:p>
    <w:p w:rsidR="00DF17E9" w:rsidRDefault="00DF17E9" w:rsidP="00044843">
      <w:pPr>
        <w:pStyle w:val="ControlledEntitiesText"/>
      </w:pPr>
      <w:r>
        <w:t>Victorian Institute of Sport Limited</w:t>
      </w:r>
    </w:p>
    <w:p w:rsidR="00DF17E9" w:rsidRDefault="00DF17E9" w:rsidP="00044843">
      <w:pPr>
        <w:pStyle w:val="ControlledEntitiesText"/>
      </w:pPr>
      <w:r>
        <w:t>Victorian Institute of Sport Trust</w:t>
      </w:r>
    </w:p>
    <w:p w:rsidR="00DF17E9" w:rsidRDefault="00DF17E9" w:rsidP="00044843">
      <w:pPr>
        <w:pStyle w:val="ControlledEntitiesText"/>
      </w:pPr>
      <w:r>
        <w:t>Victorian Pharmacy Authority</w:t>
      </w:r>
    </w:p>
    <w:p w:rsidR="00DF17E9" w:rsidRDefault="00DF17E9" w:rsidP="00044843">
      <w:pPr>
        <w:pStyle w:val="ControlledEntitiesHeading2"/>
      </w:pPr>
      <w:r>
        <w:t>Department of Justice and Regulation</w:t>
      </w:r>
    </w:p>
    <w:p w:rsidR="00DF17E9" w:rsidRDefault="00DF17E9" w:rsidP="00044843">
      <w:pPr>
        <w:pStyle w:val="ControlledEntitiesText"/>
      </w:pPr>
      <w:r>
        <w:t>Country Fire Authority</w:t>
      </w:r>
    </w:p>
    <w:p w:rsidR="00DF17E9" w:rsidRDefault="00DF17E9" w:rsidP="00044843">
      <w:pPr>
        <w:pStyle w:val="ControlledEntitiesText"/>
      </w:pPr>
      <w:r>
        <w:t>Emergency Services Telecommunications Authority</w:t>
      </w:r>
    </w:p>
    <w:p w:rsidR="00DF17E9" w:rsidRDefault="00DF17E9" w:rsidP="00044843">
      <w:pPr>
        <w:pStyle w:val="ControlledEntitiesText"/>
      </w:pPr>
      <w:r>
        <w:t>Metropolitan Fire and Emergency Services Board</w:t>
      </w:r>
    </w:p>
    <w:p w:rsidR="00DF17E9" w:rsidRDefault="00DF17E9" w:rsidP="00044843">
      <w:pPr>
        <w:pStyle w:val="ControlledEntitiesText"/>
      </w:pPr>
      <w:r>
        <w:t>Office of Public Prosecutions</w:t>
      </w:r>
    </w:p>
    <w:p w:rsidR="00DF17E9" w:rsidRDefault="00DF17E9" w:rsidP="00044843">
      <w:pPr>
        <w:pStyle w:val="ControlledEntitiesText"/>
      </w:pPr>
      <w:r>
        <w:t>Residential Tenancies Bond Authority</w:t>
      </w:r>
    </w:p>
    <w:p w:rsidR="00DF17E9" w:rsidRDefault="00DF17E9" w:rsidP="00044843">
      <w:pPr>
        <w:pStyle w:val="ControlledEntitiesText"/>
      </w:pPr>
      <w:r>
        <w:t>Sentencing Advisory Council</w:t>
      </w:r>
    </w:p>
    <w:p w:rsidR="00DF17E9" w:rsidRDefault="00DF17E9" w:rsidP="00044843">
      <w:pPr>
        <w:pStyle w:val="ControlledEntitiesText"/>
      </w:pPr>
      <w:r>
        <w:lastRenderedPageBreak/>
        <w:t>Victoria Legal Aid</w:t>
      </w:r>
    </w:p>
    <w:p w:rsidR="00DF17E9" w:rsidRDefault="00DF17E9" w:rsidP="00044843">
      <w:pPr>
        <w:pStyle w:val="ControlledEntitiesText"/>
      </w:pPr>
      <w:r>
        <w:t>Victoria Police (Office of the Chief Commissioner of Police)</w:t>
      </w:r>
    </w:p>
    <w:p w:rsidR="00DF17E9" w:rsidRDefault="00DF17E9" w:rsidP="00044843">
      <w:pPr>
        <w:pStyle w:val="ControlledEntitiesText"/>
      </w:pPr>
      <w:r>
        <w:t>Victoria State Emergency Service Authority</w:t>
      </w:r>
    </w:p>
    <w:p w:rsidR="00DF17E9" w:rsidRDefault="00DF17E9" w:rsidP="00044843">
      <w:pPr>
        <w:pStyle w:val="ControlledEntitiesText"/>
      </w:pPr>
      <w:r>
        <w:t>Victorian Commission for Gambling and Liquor Regulation</w:t>
      </w:r>
    </w:p>
    <w:p w:rsidR="00DF17E9" w:rsidRDefault="00DF17E9" w:rsidP="00044843">
      <w:pPr>
        <w:pStyle w:val="ControlledEntitiesText"/>
      </w:pPr>
      <w:r>
        <w:t>Victorian Equal Opportunity and Human Rights Commission</w:t>
      </w:r>
    </w:p>
    <w:p w:rsidR="00DF17E9" w:rsidRDefault="00DF17E9" w:rsidP="00044843">
      <w:pPr>
        <w:pStyle w:val="ControlledEntitiesText"/>
      </w:pPr>
      <w:r>
        <w:t>Victorian Institute of Forensic Medicine</w:t>
      </w:r>
    </w:p>
    <w:p w:rsidR="00DF17E9" w:rsidRDefault="00DF17E9" w:rsidP="00044843">
      <w:pPr>
        <w:pStyle w:val="ControlledEntitiesText"/>
      </w:pPr>
      <w:r>
        <w:t>Victorian Law Reform Commission</w:t>
      </w:r>
    </w:p>
    <w:p w:rsidR="00DF17E9" w:rsidRDefault="00DF17E9" w:rsidP="00044843">
      <w:pPr>
        <w:pStyle w:val="ControlledEntitiesText"/>
      </w:pPr>
      <w:r>
        <w:t>Victorian Legal Services Board</w:t>
      </w:r>
    </w:p>
    <w:p w:rsidR="00DF17E9" w:rsidRDefault="00DF17E9" w:rsidP="00044843">
      <w:pPr>
        <w:pStyle w:val="ControlledEntitiesText"/>
      </w:pPr>
      <w:r>
        <w:t>Victorian Legal Services Commissioner</w:t>
      </w:r>
    </w:p>
    <w:p w:rsidR="00DF17E9" w:rsidRDefault="00DF17E9" w:rsidP="00044843">
      <w:pPr>
        <w:pStyle w:val="ControlledEntitiesText"/>
      </w:pPr>
      <w:r>
        <w:t>Victorian Professional Standards Council</w:t>
      </w:r>
    </w:p>
    <w:p w:rsidR="00DF17E9" w:rsidRDefault="00DF17E9" w:rsidP="00044843">
      <w:pPr>
        <w:pStyle w:val="ControlledEntitiesText"/>
      </w:pPr>
      <w:r>
        <w:t xml:space="preserve">Victorian Responsible Gambling Foundation </w:t>
      </w:r>
    </w:p>
    <w:p w:rsidR="00DF17E9" w:rsidRDefault="00DF17E9" w:rsidP="00044843">
      <w:pPr>
        <w:pStyle w:val="ControlledEntitiesHeading2"/>
      </w:pPr>
      <w:r>
        <w:t xml:space="preserve">Department of Premier and Cabinet </w:t>
      </w:r>
      <w:r>
        <w:rPr>
          <w:vertAlign w:val="superscript"/>
        </w:rPr>
        <w:t>(d</w:t>
      </w:r>
      <w:r w:rsidRPr="00F17872">
        <w:rPr>
          <w:vertAlign w:val="superscript"/>
        </w:rPr>
        <w:t>)</w:t>
      </w:r>
    </w:p>
    <w:p w:rsidR="00DF17E9" w:rsidRDefault="00DF17E9" w:rsidP="00044843">
      <w:pPr>
        <w:pStyle w:val="ControlledEntitiesText"/>
      </w:pPr>
      <w:r>
        <w:t>Freedom of Information Commissioner</w:t>
      </w:r>
    </w:p>
    <w:p w:rsidR="00DF17E9" w:rsidRDefault="00DF17E9" w:rsidP="00044843">
      <w:pPr>
        <w:pStyle w:val="ControlledEntitiesText"/>
      </w:pPr>
      <w:r>
        <w:t>Independent Broad</w:t>
      </w:r>
      <w:r>
        <w:noBreakHyphen/>
        <w:t>based Anti</w:t>
      </w:r>
      <w:r>
        <w:noBreakHyphen/>
        <w:t>corruption Commission (IBAC)</w:t>
      </w:r>
    </w:p>
    <w:p w:rsidR="00DF17E9" w:rsidRDefault="00DF17E9" w:rsidP="00044843">
      <w:pPr>
        <w:pStyle w:val="ControlledEntitiesText"/>
      </w:pPr>
      <w:r>
        <w:t xml:space="preserve">Infrastructure Victoria </w:t>
      </w:r>
      <w:r>
        <w:rPr>
          <w:vertAlign w:val="superscript"/>
        </w:rPr>
        <w:t>(e</w:t>
      </w:r>
      <w:r w:rsidRPr="00BF6B3C">
        <w:rPr>
          <w:vertAlign w:val="superscript"/>
        </w:rPr>
        <w:t>)</w:t>
      </w:r>
    </w:p>
    <w:p w:rsidR="00DF17E9" w:rsidRDefault="00DF17E9" w:rsidP="00044843">
      <w:pPr>
        <w:pStyle w:val="ControlledEntitiesText"/>
      </w:pPr>
      <w:r>
        <w:t>Office of the Commissioner for Privacy and Data Protection</w:t>
      </w:r>
    </w:p>
    <w:p w:rsidR="00DF17E9" w:rsidRDefault="00DF17E9" w:rsidP="00044843">
      <w:pPr>
        <w:pStyle w:val="ControlledEntitiesText"/>
      </w:pPr>
      <w:r>
        <w:t xml:space="preserve">Ombudsman Victoria </w:t>
      </w:r>
    </w:p>
    <w:p w:rsidR="00DF17E9" w:rsidRDefault="00DF17E9" w:rsidP="00044843">
      <w:pPr>
        <w:pStyle w:val="ControlledEntitiesText"/>
      </w:pPr>
      <w:r>
        <w:t>Shrine of Remembrance Trustees</w:t>
      </w:r>
    </w:p>
    <w:p w:rsidR="00DF17E9" w:rsidRDefault="00DF17E9" w:rsidP="00044843">
      <w:pPr>
        <w:pStyle w:val="ControlledEntitiesText"/>
      </w:pPr>
      <w:r>
        <w:t>Victorian Aboriginal Heritage Council</w:t>
      </w:r>
    </w:p>
    <w:p w:rsidR="00DF17E9" w:rsidRDefault="00DF17E9" w:rsidP="00044843">
      <w:pPr>
        <w:pStyle w:val="ControlledEntitiesText"/>
      </w:pPr>
      <w:r>
        <w:t>Victorian Electoral Commission</w:t>
      </w:r>
    </w:p>
    <w:p w:rsidR="00DF17E9" w:rsidRDefault="00DF17E9" w:rsidP="00044843">
      <w:pPr>
        <w:pStyle w:val="ControlledEntitiesText"/>
      </w:pPr>
      <w:r>
        <w:t>Victorian Inspectorate</w:t>
      </w:r>
    </w:p>
    <w:p w:rsidR="00DF17E9" w:rsidRDefault="00DF17E9" w:rsidP="00044843">
      <w:pPr>
        <w:pStyle w:val="ControlledEntitiesText"/>
      </w:pPr>
      <w:r>
        <w:t xml:space="preserve">Victorian Multicultural Commission </w:t>
      </w:r>
    </w:p>
    <w:p w:rsidR="00DF17E9" w:rsidRDefault="00DF17E9" w:rsidP="00044843">
      <w:pPr>
        <w:pStyle w:val="ControlledEntitiesText"/>
      </w:pPr>
      <w:r>
        <w:t>Victorian Public Sector Commission</w:t>
      </w:r>
    </w:p>
    <w:p w:rsidR="00DF17E9" w:rsidRDefault="00DF17E9" w:rsidP="00044843">
      <w:pPr>
        <w:pStyle w:val="ControlledEntitiesText"/>
      </w:pPr>
      <w:r>
        <w:t>Victorian Veterans Council</w:t>
      </w:r>
    </w:p>
    <w:p w:rsidR="00DF17E9" w:rsidRDefault="00DF17E9" w:rsidP="00044843">
      <w:pPr>
        <w:pStyle w:val="ControlledEntitiesHeading2"/>
      </w:pPr>
      <w:r>
        <w:t>Department of Economic Development, Jobs, Transport and Resources</w:t>
      </w:r>
    </w:p>
    <w:p w:rsidR="00DF17E9" w:rsidRDefault="00DF17E9" w:rsidP="00044843">
      <w:pPr>
        <w:pStyle w:val="ControlledEntitiesText"/>
      </w:pPr>
      <w:r>
        <w:t>Australian Centre for the Moving Image</w:t>
      </w:r>
    </w:p>
    <w:p w:rsidR="00DF17E9" w:rsidRDefault="00DF17E9" w:rsidP="00044843">
      <w:pPr>
        <w:pStyle w:val="ControlledEntitiesText"/>
      </w:pPr>
      <w:r>
        <w:t xml:space="preserve">Australian Synchrotron Holding Company </w:t>
      </w:r>
      <w:r>
        <w:rPr>
          <w:vertAlign w:val="superscript"/>
        </w:rPr>
        <w:t>(f</w:t>
      </w:r>
      <w:r w:rsidRPr="00BF6B3C">
        <w:rPr>
          <w:vertAlign w:val="superscript"/>
        </w:rPr>
        <w:t>)</w:t>
      </w:r>
    </w:p>
    <w:p w:rsidR="00DF17E9" w:rsidRDefault="00DF17E9" w:rsidP="00044843">
      <w:pPr>
        <w:pStyle w:val="ControlledEntitiesText"/>
      </w:pPr>
      <w:r>
        <w:lastRenderedPageBreak/>
        <w:t>Docklands Studios Melbourne Pty Ltd</w:t>
      </w:r>
    </w:p>
    <w:p w:rsidR="00DF17E9" w:rsidRDefault="00DF17E9" w:rsidP="00044843">
      <w:pPr>
        <w:pStyle w:val="ControlledEntitiesText"/>
      </w:pPr>
      <w:r>
        <w:t xml:space="preserve">Energy Safe Victoria </w:t>
      </w:r>
      <w:r w:rsidRPr="004A097E">
        <w:rPr>
          <w:vertAlign w:val="superscript"/>
        </w:rPr>
        <w:t>(g)</w:t>
      </w:r>
    </w:p>
    <w:p w:rsidR="00DF17E9" w:rsidRDefault="00DF17E9" w:rsidP="00044843">
      <w:pPr>
        <w:pStyle w:val="ControlledEntitiesText"/>
      </w:pPr>
      <w:r>
        <w:t>Film Victoria</w:t>
      </w:r>
    </w:p>
    <w:p w:rsidR="00DF17E9" w:rsidRDefault="00DF17E9" w:rsidP="00044843">
      <w:pPr>
        <w:pStyle w:val="ControlledEntitiesText"/>
      </w:pPr>
      <w:r>
        <w:t>Game Management Authority</w:t>
      </w:r>
    </w:p>
    <w:p w:rsidR="00DF17E9" w:rsidRDefault="00DF17E9" w:rsidP="00044843">
      <w:pPr>
        <w:pStyle w:val="ControlledEntitiesText"/>
      </w:pPr>
      <w:r>
        <w:t>Library Board of Victoria</w:t>
      </w:r>
    </w:p>
    <w:p w:rsidR="00DF17E9" w:rsidRDefault="00DF17E9" w:rsidP="00044843">
      <w:pPr>
        <w:pStyle w:val="ControlledEntitiesText"/>
      </w:pPr>
      <w:r>
        <w:t>Linking Melbourne Authority</w:t>
      </w:r>
    </w:p>
    <w:p w:rsidR="00DF17E9" w:rsidRDefault="00DF17E9" w:rsidP="00044843">
      <w:pPr>
        <w:pStyle w:val="ControlledEntitiesText"/>
      </w:pPr>
      <w:r>
        <w:t xml:space="preserve">Major Projects Victoria </w:t>
      </w:r>
    </w:p>
    <w:p w:rsidR="00DF17E9" w:rsidRDefault="00DF17E9" w:rsidP="00044843">
      <w:pPr>
        <w:pStyle w:val="ControlledEntitiesText"/>
      </w:pPr>
      <w:r>
        <w:t>Melbourne Cricket Ground Trust</w:t>
      </w:r>
    </w:p>
    <w:p w:rsidR="00DF17E9" w:rsidRDefault="00DF17E9" w:rsidP="00044843">
      <w:pPr>
        <w:pStyle w:val="ControlledEntitiesText"/>
      </w:pPr>
      <w:r>
        <w:t xml:space="preserve">Melbourne Recital Centre Limited </w:t>
      </w:r>
    </w:p>
    <w:p w:rsidR="00DF17E9" w:rsidRDefault="00DF17E9" w:rsidP="00044843">
      <w:pPr>
        <w:pStyle w:val="ControlledEntitiesText"/>
      </w:pPr>
      <w:r>
        <w:t xml:space="preserve">Museums Board of Victoria </w:t>
      </w:r>
    </w:p>
    <w:p w:rsidR="00DF17E9" w:rsidRDefault="00DF17E9" w:rsidP="00044843">
      <w:pPr>
        <w:pStyle w:val="ControlledEntitiesText"/>
      </w:pPr>
      <w:r>
        <w:t xml:space="preserve">National Gallery of Victoria, Council of Trustees </w:t>
      </w:r>
    </w:p>
    <w:p w:rsidR="00DF17E9" w:rsidRDefault="00DF17E9" w:rsidP="00044843">
      <w:pPr>
        <w:pStyle w:val="ControlledEntitiesText"/>
      </w:pPr>
      <w:r>
        <w:t xml:space="preserve">Public Transport Development Authority </w:t>
      </w:r>
    </w:p>
    <w:p w:rsidR="00DF17E9" w:rsidRDefault="00DF17E9" w:rsidP="00044843">
      <w:pPr>
        <w:pStyle w:val="ControlledEntitiesText"/>
      </w:pPr>
      <w:r>
        <w:t>Regional Development Victoria</w:t>
      </w:r>
    </w:p>
    <w:p w:rsidR="00DF17E9" w:rsidRDefault="00DF17E9" w:rsidP="00044843">
      <w:pPr>
        <w:pStyle w:val="ControlledEntitiesText"/>
      </w:pPr>
      <w:r>
        <w:t>Roads Corporation</w:t>
      </w:r>
    </w:p>
    <w:p w:rsidR="00DF17E9" w:rsidRDefault="00DF17E9" w:rsidP="00044843">
      <w:pPr>
        <w:pStyle w:val="ControlledEntitiesText"/>
      </w:pPr>
      <w:r>
        <w:t xml:space="preserve">Rural Assistance Commissioner </w:t>
      </w:r>
      <w:r>
        <w:rPr>
          <w:vertAlign w:val="superscript"/>
        </w:rPr>
        <w:t>(h</w:t>
      </w:r>
      <w:r w:rsidRPr="00BF6B3C">
        <w:rPr>
          <w:vertAlign w:val="superscript"/>
        </w:rPr>
        <w:t>)</w:t>
      </w:r>
    </w:p>
    <w:p w:rsidR="00DF17E9" w:rsidRDefault="00DF17E9" w:rsidP="00044843">
      <w:pPr>
        <w:pStyle w:val="ControlledEntitiesText"/>
      </w:pPr>
      <w:r>
        <w:t>Taxi Services Commission</w:t>
      </w:r>
    </w:p>
    <w:p w:rsidR="00DF17E9" w:rsidRDefault="00DF17E9" w:rsidP="00044843">
      <w:pPr>
        <w:pStyle w:val="ControlledEntitiesText"/>
      </w:pPr>
      <w:r>
        <w:t xml:space="preserve">Tourism Victoria </w:t>
      </w:r>
      <w:r>
        <w:rPr>
          <w:vertAlign w:val="superscript"/>
        </w:rPr>
        <w:t>(i</w:t>
      </w:r>
      <w:r w:rsidRPr="00BF6B3C">
        <w:rPr>
          <w:vertAlign w:val="superscript"/>
        </w:rPr>
        <w:t>)</w:t>
      </w:r>
    </w:p>
    <w:p w:rsidR="00DF17E9" w:rsidRDefault="00DF17E9" w:rsidP="00044843">
      <w:pPr>
        <w:pStyle w:val="ControlledEntitiesText"/>
      </w:pPr>
      <w:r>
        <w:t xml:space="preserve">Veterinary Practitioners Registration Board of Victoria </w:t>
      </w:r>
    </w:p>
    <w:p w:rsidR="00DF17E9" w:rsidRDefault="00DF17E9" w:rsidP="00044843">
      <w:pPr>
        <w:pStyle w:val="ControlledEntitiesText"/>
      </w:pPr>
      <w:r>
        <w:t>Victorian Trade and Investment Office</w:t>
      </w:r>
    </w:p>
    <w:p w:rsidR="00DF17E9" w:rsidRDefault="00DF17E9" w:rsidP="00044843">
      <w:pPr>
        <w:pStyle w:val="ControlledEntitiesText"/>
      </w:pPr>
      <w:r>
        <w:t xml:space="preserve">Visit Victoria </w:t>
      </w:r>
      <w:r w:rsidRPr="00BF6B3C">
        <w:rPr>
          <w:vertAlign w:val="superscript"/>
        </w:rPr>
        <w:t>(</w:t>
      </w:r>
      <w:r>
        <w:rPr>
          <w:vertAlign w:val="superscript"/>
        </w:rPr>
        <w:t>i</w:t>
      </w:r>
      <w:r w:rsidRPr="00BF6B3C">
        <w:rPr>
          <w:vertAlign w:val="superscript"/>
        </w:rPr>
        <w:t>)</w:t>
      </w:r>
    </w:p>
    <w:p w:rsidR="00DF17E9" w:rsidRDefault="00DF17E9" w:rsidP="00044843">
      <w:pPr>
        <w:pStyle w:val="ControlledEntitiesHeading2"/>
      </w:pPr>
      <w:r>
        <w:t xml:space="preserve">Department of Treasury and Finance </w:t>
      </w:r>
      <w:r>
        <w:rPr>
          <w:b w:val="0"/>
          <w:vertAlign w:val="superscript"/>
        </w:rPr>
        <w:t>(d</w:t>
      </w:r>
      <w:r w:rsidRPr="00217BD0">
        <w:rPr>
          <w:b w:val="0"/>
          <w:vertAlign w:val="superscript"/>
        </w:rPr>
        <w:t>)</w:t>
      </w:r>
    </w:p>
    <w:p w:rsidR="00DF17E9" w:rsidRDefault="00DF17E9" w:rsidP="00044843">
      <w:pPr>
        <w:pStyle w:val="ControlledEntitiesText"/>
      </w:pPr>
      <w:r>
        <w:t xml:space="preserve">CenITex </w:t>
      </w:r>
    </w:p>
    <w:p w:rsidR="00DF17E9" w:rsidRDefault="00DF17E9" w:rsidP="00044843">
      <w:pPr>
        <w:pStyle w:val="ControlledEntitiesText"/>
      </w:pPr>
      <w:r>
        <w:t xml:space="preserve">Essential Services Commission </w:t>
      </w:r>
    </w:p>
    <w:p w:rsidR="00DF17E9" w:rsidRDefault="00DF17E9" w:rsidP="00044843">
      <w:pPr>
        <w:pStyle w:val="ControlledEntitiesHeading2"/>
      </w:pPr>
      <w:r>
        <w:t>Courts</w:t>
      </w:r>
    </w:p>
    <w:p w:rsidR="00DF17E9" w:rsidRDefault="00DF17E9" w:rsidP="00044843">
      <w:pPr>
        <w:pStyle w:val="ControlledEntitiesText"/>
      </w:pPr>
      <w:r>
        <w:t xml:space="preserve">Judicial College of Victoria </w:t>
      </w:r>
    </w:p>
    <w:p w:rsidR="00DF17E9" w:rsidRDefault="00DF17E9" w:rsidP="00044843">
      <w:pPr>
        <w:pStyle w:val="ControlledEntitiesHeading2"/>
      </w:pPr>
      <w:r>
        <w:t>Parliament of Victoria</w:t>
      </w:r>
    </w:p>
    <w:p w:rsidR="00DF17E9" w:rsidRPr="00BF6B3C" w:rsidRDefault="00DF17E9" w:rsidP="00044843">
      <w:pPr>
        <w:spacing w:after="0"/>
        <w:rPr>
          <w:sz w:val="16"/>
        </w:rPr>
      </w:pPr>
    </w:p>
    <w:p w:rsidR="00DF17E9" w:rsidRDefault="00DF17E9" w:rsidP="00044843">
      <w:pPr>
        <w:pStyle w:val="ControlledEntitiesHeading2"/>
      </w:pPr>
      <w:r>
        <w:t xml:space="preserve">Victorian Auditor General’s Office </w:t>
      </w:r>
    </w:p>
    <w:p w:rsidR="00DF17E9" w:rsidRDefault="00DF17E9" w:rsidP="00044843"/>
    <w:p w:rsidR="00DF17E9" w:rsidRDefault="00DF17E9" w:rsidP="00044843"/>
    <w:p w:rsidR="00DF17E9" w:rsidRDefault="00DF17E9" w:rsidP="00044843">
      <w:pPr>
        <w:pStyle w:val="ControlledEntitiesHeading2"/>
        <w:sectPr w:rsidR="00DF17E9" w:rsidSect="007422A6">
          <w:type w:val="continuous"/>
          <w:pgSz w:w="11906" w:h="16838" w:code="9"/>
          <w:pgMar w:top="1134" w:right="992" w:bottom="1134" w:left="1134" w:header="624" w:footer="567" w:gutter="0"/>
          <w:cols w:num="3" w:space="454"/>
          <w:docGrid w:linePitch="360"/>
        </w:sectPr>
      </w:pPr>
    </w:p>
    <w:p w:rsidR="00DF17E9" w:rsidRDefault="00DF17E9" w:rsidP="00744C3A">
      <w:pPr>
        <w:pStyle w:val="ControlledEntitiesHeading1"/>
        <w:spacing w:before="80"/>
        <w:sectPr w:rsidR="00DF17E9" w:rsidSect="00044843">
          <w:type w:val="continuous"/>
          <w:pgSz w:w="11906" w:h="16838" w:code="9"/>
          <w:pgMar w:top="1134" w:right="1134" w:bottom="1134" w:left="1134" w:header="624" w:footer="567" w:gutter="0"/>
          <w:cols w:space="708"/>
          <w:docGrid w:linePitch="360"/>
        </w:sectPr>
      </w:pPr>
      <w:r w:rsidRPr="00BF6B3C">
        <w:lastRenderedPageBreak/>
        <w:t>Public non-financial corporation</w:t>
      </w:r>
    </w:p>
    <w:p w:rsidR="00DF17E9" w:rsidRDefault="00DF17E9" w:rsidP="00044843">
      <w:pPr>
        <w:pStyle w:val="ControlledEntitiesHeading2"/>
      </w:pPr>
      <w:r>
        <w:lastRenderedPageBreak/>
        <w:t>Department of Environment, Land, Water and Planning</w:t>
      </w:r>
    </w:p>
    <w:p w:rsidR="00DF17E9" w:rsidRDefault="00DF17E9" w:rsidP="00044843">
      <w:pPr>
        <w:pStyle w:val="ControlledEntitiesText"/>
      </w:pPr>
      <w:r>
        <w:t>Alpine Resorts Management Board including:</w:t>
      </w:r>
    </w:p>
    <w:p w:rsidR="00DF17E9" w:rsidRDefault="00DF17E9" w:rsidP="00044843">
      <w:pPr>
        <w:pStyle w:val="ControlledEntitiesDash"/>
        <w:numPr>
          <w:ilvl w:val="0"/>
          <w:numId w:val="21"/>
        </w:numPr>
        <w:ind w:left="284" w:hanging="284"/>
      </w:pPr>
      <w:r>
        <w:t>Alpine Resorts Co-ordinating Council</w:t>
      </w:r>
    </w:p>
    <w:p w:rsidR="00DF17E9" w:rsidRDefault="00DF17E9" w:rsidP="00044843">
      <w:pPr>
        <w:pStyle w:val="ControlledEntitiesDash"/>
        <w:numPr>
          <w:ilvl w:val="0"/>
          <w:numId w:val="21"/>
        </w:numPr>
        <w:ind w:left="284" w:hanging="284"/>
      </w:pPr>
      <w:r>
        <w:t>Falls Creek Alpine Resort Management Board</w:t>
      </w:r>
    </w:p>
    <w:p w:rsidR="00DF17E9" w:rsidRDefault="00DF17E9" w:rsidP="00044843">
      <w:pPr>
        <w:pStyle w:val="ControlledEntitiesDash"/>
        <w:numPr>
          <w:ilvl w:val="0"/>
          <w:numId w:val="21"/>
        </w:numPr>
        <w:ind w:left="284" w:hanging="284"/>
      </w:pPr>
      <w:r>
        <w:t>Lake Mountain Alpine Resort Management Board</w:t>
      </w:r>
    </w:p>
    <w:p w:rsidR="00DF17E9" w:rsidRDefault="00DF17E9" w:rsidP="00044843">
      <w:pPr>
        <w:pStyle w:val="ControlledEntitiesDash"/>
        <w:numPr>
          <w:ilvl w:val="0"/>
          <w:numId w:val="21"/>
        </w:numPr>
        <w:ind w:left="284" w:hanging="284"/>
      </w:pPr>
      <w:r>
        <w:t>Mount Baw Baw Alpine Resort Management Board</w:t>
      </w:r>
    </w:p>
    <w:p w:rsidR="00DF17E9" w:rsidRDefault="00DF17E9" w:rsidP="00044843">
      <w:pPr>
        <w:pStyle w:val="ControlledEntitiesDash"/>
        <w:numPr>
          <w:ilvl w:val="0"/>
          <w:numId w:val="21"/>
        </w:numPr>
        <w:ind w:left="284" w:hanging="284"/>
      </w:pPr>
      <w:r>
        <w:t>Mount Buller and Mount Stirling Alpine Resort Management Board</w:t>
      </w:r>
    </w:p>
    <w:p w:rsidR="00DF17E9" w:rsidRDefault="00DF17E9" w:rsidP="00044843">
      <w:pPr>
        <w:pStyle w:val="ControlledEntitiesDash"/>
        <w:numPr>
          <w:ilvl w:val="0"/>
          <w:numId w:val="21"/>
        </w:numPr>
        <w:ind w:left="284" w:hanging="284"/>
      </w:pPr>
      <w:r>
        <w:t>Mount Hotham Alpine Resort Management Board</w:t>
      </w:r>
    </w:p>
    <w:p w:rsidR="00DF17E9" w:rsidRDefault="00DF17E9" w:rsidP="00044843">
      <w:pPr>
        <w:pStyle w:val="ControlledEntitiesText"/>
      </w:pPr>
      <w:r>
        <w:t>Phillip Island Nature Parks</w:t>
      </w:r>
    </w:p>
    <w:p w:rsidR="00DF17E9" w:rsidRDefault="00DF17E9" w:rsidP="00044843">
      <w:pPr>
        <w:pStyle w:val="ControlledEntitiesText"/>
      </w:pPr>
      <w:r>
        <w:t>Waste and Resource Recovery Groups including:</w:t>
      </w:r>
    </w:p>
    <w:p w:rsidR="00DF17E9" w:rsidRDefault="00DF17E9" w:rsidP="00044843">
      <w:pPr>
        <w:pStyle w:val="ControlledEntitiesDash"/>
        <w:numPr>
          <w:ilvl w:val="0"/>
          <w:numId w:val="21"/>
        </w:numPr>
        <w:ind w:left="284" w:hanging="284"/>
      </w:pPr>
      <w:r>
        <w:t xml:space="preserve">Barwon South West Waste and Resource Recovery Group </w:t>
      </w:r>
    </w:p>
    <w:p w:rsidR="00DF17E9" w:rsidRDefault="00DF17E9" w:rsidP="00044843">
      <w:pPr>
        <w:pStyle w:val="ControlledEntitiesDash"/>
        <w:numPr>
          <w:ilvl w:val="0"/>
          <w:numId w:val="21"/>
        </w:numPr>
        <w:ind w:left="284" w:hanging="284"/>
      </w:pPr>
      <w:r>
        <w:lastRenderedPageBreak/>
        <w:t xml:space="preserve">Gippsland Waste and Resource Recovery Group </w:t>
      </w:r>
    </w:p>
    <w:p w:rsidR="00DF17E9" w:rsidRDefault="00DF17E9" w:rsidP="00044843">
      <w:pPr>
        <w:pStyle w:val="ControlledEntitiesDash"/>
        <w:numPr>
          <w:ilvl w:val="0"/>
          <w:numId w:val="21"/>
        </w:numPr>
        <w:ind w:left="284" w:hanging="284"/>
      </w:pPr>
      <w:r>
        <w:t xml:space="preserve">Goulburn Valley Waste and Resource Recovery Group </w:t>
      </w:r>
    </w:p>
    <w:p w:rsidR="00DF17E9" w:rsidRDefault="00DF17E9" w:rsidP="00044843">
      <w:pPr>
        <w:pStyle w:val="ControlledEntitiesDash"/>
        <w:numPr>
          <w:ilvl w:val="0"/>
          <w:numId w:val="21"/>
        </w:numPr>
        <w:ind w:left="284" w:hanging="284"/>
      </w:pPr>
      <w:r>
        <w:t xml:space="preserve">Grampians Central Waste and Resource Recovery Group </w:t>
      </w:r>
    </w:p>
    <w:p w:rsidR="00DF17E9" w:rsidRDefault="00DF17E9" w:rsidP="00044843">
      <w:pPr>
        <w:pStyle w:val="ControlledEntitiesDash"/>
        <w:numPr>
          <w:ilvl w:val="0"/>
          <w:numId w:val="21"/>
        </w:numPr>
        <w:ind w:left="284" w:hanging="284"/>
      </w:pPr>
      <w:r>
        <w:t>Metropolitan Waste and Resource Recovery Group</w:t>
      </w:r>
    </w:p>
    <w:p w:rsidR="00DF17E9" w:rsidRDefault="00DF17E9" w:rsidP="00044843">
      <w:pPr>
        <w:pStyle w:val="ControlledEntitiesDash"/>
        <w:numPr>
          <w:ilvl w:val="0"/>
          <w:numId w:val="21"/>
        </w:numPr>
        <w:ind w:left="284" w:hanging="284"/>
      </w:pPr>
      <w:r>
        <w:t xml:space="preserve">Loddon Mallee Waste and Resource Recovery Group </w:t>
      </w:r>
    </w:p>
    <w:p w:rsidR="00DF17E9" w:rsidRDefault="00DF17E9" w:rsidP="00044843">
      <w:pPr>
        <w:pStyle w:val="ControlledEntitiesDash"/>
        <w:numPr>
          <w:ilvl w:val="0"/>
          <w:numId w:val="21"/>
        </w:numPr>
        <w:ind w:left="284" w:hanging="284"/>
      </w:pPr>
      <w:r>
        <w:t xml:space="preserve">North East Waste and Resource Recovery Group </w:t>
      </w:r>
    </w:p>
    <w:p w:rsidR="00DF17E9" w:rsidRDefault="00DF17E9" w:rsidP="00044843">
      <w:pPr>
        <w:pStyle w:val="ControlledEntitiesText"/>
      </w:pPr>
      <w:r>
        <w:t>Water Authorities including:</w:t>
      </w:r>
    </w:p>
    <w:p w:rsidR="00DF17E9" w:rsidRDefault="00DF17E9" w:rsidP="00044843">
      <w:pPr>
        <w:pStyle w:val="ControlledEntitiesDash"/>
        <w:numPr>
          <w:ilvl w:val="0"/>
          <w:numId w:val="21"/>
        </w:numPr>
        <w:ind w:left="284" w:hanging="284"/>
      </w:pPr>
      <w:r>
        <w:t>Barwon Region Water Corporation</w:t>
      </w:r>
    </w:p>
    <w:p w:rsidR="00DF17E9" w:rsidRDefault="00DF17E9" w:rsidP="00044843">
      <w:pPr>
        <w:pStyle w:val="ControlledEntitiesDash"/>
        <w:numPr>
          <w:ilvl w:val="0"/>
          <w:numId w:val="21"/>
        </w:numPr>
        <w:ind w:left="284" w:hanging="284"/>
      </w:pPr>
      <w:r>
        <w:t>Central Gippsland Region Water Corporation</w:t>
      </w:r>
    </w:p>
    <w:p w:rsidR="00DF17E9" w:rsidRDefault="00DF17E9" w:rsidP="00044843">
      <w:pPr>
        <w:pStyle w:val="ControlledEntitiesDash"/>
        <w:numPr>
          <w:ilvl w:val="0"/>
          <w:numId w:val="21"/>
        </w:numPr>
        <w:ind w:left="284" w:hanging="284"/>
      </w:pPr>
      <w:r>
        <w:t>Central Highlands Region Water Corporation</w:t>
      </w:r>
    </w:p>
    <w:p w:rsidR="00DF17E9" w:rsidRDefault="00DF17E9" w:rsidP="00044843">
      <w:pPr>
        <w:pStyle w:val="ControlledEntitiesDash"/>
        <w:numPr>
          <w:ilvl w:val="0"/>
          <w:numId w:val="21"/>
        </w:numPr>
        <w:ind w:left="284" w:hanging="284"/>
      </w:pPr>
      <w:r>
        <w:t xml:space="preserve">City West Water Corporation </w:t>
      </w:r>
    </w:p>
    <w:p w:rsidR="00DF17E9" w:rsidRDefault="00DF17E9" w:rsidP="00044843">
      <w:pPr>
        <w:pStyle w:val="ControlledEntitiesDash"/>
        <w:numPr>
          <w:ilvl w:val="0"/>
          <w:numId w:val="21"/>
        </w:numPr>
        <w:ind w:left="284" w:hanging="284"/>
      </w:pPr>
      <w:r>
        <w:t>Coliban Region Water Corporation</w:t>
      </w:r>
    </w:p>
    <w:p w:rsidR="00DF17E9" w:rsidRDefault="00DF17E9" w:rsidP="00044843">
      <w:pPr>
        <w:pStyle w:val="ControlledEntitiesDash"/>
        <w:numPr>
          <w:ilvl w:val="0"/>
          <w:numId w:val="21"/>
        </w:numPr>
        <w:ind w:left="284" w:hanging="284"/>
      </w:pPr>
      <w:r>
        <w:t>East Gippsland Region Water Corporation</w:t>
      </w:r>
    </w:p>
    <w:p w:rsidR="00DF17E9" w:rsidRDefault="00DF17E9" w:rsidP="00044843">
      <w:pPr>
        <w:pStyle w:val="ControlledEntitiesDash"/>
        <w:numPr>
          <w:ilvl w:val="0"/>
          <w:numId w:val="21"/>
        </w:numPr>
        <w:ind w:left="284" w:hanging="284"/>
      </w:pPr>
      <w:r>
        <w:lastRenderedPageBreak/>
        <w:t>Gippsland and Southern Rural Water Corporation</w:t>
      </w:r>
    </w:p>
    <w:p w:rsidR="00DF17E9" w:rsidRDefault="00DF17E9" w:rsidP="00044843">
      <w:pPr>
        <w:pStyle w:val="ControlledEntitiesDash"/>
        <w:numPr>
          <w:ilvl w:val="0"/>
          <w:numId w:val="21"/>
        </w:numPr>
        <w:ind w:left="284" w:hanging="284"/>
      </w:pPr>
      <w:r>
        <w:t>Goulburn Murray Rural Water Corporation</w:t>
      </w:r>
    </w:p>
    <w:p w:rsidR="00DF17E9" w:rsidRDefault="00DF17E9" w:rsidP="00044843">
      <w:pPr>
        <w:pStyle w:val="ControlledEntitiesDash"/>
        <w:numPr>
          <w:ilvl w:val="0"/>
          <w:numId w:val="21"/>
        </w:numPr>
        <w:ind w:left="284" w:hanging="284"/>
      </w:pPr>
      <w:r>
        <w:t>Goulburn Valley Region Water Corporation</w:t>
      </w:r>
    </w:p>
    <w:p w:rsidR="00DF17E9" w:rsidRDefault="00DF17E9" w:rsidP="00044843">
      <w:pPr>
        <w:pStyle w:val="ControlledEntitiesDash"/>
        <w:numPr>
          <w:ilvl w:val="0"/>
          <w:numId w:val="21"/>
        </w:numPr>
        <w:ind w:left="284" w:hanging="284"/>
      </w:pPr>
      <w:r>
        <w:t>Grampians Wimmera Mallee Water Corporation</w:t>
      </w:r>
    </w:p>
    <w:p w:rsidR="00DF17E9" w:rsidRDefault="00DF17E9" w:rsidP="00044843">
      <w:pPr>
        <w:pStyle w:val="ControlledEntitiesDash"/>
        <w:numPr>
          <w:ilvl w:val="0"/>
          <w:numId w:val="21"/>
        </w:numPr>
        <w:ind w:left="284" w:hanging="284"/>
      </w:pPr>
      <w:r>
        <w:t>Lower Murray Urban and Rural Water Corporation</w:t>
      </w:r>
    </w:p>
    <w:p w:rsidR="00DF17E9" w:rsidRDefault="00DF17E9" w:rsidP="00044843">
      <w:pPr>
        <w:pStyle w:val="ControlledEntitiesDash"/>
        <w:numPr>
          <w:ilvl w:val="0"/>
          <w:numId w:val="21"/>
        </w:numPr>
        <w:ind w:left="284" w:hanging="284"/>
      </w:pPr>
      <w:r>
        <w:t xml:space="preserve">Melbourne Water Corporation </w:t>
      </w:r>
    </w:p>
    <w:p w:rsidR="00DF17E9" w:rsidRDefault="00DF17E9" w:rsidP="00044843">
      <w:pPr>
        <w:pStyle w:val="ControlledEntitiesDash"/>
        <w:numPr>
          <w:ilvl w:val="0"/>
          <w:numId w:val="21"/>
        </w:numPr>
        <w:ind w:left="284" w:hanging="284"/>
      </w:pPr>
      <w:r>
        <w:t>North East Region Water Corporation</w:t>
      </w:r>
    </w:p>
    <w:p w:rsidR="00DF17E9" w:rsidRDefault="00DF17E9" w:rsidP="00044843">
      <w:pPr>
        <w:pStyle w:val="ControlledEntitiesDash"/>
        <w:numPr>
          <w:ilvl w:val="0"/>
          <w:numId w:val="21"/>
        </w:numPr>
        <w:ind w:left="284" w:hanging="284"/>
      </w:pPr>
      <w:r>
        <w:t xml:space="preserve">South East Water Corporation </w:t>
      </w:r>
    </w:p>
    <w:p w:rsidR="00DF17E9" w:rsidRDefault="00DF17E9" w:rsidP="00044843">
      <w:pPr>
        <w:pStyle w:val="ControlledEntitiesDash"/>
        <w:numPr>
          <w:ilvl w:val="0"/>
          <w:numId w:val="21"/>
        </w:numPr>
        <w:ind w:left="284" w:hanging="284"/>
      </w:pPr>
      <w:r>
        <w:t>South Gippsland Region Water Corporation</w:t>
      </w:r>
    </w:p>
    <w:p w:rsidR="00DF17E9" w:rsidRDefault="00DF17E9" w:rsidP="00044843">
      <w:pPr>
        <w:pStyle w:val="ControlledEntitiesDash"/>
        <w:numPr>
          <w:ilvl w:val="0"/>
          <w:numId w:val="21"/>
        </w:numPr>
        <w:ind w:left="284" w:hanging="284"/>
      </w:pPr>
      <w:r>
        <w:t>Wannon Region Water Corporation</w:t>
      </w:r>
    </w:p>
    <w:p w:rsidR="00DF17E9" w:rsidRDefault="00DF17E9" w:rsidP="00044843">
      <w:pPr>
        <w:pStyle w:val="ControlledEntitiesDash"/>
        <w:numPr>
          <w:ilvl w:val="0"/>
          <w:numId w:val="21"/>
        </w:numPr>
        <w:ind w:left="284" w:hanging="284"/>
      </w:pPr>
      <w:r>
        <w:t>Western Region Water Corporation</w:t>
      </w:r>
    </w:p>
    <w:p w:rsidR="00DF17E9" w:rsidRDefault="00DF17E9" w:rsidP="00044843">
      <w:pPr>
        <w:pStyle w:val="ControlledEntitiesDash"/>
        <w:numPr>
          <w:ilvl w:val="0"/>
          <w:numId w:val="21"/>
        </w:numPr>
        <w:ind w:left="284" w:hanging="284"/>
      </w:pPr>
      <w:r>
        <w:t>Westernport Region Water Corporation</w:t>
      </w:r>
    </w:p>
    <w:p w:rsidR="00DF17E9" w:rsidRDefault="00DF17E9" w:rsidP="00044843">
      <w:pPr>
        <w:pStyle w:val="ControlledEntitiesDash"/>
        <w:numPr>
          <w:ilvl w:val="0"/>
          <w:numId w:val="21"/>
        </w:numPr>
        <w:ind w:left="284" w:hanging="284"/>
      </w:pPr>
      <w:r>
        <w:t xml:space="preserve">Yarra Valley Water Corporation </w:t>
      </w:r>
    </w:p>
    <w:p w:rsidR="007422A6" w:rsidRDefault="00DF17E9" w:rsidP="007422A6">
      <w:pPr>
        <w:pStyle w:val="ControlledEntitiesDash"/>
        <w:numPr>
          <w:ilvl w:val="0"/>
          <w:numId w:val="21"/>
        </w:numPr>
        <w:ind w:left="284" w:hanging="284"/>
      </w:pPr>
      <w:r>
        <w:t>Zoological Parks and Gardens Board</w:t>
      </w:r>
    </w:p>
    <w:p w:rsidR="007422A6" w:rsidRDefault="007422A6" w:rsidP="007422A6">
      <w:pPr>
        <w:pStyle w:val="ControlledEntitiesHeading2"/>
        <w:sectPr w:rsidR="007422A6" w:rsidSect="007422A6">
          <w:type w:val="continuous"/>
          <w:pgSz w:w="11906" w:h="16838" w:code="9"/>
          <w:pgMar w:top="1134" w:right="992" w:bottom="1134" w:left="1134" w:header="624" w:footer="567" w:gutter="0"/>
          <w:cols w:num="3" w:space="454"/>
          <w:docGrid w:linePitch="360"/>
        </w:sectPr>
      </w:pPr>
    </w:p>
    <w:p w:rsidR="007422A6" w:rsidRDefault="007422A6" w:rsidP="007422A6">
      <w:pPr>
        <w:pStyle w:val="ControlledEntitiesHeading1"/>
        <w:sectPr w:rsidR="007422A6" w:rsidSect="00044843">
          <w:type w:val="continuous"/>
          <w:pgSz w:w="11906" w:h="16838" w:code="9"/>
          <w:pgMar w:top="1134" w:right="1134" w:bottom="1134" w:left="1134" w:header="624" w:footer="567" w:gutter="0"/>
          <w:cols w:space="708"/>
          <w:docGrid w:linePitch="360"/>
        </w:sectPr>
      </w:pPr>
      <w:r w:rsidRPr="00BF6B3C">
        <w:lastRenderedPageBreak/>
        <w:t>Public non-financial corporation</w:t>
      </w:r>
      <w:r w:rsidR="00744C3A">
        <w:t xml:space="preserve"> (continued)</w:t>
      </w:r>
    </w:p>
    <w:p w:rsidR="00DF17E9" w:rsidRDefault="00DF17E9" w:rsidP="00044843">
      <w:pPr>
        <w:pStyle w:val="ControlledEntitiesHeading2"/>
      </w:pPr>
      <w:r>
        <w:lastRenderedPageBreak/>
        <w:t xml:space="preserve">Department of Health and Human Services </w:t>
      </w:r>
      <w:r>
        <w:rPr>
          <w:vertAlign w:val="superscript"/>
        </w:rPr>
        <w:t>(j</w:t>
      </w:r>
      <w:r w:rsidRPr="00BF6B3C">
        <w:rPr>
          <w:vertAlign w:val="superscript"/>
        </w:rPr>
        <w:t>)</w:t>
      </w:r>
    </w:p>
    <w:p w:rsidR="00DF17E9" w:rsidRDefault="00DF17E9" w:rsidP="00044843">
      <w:pPr>
        <w:pStyle w:val="ControlledEntitiesText"/>
      </w:pPr>
      <w:r>
        <w:t>Cemeteries including:</w:t>
      </w:r>
    </w:p>
    <w:p w:rsidR="00DF17E9" w:rsidRDefault="00DF17E9" w:rsidP="00044843">
      <w:pPr>
        <w:pStyle w:val="ControlledEntitiesDash"/>
        <w:numPr>
          <w:ilvl w:val="0"/>
          <w:numId w:val="21"/>
        </w:numPr>
        <w:ind w:left="284" w:hanging="284"/>
      </w:pPr>
      <w:r>
        <w:t>Ballarat General Cemeteries Trust</w:t>
      </w:r>
    </w:p>
    <w:p w:rsidR="00DF17E9" w:rsidRDefault="00DF17E9" w:rsidP="00044843">
      <w:pPr>
        <w:pStyle w:val="ControlledEntitiesDash"/>
        <w:numPr>
          <w:ilvl w:val="0"/>
          <w:numId w:val="21"/>
        </w:numPr>
        <w:ind w:left="284" w:hanging="284"/>
      </w:pPr>
      <w:r>
        <w:t>Bendigo Cemeteries Trust</w:t>
      </w:r>
    </w:p>
    <w:p w:rsidR="00DF17E9" w:rsidRDefault="00DF17E9" w:rsidP="00044843">
      <w:pPr>
        <w:pStyle w:val="ControlledEntitiesDash"/>
        <w:numPr>
          <w:ilvl w:val="0"/>
          <w:numId w:val="21"/>
        </w:numPr>
        <w:ind w:left="284" w:hanging="284"/>
      </w:pPr>
      <w:r>
        <w:t>Geelong Cemeteries Trust</w:t>
      </w:r>
    </w:p>
    <w:p w:rsidR="00DF17E9" w:rsidRDefault="00DF17E9" w:rsidP="00044843">
      <w:pPr>
        <w:pStyle w:val="ControlledEntitiesDash"/>
        <w:numPr>
          <w:ilvl w:val="0"/>
          <w:numId w:val="21"/>
        </w:numPr>
        <w:ind w:left="284" w:hanging="284"/>
      </w:pPr>
      <w:r>
        <w:t>Greater Metropolitan Cemeteries Trust</w:t>
      </w:r>
    </w:p>
    <w:p w:rsidR="00DF17E9" w:rsidRDefault="00DF17E9" w:rsidP="00044843">
      <w:pPr>
        <w:pStyle w:val="ControlledEntitiesDash"/>
        <w:numPr>
          <w:ilvl w:val="0"/>
          <w:numId w:val="21"/>
        </w:numPr>
        <w:ind w:left="284" w:hanging="284"/>
      </w:pPr>
      <w:r>
        <w:t>Southern Metropolitan Cemeteries Trust</w:t>
      </w:r>
    </w:p>
    <w:p w:rsidR="00DF17E9" w:rsidRDefault="00DF17E9" w:rsidP="00044843">
      <w:pPr>
        <w:pStyle w:val="ControlledEntitiesDash"/>
        <w:numPr>
          <w:ilvl w:val="0"/>
          <w:numId w:val="21"/>
        </w:numPr>
        <w:ind w:left="284" w:hanging="284"/>
      </w:pPr>
      <w:r>
        <w:t>Mildura Cemetery Trust</w:t>
      </w:r>
    </w:p>
    <w:p w:rsidR="00DF17E9" w:rsidRDefault="00DF17E9" w:rsidP="00044843">
      <w:pPr>
        <w:pStyle w:val="ControlledEntitiesText"/>
      </w:pPr>
      <w:r>
        <w:t>Director of Housing</w:t>
      </w:r>
    </w:p>
    <w:p w:rsidR="00DF17E9" w:rsidRDefault="00DF17E9" w:rsidP="00044843">
      <w:pPr>
        <w:pStyle w:val="ControlledEntitiesText"/>
      </w:pPr>
      <w:r>
        <w:t>State Sport Centres Trust</w:t>
      </w:r>
    </w:p>
    <w:p w:rsidR="00DF17E9" w:rsidRDefault="00DF17E9" w:rsidP="00044843">
      <w:pPr>
        <w:pStyle w:val="ControlledEntitiesHeading2"/>
      </w:pPr>
      <w:r>
        <w:t>Department of Justice and Regulation</w:t>
      </w:r>
    </w:p>
    <w:p w:rsidR="00DF17E9" w:rsidRDefault="00DF17E9" w:rsidP="00044843">
      <w:pPr>
        <w:pStyle w:val="ControlledEntitiesText"/>
      </w:pPr>
      <w:r>
        <w:t>Greyhound Racing Victoria</w:t>
      </w:r>
    </w:p>
    <w:p w:rsidR="00DF17E9" w:rsidRDefault="00DF17E9" w:rsidP="00044843">
      <w:pPr>
        <w:pStyle w:val="ControlledEntitiesText"/>
      </w:pPr>
      <w:r>
        <w:t>Harness Racing Victoria</w:t>
      </w:r>
    </w:p>
    <w:p w:rsidR="00DF17E9" w:rsidRDefault="00DF17E9" w:rsidP="00044843">
      <w:pPr>
        <w:pStyle w:val="ControlledEntitiesHeading2"/>
      </w:pPr>
      <w:r>
        <w:t>Department of Premier and Cabinet</w:t>
      </w:r>
    </w:p>
    <w:p w:rsidR="00DF17E9" w:rsidRDefault="00DF17E9" w:rsidP="00044843">
      <w:pPr>
        <w:pStyle w:val="ControlledEntitiesText"/>
      </w:pPr>
      <w:r>
        <w:t>Queen Victoria Women’s Centre Trust</w:t>
      </w:r>
    </w:p>
    <w:p w:rsidR="00DF17E9" w:rsidRDefault="00DF17E9" w:rsidP="00044843">
      <w:pPr>
        <w:pStyle w:val="ControlledEntitiesText"/>
      </w:pPr>
      <w:r>
        <w:t xml:space="preserve">VITS Languagelink </w:t>
      </w:r>
    </w:p>
    <w:p w:rsidR="00DF17E9" w:rsidRPr="00744C3A" w:rsidRDefault="00DF17E9" w:rsidP="00744C3A">
      <w:pPr>
        <w:spacing w:after="0" w:line="240" w:lineRule="auto"/>
        <w:rPr>
          <w:sz w:val="4"/>
        </w:rPr>
      </w:pPr>
      <w:r>
        <w:br w:type="column"/>
      </w:r>
    </w:p>
    <w:p w:rsidR="00744C3A" w:rsidRPr="00D24F73" w:rsidRDefault="00744C3A" w:rsidP="00044843">
      <w:pPr>
        <w:pStyle w:val="ControlledEntitiesText"/>
        <w:rPr>
          <w:vanish/>
        </w:rPr>
      </w:pPr>
    </w:p>
    <w:p w:rsidR="00DF17E9" w:rsidRPr="00744C3A" w:rsidRDefault="00DF17E9" w:rsidP="00744C3A">
      <w:pPr>
        <w:pStyle w:val="ControlledEntitiesHeading2"/>
        <w:spacing w:before="70"/>
      </w:pPr>
      <w:r w:rsidRPr="00744C3A">
        <w:t>Department of Economic Development, Jobs, Transport and Resources</w:t>
      </w:r>
    </w:p>
    <w:p w:rsidR="00DF17E9" w:rsidRDefault="00DF17E9" w:rsidP="00044843">
      <w:pPr>
        <w:pStyle w:val="ControlledEntitiesText"/>
      </w:pPr>
      <w:r>
        <w:t>Agriculture Victoria Services Pty Ltd</w:t>
      </w:r>
    </w:p>
    <w:p w:rsidR="00DF17E9" w:rsidRDefault="00DF17E9" w:rsidP="00044843">
      <w:pPr>
        <w:pStyle w:val="ControlledEntitiesText"/>
      </w:pPr>
      <w:r>
        <w:t>Australian Grand Prix Corporation</w:t>
      </w:r>
    </w:p>
    <w:p w:rsidR="00DF17E9" w:rsidRDefault="00DF17E9" w:rsidP="00044843">
      <w:pPr>
        <w:pStyle w:val="ControlledEntitiesText"/>
      </w:pPr>
      <w:r>
        <w:t>Dairy Food Safety Victoria</w:t>
      </w:r>
    </w:p>
    <w:p w:rsidR="00DF17E9" w:rsidRDefault="00DF17E9" w:rsidP="00044843">
      <w:pPr>
        <w:pStyle w:val="ControlledEntitiesText"/>
      </w:pPr>
      <w:r>
        <w:t>Emerald Tourist Railway Board</w:t>
      </w:r>
    </w:p>
    <w:p w:rsidR="00DF17E9" w:rsidRDefault="00DF17E9" w:rsidP="00044843">
      <w:pPr>
        <w:pStyle w:val="ControlledEntitiesText"/>
      </w:pPr>
      <w:r>
        <w:t>Fed Square Pty Ltd</w:t>
      </w:r>
    </w:p>
    <w:p w:rsidR="00DF17E9" w:rsidRDefault="00DF17E9" w:rsidP="00044843">
      <w:pPr>
        <w:pStyle w:val="ControlledEntitiesText"/>
      </w:pPr>
      <w:r>
        <w:t>Geelong Performing Arts Centre Trust</w:t>
      </w:r>
    </w:p>
    <w:p w:rsidR="00DF17E9" w:rsidRDefault="00DF17E9" w:rsidP="00044843">
      <w:pPr>
        <w:pStyle w:val="ControlledEntitiesText"/>
      </w:pPr>
      <w:r>
        <w:t xml:space="preserve">Launch Vic </w:t>
      </w:r>
      <w:r>
        <w:rPr>
          <w:vertAlign w:val="superscript"/>
        </w:rPr>
        <w:t>(k</w:t>
      </w:r>
      <w:r w:rsidRPr="00BF6B3C">
        <w:rPr>
          <w:vertAlign w:val="superscript"/>
        </w:rPr>
        <w:t>)</w:t>
      </w:r>
    </w:p>
    <w:p w:rsidR="00DF17E9" w:rsidRDefault="00DF17E9" w:rsidP="00044843">
      <w:pPr>
        <w:pStyle w:val="ControlledEntitiesText"/>
      </w:pPr>
      <w:r>
        <w:t>Melbourne and Olympic Parks Trust</w:t>
      </w:r>
    </w:p>
    <w:p w:rsidR="00DF17E9" w:rsidRDefault="00DF17E9" w:rsidP="00044843">
      <w:pPr>
        <w:pStyle w:val="ControlledEntitiesText"/>
      </w:pPr>
      <w:r>
        <w:t>Melbourne Convention and Exhibition Trust</w:t>
      </w:r>
    </w:p>
    <w:p w:rsidR="00DF17E9" w:rsidRDefault="00DF17E9" w:rsidP="00044843">
      <w:pPr>
        <w:pStyle w:val="ControlledEntitiesText"/>
      </w:pPr>
      <w:r>
        <w:t xml:space="preserve">Melbourne Market Authority </w:t>
      </w:r>
    </w:p>
    <w:p w:rsidR="00DF17E9" w:rsidRDefault="00DF17E9" w:rsidP="00044843">
      <w:pPr>
        <w:pStyle w:val="ControlledEntitiesText"/>
      </w:pPr>
      <w:r>
        <w:t xml:space="preserve">Melbourne Port Lessor Pty Ltd </w:t>
      </w:r>
      <w:r w:rsidRPr="00BF6B3C">
        <w:rPr>
          <w:vertAlign w:val="superscript"/>
        </w:rPr>
        <w:t>(</w:t>
      </w:r>
      <w:r>
        <w:rPr>
          <w:vertAlign w:val="superscript"/>
        </w:rPr>
        <w:t>l</w:t>
      </w:r>
      <w:r w:rsidRPr="00BF6B3C">
        <w:rPr>
          <w:vertAlign w:val="superscript"/>
        </w:rPr>
        <w:t>)</w:t>
      </w:r>
    </w:p>
    <w:p w:rsidR="00DF17E9" w:rsidRDefault="00DF17E9" w:rsidP="00044843">
      <w:pPr>
        <w:pStyle w:val="ControlledEntitiesText"/>
      </w:pPr>
      <w:r>
        <w:t>Murray Valley Wine Grape Industry Development Committee</w:t>
      </w:r>
    </w:p>
    <w:p w:rsidR="00DF17E9" w:rsidRDefault="00DF17E9" w:rsidP="00044843">
      <w:pPr>
        <w:pStyle w:val="ControlledEntitiesText"/>
      </w:pPr>
      <w:r>
        <w:t>Northern Victorian Fresh Tomato Industry Development Committee</w:t>
      </w:r>
    </w:p>
    <w:p w:rsidR="00DF17E9" w:rsidRDefault="00DF17E9" w:rsidP="00044843">
      <w:pPr>
        <w:pStyle w:val="ControlledEntitiesText"/>
      </w:pPr>
      <w:r>
        <w:t>Port of Hastings Development Authority</w:t>
      </w:r>
    </w:p>
    <w:p w:rsidR="00DF17E9" w:rsidRDefault="00DF17E9" w:rsidP="00044843">
      <w:pPr>
        <w:pStyle w:val="ControlledEntitiesText"/>
      </w:pPr>
      <w:r>
        <w:t>Port of Melbourne Corporation</w:t>
      </w:r>
    </w:p>
    <w:p w:rsidR="00DF17E9" w:rsidRDefault="00DF17E9" w:rsidP="00044843">
      <w:pPr>
        <w:pStyle w:val="ControlledEntitiesText"/>
      </w:pPr>
      <w:r w:rsidRPr="004E4B0A">
        <w:rPr>
          <w:spacing w:val="-2"/>
        </w:rPr>
        <w:t>Port of Melbourne Operations Pty Ltd</w:t>
      </w:r>
      <w:r>
        <w:t xml:space="preserve"> </w:t>
      </w:r>
      <w:r w:rsidRPr="00BF6B3C">
        <w:rPr>
          <w:vertAlign w:val="superscript"/>
        </w:rPr>
        <w:t>(</w:t>
      </w:r>
      <w:r>
        <w:rPr>
          <w:vertAlign w:val="superscript"/>
        </w:rPr>
        <w:t>m</w:t>
      </w:r>
      <w:r w:rsidRPr="00BF6B3C">
        <w:rPr>
          <w:vertAlign w:val="superscript"/>
        </w:rPr>
        <w:t>)</w:t>
      </w:r>
    </w:p>
    <w:p w:rsidR="00DF17E9" w:rsidRDefault="00DF17E9" w:rsidP="00044843">
      <w:pPr>
        <w:pStyle w:val="ControlledEntitiesText"/>
      </w:pPr>
      <w:r>
        <w:t>PrimeSafe</w:t>
      </w:r>
    </w:p>
    <w:p w:rsidR="00DF17E9" w:rsidRDefault="00DF17E9" w:rsidP="00044843">
      <w:pPr>
        <w:pStyle w:val="ControlledEntitiesText"/>
      </w:pPr>
      <w:r>
        <w:br w:type="column"/>
      </w:r>
      <w:r>
        <w:lastRenderedPageBreak/>
        <w:t xml:space="preserve">Urban Renewal Authority Victoria (Places Victoria) </w:t>
      </w:r>
      <w:r w:rsidRPr="00BF6B3C">
        <w:rPr>
          <w:vertAlign w:val="superscript"/>
        </w:rPr>
        <w:t>(</w:t>
      </w:r>
      <w:r>
        <w:rPr>
          <w:vertAlign w:val="superscript"/>
        </w:rPr>
        <w:t>n</w:t>
      </w:r>
      <w:r w:rsidRPr="00BF6B3C">
        <w:rPr>
          <w:vertAlign w:val="superscript"/>
        </w:rPr>
        <w:t>)</w:t>
      </w:r>
    </w:p>
    <w:p w:rsidR="00DF17E9" w:rsidRDefault="00DF17E9" w:rsidP="00044843">
      <w:pPr>
        <w:pStyle w:val="ControlledEntitiesText"/>
      </w:pPr>
      <w:r>
        <w:t>V/Line Corporation</w:t>
      </w:r>
    </w:p>
    <w:p w:rsidR="00DF17E9" w:rsidRDefault="00DF17E9" w:rsidP="00044843">
      <w:pPr>
        <w:pStyle w:val="ControlledEntitiesText"/>
      </w:pPr>
      <w:r>
        <w:t>VicForests</w:t>
      </w:r>
    </w:p>
    <w:p w:rsidR="00DF17E9" w:rsidRDefault="00DF17E9" w:rsidP="00044843">
      <w:pPr>
        <w:pStyle w:val="ControlledEntitiesText"/>
      </w:pPr>
      <w:r>
        <w:t>Victorian Arts Centre Trust</w:t>
      </w:r>
    </w:p>
    <w:p w:rsidR="00DF17E9" w:rsidRDefault="00DF17E9" w:rsidP="00044843">
      <w:pPr>
        <w:pStyle w:val="ControlledEntitiesText"/>
      </w:pPr>
      <w:r>
        <w:t xml:space="preserve">Victorian Major Events Company Limited </w:t>
      </w:r>
      <w:r>
        <w:rPr>
          <w:vertAlign w:val="superscript"/>
        </w:rPr>
        <w:t>(i</w:t>
      </w:r>
      <w:r w:rsidRPr="00BF6B3C">
        <w:rPr>
          <w:vertAlign w:val="superscript"/>
        </w:rPr>
        <w:t>)</w:t>
      </w:r>
    </w:p>
    <w:p w:rsidR="00DF17E9" w:rsidRDefault="00DF17E9" w:rsidP="00044843">
      <w:pPr>
        <w:pStyle w:val="ControlledEntitiesText"/>
      </w:pPr>
      <w:r>
        <w:t>Victorian Rail Track</w:t>
      </w:r>
    </w:p>
    <w:p w:rsidR="00DF17E9" w:rsidRDefault="00DF17E9" w:rsidP="00044843">
      <w:pPr>
        <w:pStyle w:val="ControlledEntitiesText"/>
      </w:pPr>
      <w:r>
        <w:t>Victorian Regional Channels Authority</w:t>
      </w:r>
    </w:p>
    <w:p w:rsidR="00DF17E9" w:rsidRDefault="00DF17E9" w:rsidP="00044843">
      <w:pPr>
        <w:pStyle w:val="ControlledEntitiesText"/>
      </w:pPr>
      <w:r>
        <w:t>Victorian Strawberry Industry Development Committee</w:t>
      </w:r>
    </w:p>
    <w:p w:rsidR="00DF17E9" w:rsidRDefault="00DF17E9" w:rsidP="00044843">
      <w:pPr>
        <w:pStyle w:val="ControlledEntitiesHeading2"/>
      </w:pPr>
      <w:r>
        <w:t>Department of Treasury and Finance</w:t>
      </w:r>
    </w:p>
    <w:p w:rsidR="00DF17E9" w:rsidRDefault="00DF17E9" w:rsidP="00044843">
      <w:pPr>
        <w:pStyle w:val="ControlledEntitiesText"/>
      </w:pPr>
      <w:r>
        <w:t>Accident Compensation Conciliation Service</w:t>
      </w:r>
    </w:p>
    <w:p w:rsidR="00DF17E9" w:rsidRDefault="00DF17E9" w:rsidP="00044843">
      <w:pPr>
        <w:pStyle w:val="ControlledEntitiesText"/>
      </w:pPr>
      <w:r>
        <w:t>State Electricity Commission of Victoria</w:t>
      </w:r>
    </w:p>
    <w:p w:rsidR="00DF17E9" w:rsidRDefault="00DF17E9" w:rsidP="00044843">
      <w:pPr>
        <w:pStyle w:val="ControlledEntitiesText"/>
      </w:pPr>
      <w:r>
        <w:t>Victorian Plantations Corporation (shell)</w:t>
      </w:r>
    </w:p>
    <w:p w:rsidR="00DF17E9" w:rsidRDefault="00DF17E9" w:rsidP="00044843">
      <w:pPr>
        <w:pStyle w:val="ControlledEntitiesHeading2"/>
        <w:sectPr w:rsidR="00DF17E9" w:rsidSect="00044843">
          <w:type w:val="continuous"/>
          <w:pgSz w:w="11906" w:h="16838" w:code="9"/>
          <w:pgMar w:top="1134" w:right="1134" w:bottom="1134" w:left="1134" w:header="624" w:footer="567" w:gutter="0"/>
          <w:cols w:num="3" w:space="454"/>
          <w:docGrid w:linePitch="360"/>
        </w:sectPr>
      </w:pPr>
    </w:p>
    <w:p w:rsidR="00DF17E9" w:rsidRDefault="00DF17E9" w:rsidP="00044843"/>
    <w:p w:rsidR="00DF17E9" w:rsidRDefault="00DF17E9" w:rsidP="00044843">
      <w:pPr>
        <w:pStyle w:val="ControlledEntitiesHeading1"/>
        <w:sectPr w:rsidR="00DF17E9" w:rsidSect="00044843">
          <w:type w:val="continuous"/>
          <w:pgSz w:w="11906" w:h="16838" w:code="9"/>
          <w:pgMar w:top="1134" w:right="1134" w:bottom="1134" w:left="1134" w:header="624" w:footer="567" w:gutter="0"/>
          <w:cols w:space="708"/>
          <w:docGrid w:linePitch="360"/>
        </w:sectPr>
      </w:pPr>
      <w:r w:rsidRPr="00BF6B3C">
        <w:t>Public financial corporation</w:t>
      </w:r>
      <w:r>
        <w:t xml:space="preserve"> </w:t>
      </w:r>
    </w:p>
    <w:p w:rsidR="00DF17E9" w:rsidRDefault="00DF17E9" w:rsidP="00044843">
      <w:pPr>
        <w:pStyle w:val="ControlledEntitiesHeading2"/>
      </w:pPr>
      <w:r>
        <w:lastRenderedPageBreak/>
        <w:t>Department of Treasury and Finance</w:t>
      </w:r>
    </w:p>
    <w:p w:rsidR="00DF17E9" w:rsidRDefault="00DF17E9" w:rsidP="00044843">
      <w:pPr>
        <w:pStyle w:val="ControlledEntitiesText"/>
      </w:pPr>
      <w:r>
        <w:t xml:space="preserve">Rural Finance Corporation of Victoria </w:t>
      </w:r>
      <w:r w:rsidR="002D2158">
        <w:rPr>
          <w:vertAlign w:val="superscript"/>
        </w:rPr>
        <w:t>(h</w:t>
      </w:r>
      <w:r w:rsidRPr="00E55FE7">
        <w:rPr>
          <w:vertAlign w:val="superscript"/>
        </w:rPr>
        <w:t>)</w:t>
      </w:r>
    </w:p>
    <w:p w:rsidR="00DF17E9" w:rsidRDefault="00DF17E9" w:rsidP="00044843">
      <w:pPr>
        <w:pStyle w:val="ControlledEntitiesText"/>
      </w:pPr>
      <w:r>
        <w:t>State Trustees Limited</w:t>
      </w:r>
    </w:p>
    <w:p w:rsidR="00DF17E9" w:rsidRDefault="00DF17E9" w:rsidP="00044843">
      <w:pPr>
        <w:pStyle w:val="ControlledEntitiesText"/>
      </w:pPr>
      <w:r>
        <w:t>Transport Accident Commission</w:t>
      </w:r>
    </w:p>
    <w:p w:rsidR="00DF17E9" w:rsidRDefault="00DF17E9" w:rsidP="00044843">
      <w:pPr>
        <w:pStyle w:val="ControlledEntitiesText"/>
      </w:pPr>
      <w:r>
        <w:lastRenderedPageBreak/>
        <w:t xml:space="preserve">Treasury Corporation of Victoria </w:t>
      </w:r>
    </w:p>
    <w:p w:rsidR="00DF17E9" w:rsidRDefault="00DF17E9" w:rsidP="00044843">
      <w:pPr>
        <w:pStyle w:val="ControlledEntitiesText"/>
      </w:pPr>
      <w:r>
        <w:t>Victorian Funds Management Corporation</w:t>
      </w:r>
    </w:p>
    <w:p w:rsidR="00DF17E9" w:rsidRDefault="00DF17E9" w:rsidP="00044843">
      <w:pPr>
        <w:pStyle w:val="ControlledEntitiesText"/>
      </w:pPr>
      <w:r>
        <w:t>Victorian Managed Insurance Authority</w:t>
      </w:r>
    </w:p>
    <w:p w:rsidR="00DF17E9" w:rsidRDefault="00DF17E9" w:rsidP="00044843">
      <w:pPr>
        <w:pStyle w:val="ControlledEntitiesText"/>
        <w:sectPr w:rsidR="00DF17E9" w:rsidSect="00044843">
          <w:type w:val="continuous"/>
          <w:pgSz w:w="11906" w:h="16838" w:code="9"/>
          <w:pgMar w:top="1134" w:right="1134" w:bottom="1134" w:left="1134" w:header="624" w:footer="567" w:gutter="0"/>
          <w:cols w:num="3" w:space="454"/>
          <w:docGrid w:linePitch="360"/>
        </w:sectPr>
      </w:pPr>
      <w:r>
        <w:lastRenderedPageBreak/>
        <w:t>Victorian WorkCover Authority (WorkSafe Victoria)</w:t>
      </w:r>
    </w:p>
    <w:p w:rsidR="00DF17E9" w:rsidRDefault="00DF17E9" w:rsidP="00044843">
      <w:pPr>
        <w:pStyle w:val="Notes"/>
      </w:pPr>
    </w:p>
    <w:p w:rsidR="00DF17E9" w:rsidRDefault="00DF17E9" w:rsidP="00044843">
      <w:pPr>
        <w:pStyle w:val="Notes"/>
      </w:pPr>
      <w:r w:rsidRPr="006A75A2">
        <w:t>Notes</w:t>
      </w:r>
      <w:r>
        <w:t>:</w:t>
      </w:r>
    </w:p>
    <w:p w:rsidR="00DF17E9" w:rsidRDefault="00DF17E9" w:rsidP="00044843">
      <w:pPr>
        <w:pStyle w:val="Notes"/>
        <w:numPr>
          <w:ilvl w:val="4"/>
          <w:numId w:val="20"/>
        </w:numPr>
        <w:ind w:left="426" w:hanging="426"/>
      </w:pPr>
      <w:r>
        <w:t>Box Hill Institute of TAFE, Chisholm Institute of TAFE and Holmesglen Institute of TAFE have been renamed to Box Hill Institute, Chisholm Institute and Holmesglen Institute respectively.</w:t>
      </w:r>
    </w:p>
    <w:p w:rsidR="00DF17E9" w:rsidRDefault="00DF17E9" w:rsidP="00044843">
      <w:pPr>
        <w:pStyle w:val="Notes"/>
        <w:numPr>
          <w:ilvl w:val="4"/>
          <w:numId w:val="20"/>
        </w:numPr>
        <w:ind w:left="426" w:hanging="426"/>
      </w:pPr>
      <w:r>
        <w:t>Alexandra District Hospital was renamed to Alexandra District Health from 18 June 2015.</w:t>
      </w:r>
    </w:p>
    <w:p w:rsidR="00DF17E9" w:rsidRDefault="00DF17E9" w:rsidP="00044843">
      <w:pPr>
        <w:pStyle w:val="Notes"/>
        <w:numPr>
          <w:ilvl w:val="4"/>
          <w:numId w:val="20"/>
        </w:numPr>
        <w:ind w:left="426" w:hanging="426"/>
      </w:pPr>
      <w:r>
        <w:t>On 1 July 2016, by order of the Governor-in-Council, Dunmunkle Health Service and West Wimmera Health Service were amalgamated to form a new registered funded agency named West Wimmera Health Service.</w:t>
      </w:r>
    </w:p>
    <w:p w:rsidR="00DF17E9" w:rsidRDefault="00DF17E9" w:rsidP="00044843">
      <w:pPr>
        <w:pStyle w:val="Notes"/>
        <w:numPr>
          <w:ilvl w:val="4"/>
          <w:numId w:val="20"/>
        </w:numPr>
        <w:ind w:left="426" w:hanging="426"/>
      </w:pPr>
      <w:r>
        <w:t>Effective from 22 September 2015, the Victorian Competition and Efficiency Commission ceased to exist and operations were transferred to the Commissioner for Better Regulation, established as a function of the Department of Treasury and Finance portfolio.</w:t>
      </w:r>
    </w:p>
    <w:p w:rsidR="00DF17E9" w:rsidRDefault="00DF17E9" w:rsidP="00044843">
      <w:pPr>
        <w:pStyle w:val="Notes"/>
        <w:ind w:left="0" w:firstLine="0"/>
      </w:pPr>
      <w:r>
        <w:t>(e)</w:t>
      </w:r>
      <w:r>
        <w:tab/>
        <w:t xml:space="preserve">Effective from 1 October 2015, Infrastructure Victoria was established by the </w:t>
      </w:r>
      <w:r w:rsidRPr="00EF673C">
        <w:rPr>
          <w:i w:val="0"/>
        </w:rPr>
        <w:t>Infrastructure Victoria Act 2015</w:t>
      </w:r>
      <w:r>
        <w:t>.</w:t>
      </w:r>
    </w:p>
    <w:p w:rsidR="00DF17E9" w:rsidRDefault="00DF17E9" w:rsidP="00044843">
      <w:pPr>
        <w:pStyle w:val="Notes"/>
      </w:pPr>
      <w:r>
        <w:t>(f</w:t>
      </w:r>
      <w:r w:rsidRPr="00217BD0">
        <w:t>)</w:t>
      </w:r>
      <w:r w:rsidRPr="00217BD0">
        <w:tab/>
        <w:t>The Australian Synchrotron was transferred from the State of Victoria to the Australian Nuclear Science</w:t>
      </w:r>
      <w:r>
        <w:t xml:space="preserve"> </w:t>
      </w:r>
      <w:r w:rsidRPr="00217BD0">
        <w:t xml:space="preserve">and Technology Organisation (ANSTO) on 1 July 2016. </w:t>
      </w:r>
    </w:p>
    <w:p w:rsidR="00DF17E9" w:rsidRPr="004A097E" w:rsidRDefault="00DF17E9" w:rsidP="00044843">
      <w:pPr>
        <w:pStyle w:val="Notes"/>
        <w:rPr>
          <w:i w:val="0"/>
        </w:rPr>
      </w:pPr>
      <w:r w:rsidRPr="004A097E">
        <w:t>(g)</w:t>
      </w:r>
      <w:r>
        <w:rPr>
          <w:i w:val="0"/>
        </w:rPr>
        <w:tab/>
      </w:r>
      <w:r>
        <w:rPr>
          <w:rFonts w:asciiTheme="majorHAnsi" w:hAnsiTheme="majorHAnsi" w:cs="Helv"/>
          <w:iCs/>
          <w:color w:val="000000"/>
        </w:rPr>
        <w:t>Effective from 1 July</w:t>
      </w:r>
      <w:r w:rsidRPr="004A097E">
        <w:rPr>
          <w:rFonts w:asciiTheme="majorHAnsi" w:hAnsiTheme="majorHAnsi" w:cs="Helv"/>
          <w:iCs/>
          <w:color w:val="000000"/>
        </w:rPr>
        <w:t xml:space="preserve"> 2016, Energy Safe Victoria was transferred from the Department of Economic Development, Jobs, Transport and Resources to the Department of Environment, Land ,Water and Planning.</w:t>
      </w:r>
    </w:p>
    <w:p w:rsidR="00DF17E9" w:rsidRDefault="00DF17E9" w:rsidP="00044843">
      <w:pPr>
        <w:pStyle w:val="Notes"/>
      </w:pPr>
      <w:r>
        <w:t>(h</w:t>
      </w:r>
      <w:r w:rsidRPr="00217BD0">
        <w:t>)</w:t>
      </w:r>
      <w:r w:rsidRPr="00217BD0">
        <w:tab/>
        <w:t xml:space="preserve">The </w:t>
      </w:r>
      <w:r w:rsidRPr="00EF673C">
        <w:rPr>
          <w:i w:val="0"/>
        </w:rPr>
        <w:t>Rural Assistance Schemes Act 2016</w:t>
      </w:r>
      <w:r>
        <w:t xml:space="preserve"> established the Rural Assistance Commissioner on 28 June 2016. Effective from 30 June 2016, the Rural Finance Corporation ceased to exist.</w:t>
      </w:r>
    </w:p>
    <w:p w:rsidR="00DF17E9" w:rsidRDefault="00DF17E9" w:rsidP="00044843">
      <w:pPr>
        <w:pStyle w:val="Notes"/>
      </w:pPr>
      <w:r>
        <w:t>(i)</w:t>
      </w:r>
      <w:r>
        <w:tab/>
      </w:r>
      <w:r w:rsidRPr="00587164">
        <w:t xml:space="preserve">Effective 1 July 2016, </w:t>
      </w:r>
      <w:r>
        <w:t xml:space="preserve">the </w:t>
      </w:r>
      <w:r w:rsidRPr="00587164">
        <w:t>Visit Victoria commence</w:t>
      </w:r>
      <w:r>
        <w:t>d</w:t>
      </w:r>
      <w:r w:rsidRPr="00587164">
        <w:t xml:space="preserve"> operations and </w:t>
      </w:r>
      <w:r>
        <w:t xml:space="preserve">took </w:t>
      </w:r>
      <w:r w:rsidRPr="00587164">
        <w:t>over the responsibilities of Tourism Victoria and the Victorian Major Events Company Limited. Tourism Victoria cease</w:t>
      </w:r>
      <w:r>
        <w:t>d</w:t>
      </w:r>
      <w:r w:rsidRPr="00587164">
        <w:t xml:space="preserve"> to operate but will remain in existence until its legislation is repealed. Effective from 1 July 2016, Victorian Major Events Company cease</w:t>
      </w:r>
      <w:r>
        <w:t>d</w:t>
      </w:r>
      <w:r w:rsidRPr="00587164">
        <w:t xml:space="preserve"> to exist.</w:t>
      </w:r>
    </w:p>
    <w:p w:rsidR="00DF17E9" w:rsidRDefault="00DF17E9" w:rsidP="00044843">
      <w:pPr>
        <w:pStyle w:val="Notes"/>
      </w:pPr>
      <w:r>
        <w:t>(j</w:t>
      </w:r>
      <w:r w:rsidRPr="00217BD0">
        <w:t>)</w:t>
      </w:r>
      <w:r w:rsidRPr="00217BD0">
        <w:tab/>
      </w:r>
      <w:r w:rsidRPr="005C4A1D">
        <w:t xml:space="preserve">The </w:t>
      </w:r>
      <w:r w:rsidRPr="00E41B54">
        <w:rPr>
          <w:i w:val="0"/>
        </w:rPr>
        <w:t>Kardinia Park Stadium Act 2016</w:t>
      </w:r>
      <w:r w:rsidRPr="005C4A1D">
        <w:t xml:space="preserve"> established the Kardinia Park Stadium Trust as a statutory public sector body to administer the Kardinia Park Trust Land and other land and facilities for the purposes of sports, recreation, entertainment and related social and other activities. The Act commenced on 16 March 2016, with the Trust assuming financial responsibility</w:t>
      </w:r>
      <w:r>
        <w:t xml:space="preserve"> </w:t>
      </w:r>
      <w:r w:rsidRPr="005C4A1D">
        <w:t>from 1 July 2016.</w:t>
      </w:r>
    </w:p>
    <w:p w:rsidR="00DF17E9" w:rsidRDefault="00DF17E9" w:rsidP="00044843">
      <w:pPr>
        <w:pStyle w:val="Notes"/>
      </w:pPr>
      <w:r>
        <w:t>(k)</w:t>
      </w:r>
      <w:r>
        <w:tab/>
        <w:t>On</w:t>
      </w:r>
      <w:r w:rsidRPr="00E26CB3">
        <w:t xml:space="preserve"> 27 November 2015, </w:t>
      </w:r>
      <w:r>
        <w:t xml:space="preserve">LaunchVic was launched by </w:t>
      </w:r>
      <w:r w:rsidRPr="00E26CB3">
        <w:t xml:space="preserve">the Minister for Small Business, Innovation and Trade to support the ecosystem for local </w:t>
      </w:r>
      <w:r w:rsidRPr="008B4B23">
        <w:t>start-up</w:t>
      </w:r>
      <w:r w:rsidRPr="00E26CB3">
        <w:t xml:space="preserve"> businesses and the rapidly growing start</w:t>
      </w:r>
      <w:r>
        <w:t>-</w:t>
      </w:r>
      <w:r w:rsidRPr="00E26CB3">
        <w:t>up sector in</w:t>
      </w:r>
      <w:r>
        <w:t xml:space="preserve"> </w:t>
      </w:r>
      <w:r w:rsidRPr="00E26CB3">
        <w:t xml:space="preserve">Victoria. </w:t>
      </w:r>
    </w:p>
    <w:p w:rsidR="00DF17E9" w:rsidRDefault="00DF17E9" w:rsidP="00044843">
      <w:pPr>
        <w:pStyle w:val="Notes"/>
      </w:pPr>
      <w:r>
        <w:t>(l)</w:t>
      </w:r>
      <w:r w:rsidRPr="006648A3">
        <w:t xml:space="preserve"> </w:t>
      </w:r>
      <w:r>
        <w:tab/>
        <w:t>Melbourne Port Lessor Pty Ltd (Port Lessor) was established as a Corporations Act entity on 21 March 2016. Effective from 1 July 2016, Port Lessor commenced operations.</w:t>
      </w:r>
    </w:p>
    <w:p w:rsidR="00DF17E9" w:rsidRDefault="00DF17E9" w:rsidP="00044843">
      <w:pPr>
        <w:pStyle w:val="Notes"/>
      </w:pPr>
      <w:r>
        <w:t>(m)</w:t>
      </w:r>
      <w:r w:rsidRPr="00B74B53">
        <w:t xml:space="preserve"> </w:t>
      </w:r>
      <w:r>
        <w:tab/>
        <w:t>Port of Melbourne Operations Pty Ltd (PortCo) was established as a Corporations Act entity on 21 March 2016. Effective from 1 July 2016, PortCo commenced operations.</w:t>
      </w:r>
    </w:p>
    <w:p w:rsidR="00DF17E9" w:rsidRDefault="00DF17E9" w:rsidP="00044843">
      <w:pPr>
        <w:pStyle w:val="Notes"/>
      </w:pPr>
      <w:r>
        <w:t>(n)</w:t>
      </w:r>
      <w:r>
        <w:tab/>
        <w:t>Effective from 1 June 2016, Urban Renewal Authority (Places Victoria) was transferred from the Department of Environment, Land ,Water and Planning to the Department of Economic Development, Jobs, Transport and Resources.</w:t>
      </w:r>
    </w:p>
    <w:p w:rsidR="00DF17E9" w:rsidRDefault="00DF17E9">
      <w:pPr>
        <w:rPr>
          <w:rFonts w:eastAsia="Times New Roman" w:cstheme="minorHAnsi"/>
          <w:i/>
          <w:color w:val="FFFFFF" w:themeColor="background1"/>
          <w:lang w:eastAsia="en-AU"/>
        </w:rPr>
      </w:pPr>
    </w:p>
    <w:p w:rsidR="00DF17E9" w:rsidRDefault="00DF17E9" w:rsidP="00865C24">
      <w:pPr>
        <w:pBdr>
          <w:top w:val="single" w:sz="12" w:space="1" w:color="auto"/>
        </w:pBdr>
        <w:sectPr w:rsidR="00DF17E9" w:rsidSect="00044843">
          <w:type w:val="continuous"/>
          <w:pgSz w:w="11906" w:h="16838" w:code="9"/>
          <w:pgMar w:top="1134" w:right="1134" w:bottom="1134" w:left="1134" w:header="624" w:footer="567" w:gutter="0"/>
          <w:cols w:space="708"/>
          <w:docGrid w:linePitch="360"/>
        </w:sectPr>
      </w:pPr>
    </w:p>
    <w:p w:rsidR="00DF17E9" w:rsidRPr="003260E9" w:rsidRDefault="00DF17E9" w:rsidP="00044843">
      <w:pPr>
        <w:pStyle w:val="Heading2"/>
      </w:pPr>
      <w:bookmarkStart w:id="100" w:name="_Toc462418982"/>
      <w:r w:rsidRPr="003260E9">
        <w:lastRenderedPageBreak/>
        <w:t>Glossary of technical terms</w:t>
      </w:r>
      <w:bookmarkEnd w:id="100"/>
    </w:p>
    <w:p w:rsidR="00DF17E9" w:rsidRPr="002E5E67" w:rsidRDefault="00DF17E9" w:rsidP="00377403">
      <w:r w:rsidRPr="008843C6">
        <w:t>The following is a summary of the major tech</w:t>
      </w:r>
      <w:r>
        <w:t xml:space="preserve">nical terms used in this report as sourced from the </w:t>
      </w:r>
      <w:r>
        <w:rPr>
          <w:i/>
        </w:rPr>
        <w:t>Uniform Presentation Framework (2008)</w:t>
      </w:r>
      <w:r>
        <w:t xml:space="preserve">. Technical terms that have been discussed elsewhere in this chapter are excluded from the list below. </w:t>
      </w:r>
    </w:p>
    <w:p w:rsidR="00DF17E9" w:rsidRDefault="00DF17E9" w:rsidP="00377403">
      <w:pPr>
        <w:keepNext/>
        <w:spacing w:before="240"/>
        <w:outlineLvl w:val="2"/>
      </w:pPr>
      <w:r w:rsidRPr="00BB74F7">
        <w:rPr>
          <w:b/>
        </w:rPr>
        <w:t>ABS GFS manual</w:t>
      </w:r>
      <w:r w:rsidRPr="008843C6">
        <w:t xml:space="preserve"> </w:t>
      </w:r>
      <w:r>
        <w:t>represents</w:t>
      </w:r>
      <w:r w:rsidRPr="008843C6">
        <w:t xml:space="preserve"> </w:t>
      </w:r>
      <w:r>
        <w:t xml:space="preserve">the </w:t>
      </w:r>
      <w:r w:rsidRPr="008843C6">
        <w:t xml:space="preserve">ABS publication </w:t>
      </w:r>
      <w:r w:rsidRPr="008843C6">
        <w:rPr>
          <w:i/>
        </w:rPr>
        <w:t>Australian System of Government Finance Statistics: Concepts, Sources and Methods 2005</w:t>
      </w:r>
      <w:r w:rsidRPr="008843C6">
        <w:t xml:space="preserve"> as updated from time to time.</w:t>
      </w:r>
    </w:p>
    <w:p w:rsidR="00DF17E9" w:rsidRDefault="00DF17E9" w:rsidP="00044843">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rsidR="00DF17E9" w:rsidRPr="00BB74F7" w:rsidRDefault="00DF17E9" w:rsidP="00377403">
      <w:r w:rsidRPr="00BB74F7">
        <w:rPr>
          <w:b/>
        </w:rPr>
        <w:t>Cash surplus/deficit</w:t>
      </w:r>
      <w:r>
        <w:t xml:space="preserve"> represents the n</w:t>
      </w:r>
      <w:r w:rsidRPr="00BB74F7">
        <w:t>et cash flows from operating activities plus net cas</w:t>
      </w:r>
      <w:r>
        <w:t>h flows from investments in non</w:t>
      </w:r>
      <w:r>
        <w:noBreakHyphen/>
      </w:r>
      <w:r w:rsidRPr="00BB74F7">
        <w:t>financial assets (less dividends paid for the PNFC and PFC sectors).</w:t>
      </w:r>
    </w:p>
    <w:p w:rsidR="00DF17E9" w:rsidRPr="00BB74F7" w:rsidRDefault="00DF17E9" w:rsidP="00377403">
      <w:r w:rsidRPr="00BB74F7">
        <w:rPr>
          <w:b/>
        </w:rPr>
        <w:t>Cash surplus/deficit – ABS GFS version</w:t>
      </w:r>
      <w:r>
        <w:t xml:space="preserve"> is e</w:t>
      </w:r>
      <w:r w:rsidRPr="00BB74F7">
        <w:t>qual to the cash surplus deficit (above) less the value of assets acquired under finance leases and similar arrangements.</w:t>
      </w:r>
    </w:p>
    <w:p w:rsidR="00DF17E9" w:rsidRPr="00BB74F7" w:rsidRDefault="00DF17E9" w:rsidP="00377403">
      <w:r w:rsidRPr="00BB74F7">
        <w:rPr>
          <w:b/>
        </w:rPr>
        <w:t>Change in net worth</w:t>
      </w:r>
      <w:r w:rsidRPr="00BB74F7">
        <w:t xml:space="preserve"> (comprehensive result) is revenue from transactions less expenses from transactions plus other economic flows and measures the variation in a government’s accumulated assets and liabilities.</w:t>
      </w:r>
    </w:p>
    <w:p w:rsidR="00DF17E9" w:rsidRDefault="00DF17E9" w:rsidP="00377403">
      <w:r w:rsidRPr="00E97677">
        <w:rPr>
          <w:b/>
        </w:rPr>
        <w:t>Comprehensive result</w:t>
      </w:r>
      <w:r>
        <w:t xml:space="preserve"> is the amount included in the operating statement representing total change in net worth other than transactions with owners as owners.</w:t>
      </w:r>
    </w:p>
    <w:p w:rsidR="00DF17E9" w:rsidRDefault="00DF17E9" w:rsidP="00044843">
      <w:r w:rsidRPr="00954B6C">
        <w:rPr>
          <w:b/>
        </w:rPr>
        <w:t>Current grants</w:t>
      </w:r>
      <w:r>
        <w:t xml:space="preserve"> are amounts payable or paid for current purposes for which no economic benefits of equal value are receivable or payable in return.</w:t>
      </w:r>
    </w:p>
    <w:p w:rsidR="00DF17E9" w:rsidRDefault="00DF17E9" w:rsidP="00377403">
      <w:r w:rsidRPr="00E97677">
        <w:rPr>
          <w:b/>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DF17E9" w:rsidRPr="008843C6" w:rsidRDefault="00DF17E9" w:rsidP="00377403">
      <w:r w:rsidRPr="00BB74F7">
        <w:rPr>
          <w:b/>
        </w:rPr>
        <w:t>Fiscal aggregates</w:t>
      </w:r>
      <w:r>
        <w:rPr>
          <w:b/>
        </w:rPr>
        <w:t xml:space="preserve">: </w:t>
      </w:r>
      <w:r w:rsidRPr="008843C6">
        <w:t xml:space="preserve">Analytical balances that are useful for macroeconomic analysis purposes, including assessing the impact of a government and </w:t>
      </w:r>
      <w:r w:rsidRPr="008843C6">
        <w:lastRenderedPageBreak/>
        <w:t xml:space="preserve">its sectors on the economy. Key fiscal aggregates defined under ABS GFS manual are required to be disclosed under AASB 1049 </w:t>
      </w:r>
      <w:r w:rsidRPr="008843C6">
        <w:rPr>
          <w:i/>
        </w:rPr>
        <w:t>Whole of Government and General Government Sector Financial Reporting</w:t>
      </w:r>
      <w:r w:rsidRPr="008843C6">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rsidR="00DF17E9" w:rsidRDefault="00DF17E9" w:rsidP="00377403">
      <w:r w:rsidRPr="00BB74F7">
        <w:rPr>
          <w:b/>
        </w:rPr>
        <w:t>Government Finance Statistics</w:t>
      </w:r>
      <w:r>
        <w:t xml:space="preserve"> (GFS) </w:t>
      </w:r>
      <w:r w:rsidRPr="008843C6">
        <w:t>enables policymakers and analysts to study developments in the financial operations, financial position and liquidity situation of the Government. More details about the GFS can be found in the Australian Bureau of Statistics GFS manual</w:t>
      </w:r>
      <w:r w:rsidRPr="008843C6">
        <w:rPr>
          <w:i/>
        </w:rPr>
        <w:t xml:space="preserve"> Australian System of Government Finance Statistics: Concepts, Sources and Methods 2005</w:t>
      </w:r>
      <w:r w:rsidRPr="008843C6">
        <w:t>.</w:t>
      </w:r>
    </w:p>
    <w:p w:rsidR="00DF17E9" w:rsidRDefault="00DF17E9" w:rsidP="00377403">
      <w:r w:rsidRPr="00C34757">
        <w:rPr>
          <w:b/>
        </w:rPr>
        <w:t>Infrastructure systems</w:t>
      </w:r>
      <w:r>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rsidR="00DF17E9" w:rsidRDefault="00DF17E9" w:rsidP="00377403">
      <w:r w:rsidRPr="00C34757">
        <w:rPr>
          <w:b/>
        </w:rPr>
        <w:t>Interest expense</w:t>
      </w:r>
      <w:r>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rsidR="00DF17E9" w:rsidRDefault="00DF17E9" w:rsidP="00377403">
      <w:r w:rsidRPr="00C34757">
        <w:rPr>
          <w:b/>
        </w:rPr>
        <w:t>Key fiscal aggregates</w:t>
      </w:r>
      <w:r>
        <w:t xml:space="preserve"> are referred to as analytical balances in the ABS GFS manual, key fiscal aggregates are data identified as useful for macroeconomic analysis purposes, including assessing the impact of a government and its sectors on the economy. They are opening net worth; net operating balance; net lending/(borrowing); change in net worth due to revaluations; change in net worth due to other changes in the volume of assets; total change in net worth; closing net worth; and cash surplus/(deficit). </w:t>
      </w:r>
    </w:p>
    <w:p w:rsidR="00DF17E9" w:rsidRDefault="00DF17E9">
      <w:pPr>
        <w:rPr>
          <w:b/>
        </w:rPr>
      </w:pPr>
      <w:r>
        <w:rPr>
          <w:b/>
        </w:rPr>
        <w:br w:type="page"/>
      </w:r>
    </w:p>
    <w:p w:rsidR="00DF17E9" w:rsidRDefault="00DF17E9" w:rsidP="00377403">
      <w:r w:rsidRPr="00C34757">
        <w:rPr>
          <w:b/>
        </w:rPr>
        <w:lastRenderedPageBreak/>
        <w:t>Net acquisition of no</w:t>
      </w:r>
      <w:r w:rsidRPr="00A87409">
        <w:rPr>
          <w:b/>
        </w:rPr>
        <w:t>n-financial assets (from transactions)</w:t>
      </w:r>
      <w:r>
        <w:t xml:space="preserve">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rsidR="00DF17E9" w:rsidRPr="008843C6" w:rsidRDefault="00DF17E9" w:rsidP="00377403">
      <w:r w:rsidRPr="00A87409">
        <w:rPr>
          <w:b/>
        </w:rPr>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rsidR="00DF17E9" w:rsidRPr="008843C6" w:rsidRDefault="00DF17E9" w:rsidP="00377403">
      <w:r w:rsidRPr="00A87409">
        <w:rPr>
          <w:b/>
        </w:rPr>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rsidR="00DF17E9" w:rsidRPr="008843C6" w:rsidRDefault="00DF17E9" w:rsidP="00377403">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rsidR="00DF17E9" w:rsidRPr="008843C6" w:rsidRDefault="00DF17E9" w:rsidP="00377403">
      <w:r w:rsidRPr="008843C6">
        <w:t>For the general government sector, this item also includes cash flows arising from the acquisition and disposal by government of its investments (contributed capital) in entities in the public non</w:t>
      </w:r>
      <w:r>
        <w:noBreakHyphen/>
      </w:r>
      <w:r w:rsidRPr="008843C6">
        <w:t>financial corporations and public financial corporations sectors.</w:t>
      </w:r>
    </w:p>
    <w:p w:rsidR="00DF17E9" w:rsidRPr="008843C6" w:rsidRDefault="00DF17E9" w:rsidP="00377403">
      <w:r w:rsidRPr="00A87409">
        <w:rPr>
          <w:b/>
        </w:rPr>
        <w:t>Net debt</w:t>
      </w:r>
      <w:r w:rsidRPr="008843C6">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rsidR="00DF17E9" w:rsidRDefault="00DF17E9" w:rsidP="00377403">
      <w:r w:rsidRPr="00C34757">
        <w:rPr>
          <w:b/>
        </w:rPr>
        <w:t>Net financial liabilities</w:t>
      </w:r>
      <w:r>
        <w:t xml:space="preserve"> is calculated as liabilities less financial assets, other than equity in PNFCs and PFCs. This measure is broader than net debt as it includes significant liabilities, other than borrowings (e.g. accrued employee liabilities such as superannuation and long service leave entitlements). </w:t>
      </w:r>
      <w:r>
        <w:lastRenderedPageBreak/>
        <w:t>For the PNFC and PFC sectors, it is equal to negative net financial worth.</w:t>
      </w:r>
    </w:p>
    <w:p w:rsidR="00DF17E9" w:rsidRDefault="00DF17E9" w:rsidP="00377403">
      <w:r w:rsidRPr="00C34757">
        <w:rPr>
          <w:b/>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rsidR="00DF17E9" w:rsidRDefault="00DF17E9" w:rsidP="00377403">
      <w:r w:rsidRPr="00C34757">
        <w:rPr>
          <w:b/>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rsidR="00DF17E9" w:rsidRDefault="00DF17E9" w:rsidP="00377403">
      <w:r w:rsidRPr="00C34757">
        <w:rPr>
          <w:b/>
        </w:rPr>
        <w:t>Net operating balance – net result from transactions:</w:t>
      </w:r>
      <w:r>
        <w:t xml:space="preserve"> 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DF17E9" w:rsidRDefault="00DF17E9" w:rsidP="00377403">
      <w:r w:rsidRPr="00C34757">
        <w:rPr>
          <w:b/>
        </w:rPr>
        <w:t>Net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w:t>
      </w:r>
    </w:p>
    <w:p w:rsidR="00DF17E9" w:rsidRDefault="00DF17E9" w:rsidP="00377403">
      <w:r w:rsidRPr="00C34757">
        <w:rPr>
          <w:b/>
        </w:rPr>
        <w:t>Net worth</w:t>
      </w:r>
      <w:r>
        <w:t xml:space="preserve"> is calculated as assets less liabilities, which is an economic measure of wealth.</w:t>
      </w:r>
    </w:p>
    <w:p w:rsidR="00DF17E9" w:rsidRDefault="00DF17E9" w:rsidP="00377403">
      <w:r w:rsidRPr="00C34757">
        <w:rPr>
          <w:b/>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rsidR="00DF17E9" w:rsidRDefault="00DF17E9" w:rsidP="00377403">
      <w:pPr>
        <w:sectPr w:rsidR="00DF17E9" w:rsidSect="00044843">
          <w:pgSz w:w="11906" w:h="16838" w:code="9"/>
          <w:pgMar w:top="1134" w:right="1134" w:bottom="1134" w:left="1134" w:header="624" w:footer="567" w:gutter="0"/>
          <w:cols w:num="2" w:space="708"/>
          <w:docGrid w:linePitch="360"/>
        </w:sectPr>
      </w:pPr>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rsidR="00DF17E9" w:rsidRDefault="00DF17E9" w:rsidP="00377403">
      <w:r>
        <w:rPr>
          <w:b/>
        </w:rPr>
        <w:lastRenderedPageBreak/>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rsidR="00DF17E9" w:rsidRDefault="00DF17E9" w:rsidP="00377403">
      <w:r w:rsidRPr="00C34757">
        <w:rPr>
          <w:b/>
        </w:rPr>
        <w:t>Operating result</w:t>
      </w:r>
      <w:r>
        <w:t xml:space="preserve"> is a measure of financial performance of the operations for the period. </w:t>
      </w:r>
      <w:r w:rsidR="004350F7">
        <w:br/>
      </w:r>
      <w:r>
        <w:t xml:space="preserve">It is the net result of items of revenue, gains and expenses (including losses) recognised for the period, excluding those that are classified as ‘other non-owner movements in equity’. Refer also ‘net result’. </w:t>
      </w:r>
    </w:p>
    <w:p w:rsidR="00DF17E9" w:rsidRDefault="00DF17E9" w:rsidP="00377403">
      <w:r w:rsidRPr="00C34757">
        <w:rPr>
          <w:b/>
        </w:rPr>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and agricultural assets; and depletion of natural assets (non-produced) from their use or removal.</w:t>
      </w:r>
    </w:p>
    <w:p w:rsidR="00DF17E9" w:rsidRDefault="00DF17E9" w:rsidP="00377403">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rsidR="00DF17E9" w:rsidRPr="008843C6" w:rsidRDefault="00DF17E9" w:rsidP="00377403">
      <w:r w:rsidRPr="00A87409">
        <w:rPr>
          <w:b/>
        </w:rPr>
        <w:lastRenderedPageBreak/>
        <w:t>Roads</w:t>
      </w:r>
      <w:r w:rsidRPr="008843C6">
        <w:t xml:space="preserve"> include road pavement and road works in progress. All land under roads is included under the category of </w:t>
      </w:r>
      <w:r>
        <w:t>‘</w:t>
      </w:r>
      <w:r w:rsidRPr="008843C6">
        <w:t>land</w:t>
      </w:r>
      <w:r>
        <w:t>’</w:t>
      </w:r>
      <w:r w:rsidRPr="008843C6">
        <w:t>.</w:t>
      </w:r>
    </w:p>
    <w:p w:rsidR="00DF17E9" w:rsidRPr="008843C6" w:rsidRDefault="00DF17E9" w:rsidP="00377403">
      <w:r w:rsidRPr="00A87409">
        <w:rPr>
          <w:b/>
        </w:rPr>
        <w:t>Road infrastructure</w:t>
      </w:r>
      <w:r w:rsidRPr="008843C6">
        <w:t xml:space="preserve"> mainly includes sound barriers, bridges and traffic signal control systems.</w:t>
      </w:r>
    </w:p>
    <w:p w:rsidR="00DF17E9" w:rsidRPr="008843C6" w:rsidRDefault="00DF17E9" w:rsidP="00377403">
      <w:r w:rsidRPr="00A87409">
        <w:rPr>
          <w:b/>
        </w:rPr>
        <w:t>Taxation revenue</w:t>
      </w:r>
      <w:r w:rsidRPr="00D2308C">
        <w:t xml:space="preserve"> represents revenue received from the State</w:t>
      </w:r>
      <w:r>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rsidR="00DF17E9" w:rsidRDefault="00DF17E9" w:rsidP="00377403">
      <w:r w:rsidRPr="00C34757">
        <w:rPr>
          <w:b/>
        </w:rPr>
        <w:t xml:space="preserve">Transactions </w:t>
      </w:r>
      <w:r>
        <w:t>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bookmarkEnd w:id="92"/>
    <w:p w:rsidR="00DF17E9" w:rsidRDefault="00DF17E9" w:rsidP="009E4FDE"/>
    <w:p w:rsidR="00DF17E9" w:rsidRDefault="00DF17E9">
      <w:pPr>
        <w:sectPr w:rsidR="00DF17E9" w:rsidSect="00044843">
          <w:pgSz w:w="11906" w:h="16838" w:code="9"/>
          <w:pgMar w:top="1134" w:right="1134" w:bottom="1134" w:left="1134" w:header="624" w:footer="567" w:gutter="0"/>
          <w:cols w:num="2" w:space="708"/>
          <w:docGrid w:linePitch="360"/>
        </w:sectPr>
      </w:pPr>
    </w:p>
    <w:p w:rsidR="00DF17E9" w:rsidRDefault="00DF17E9"/>
    <w:p w:rsidR="00DF17E9" w:rsidRDefault="00DF17E9">
      <w:pPr>
        <w:sectPr w:rsidR="00DF17E9" w:rsidSect="00044843">
          <w:footerReference w:type="even" r:id="rId283"/>
          <w:type w:val="continuous"/>
          <w:pgSz w:w="11906" w:h="16838" w:code="9"/>
          <w:pgMar w:top="1134" w:right="1134" w:bottom="1134" w:left="1134" w:header="624" w:footer="567" w:gutter="0"/>
          <w:cols w:num="2" w:space="708"/>
          <w:docGrid w:linePitch="360"/>
        </w:sectPr>
      </w:pPr>
    </w:p>
    <w:p w:rsidR="00DF17E9" w:rsidRDefault="00DF17E9" w:rsidP="001D40F4">
      <w:pPr>
        <w:sectPr w:rsidR="00DF17E9" w:rsidSect="00044843">
          <w:footerReference w:type="even" r:id="rId284"/>
          <w:type w:val="continuous"/>
          <w:pgSz w:w="11906" w:h="16838" w:code="9"/>
          <w:pgMar w:top="1134" w:right="1134" w:bottom="1134" w:left="1134" w:header="624" w:footer="567" w:gutter="0"/>
          <w:cols w:space="708"/>
          <w:docGrid w:linePitch="360"/>
        </w:sectPr>
      </w:pPr>
    </w:p>
    <w:p w:rsidR="00DF17E9" w:rsidRPr="000D5949" w:rsidRDefault="00DF17E9" w:rsidP="00044843">
      <w:pPr>
        <w:pStyle w:val="Chapterheading"/>
      </w:pPr>
      <w:bookmarkStart w:id="101" w:name="_Toc462865848"/>
      <w:r>
        <w:lastRenderedPageBreak/>
        <w:t xml:space="preserve">Chapter 5 – </w:t>
      </w:r>
      <w:r w:rsidRPr="00BC3470">
        <w:t>Supplementary uniform presentation framework tables</w:t>
      </w:r>
      <w:bookmarkEnd w:id="101"/>
    </w:p>
    <w:p w:rsidR="00DF17E9" w:rsidRPr="000D5949" w:rsidRDefault="00DF17E9" w:rsidP="006125C9">
      <w:pPr>
        <w:sectPr w:rsidR="00DF17E9" w:rsidRPr="000D5949" w:rsidSect="00743CE4">
          <w:headerReference w:type="even" r:id="rId285"/>
          <w:headerReference w:type="default" r:id="rId286"/>
          <w:footerReference w:type="even" r:id="rId287"/>
          <w:footerReference w:type="default" r:id="rId288"/>
          <w:headerReference w:type="first" r:id="rId289"/>
          <w:footerReference w:type="first" r:id="rId290"/>
          <w:type w:val="oddPage"/>
          <w:pgSz w:w="11906" w:h="16838" w:code="9"/>
          <w:pgMar w:top="1134" w:right="1134" w:bottom="1134" w:left="1134" w:header="624" w:footer="567" w:gutter="0"/>
          <w:cols w:space="708"/>
          <w:docGrid w:linePitch="360"/>
        </w:sectPr>
      </w:pPr>
    </w:p>
    <w:p w:rsidR="00DF17E9" w:rsidRDefault="00DF17E9" w:rsidP="00044843">
      <w:pPr>
        <w:pStyle w:val="Subheadingunderline"/>
      </w:pPr>
      <w:r>
        <w:lastRenderedPageBreak/>
        <w:t>THE ACCRUAL GOVERNMENT FINANCE STATISTICS PRESENTATION</w:t>
      </w:r>
    </w:p>
    <w:p w:rsidR="00DF17E9" w:rsidRDefault="00DF17E9" w:rsidP="00044843">
      <w:r>
        <w:t>The Government Finance Statistics (GFS) system employed by the Australian Bureau of Statistics (ABS) is designed to provide statistics relating to the finances of the Australian public sector. The statistics show consolidated transactions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rsidR="00DF17E9" w:rsidRDefault="005C5F28" w:rsidP="00044843">
      <w:pPr>
        <w:pStyle w:val="Subheadingunderline"/>
      </w:pPr>
      <w:r>
        <w:br w:type="column"/>
      </w:r>
      <w:r w:rsidR="00DF17E9">
        <w:lastRenderedPageBreak/>
        <w:t>GENERALLY ACCEPTED ACCOUNTING PRINCIPLES/GOVERNMENT FINANCE STATISTICS HARMONISATION</w:t>
      </w:r>
    </w:p>
    <w:p w:rsidR="00DF17E9" w:rsidRDefault="00DF17E9" w:rsidP="00044843">
      <w:r>
        <w:t xml:space="preserve">In October 2007, the Australian Accounting Standards Board issued a new standard AASB 1049 </w:t>
      </w:r>
      <w:r w:rsidRPr="00BC3470">
        <w:rPr>
          <w:i/>
        </w:rPr>
        <w:t>Whole of Government and General Government Sector Financial Reporting</w:t>
      </w:r>
      <w:r>
        <w:t xml:space="preserve">, applicable from 1 July 2008. The objective as set out by the Financial Reporting Council in December 2002 is ‘to achieve an Australian accounting standard for a single set of government reports which are auditable, comparable between jurisdictions, and in which the outcome statements as directly comparable with the relevant budget statements’. This standard incorporates the major elements of the GFS framework, including the presentation formats and key fiscal aggregates, into a standard based on generally accepted accounting principles (GAAP). </w:t>
      </w:r>
    </w:p>
    <w:p w:rsidR="00DF17E9" w:rsidRDefault="00DF17E9" w:rsidP="00044843">
      <w:r>
        <w:t>The current Uniform Presentation Framework (UPF) was agreed by the Australian Loan Council in March 2008, based on AASB 1049, and similarly applicable from the reporting period commencing 1 July 2008. In addition to the audited Annual Financial Report presented in Chapter 4, the following statements are also required to be presented under the UPF.</w:t>
      </w:r>
    </w:p>
    <w:p w:rsidR="00DF17E9" w:rsidRDefault="00DF17E9" w:rsidP="00044843">
      <w:pPr>
        <w:pStyle w:val="Subheadingunderline"/>
        <w:sectPr w:rsidR="00DF17E9" w:rsidSect="00044843">
          <w:headerReference w:type="even" r:id="rId291"/>
          <w:headerReference w:type="default" r:id="rId292"/>
          <w:footerReference w:type="even" r:id="rId293"/>
          <w:footerReference w:type="default" r:id="rId294"/>
          <w:type w:val="continuous"/>
          <w:pgSz w:w="11906" w:h="16838" w:code="9"/>
          <w:pgMar w:top="1134" w:right="1134" w:bottom="1134" w:left="1134" w:header="624" w:footer="567" w:gutter="0"/>
          <w:cols w:num="2" w:space="708"/>
          <w:docGrid w:linePitch="360"/>
        </w:sectPr>
      </w:pPr>
    </w:p>
    <w:p w:rsidR="00DF17E9" w:rsidRPr="003E3043" w:rsidRDefault="00DF17E9" w:rsidP="00044843">
      <w:pPr>
        <w:pStyle w:val="Subheadingunderline"/>
        <w:rPr>
          <w:caps/>
        </w:rPr>
      </w:pPr>
      <w:r w:rsidRPr="003E3043">
        <w:rPr>
          <w:caps/>
        </w:rPr>
        <w:lastRenderedPageBreak/>
        <w:t>Financial statements for the non-financial public sector</w:t>
      </w:r>
    </w:p>
    <w:p w:rsidR="00DF17E9" w:rsidRPr="00AE6379" w:rsidRDefault="00DF17E9" w:rsidP="00044843">
      <w:pPr>
        <w:pStyle w:val="Subheading"/>
        <w:rPr>
          <w:rStyle w:val="TableUnitsChar"/>
          <w:bCs/>
          <w:lang w:val="en-US"/>
        </w:rPr>
      </w:pPr>
      <w:r>
        <w:t>Table 5.1: Non-financial public sector operating statement for the financial year ended 30 June</w:t>
      </w:r>
      <w:r>
        <w:tab/>
      </w:r>
      <w:r w:rsidRPr="00BC3470">
        <w:rPr>
          <w:rStyle w:val="TableUnitsChar"/>
        </w:rPr>
        <w:t>($ million)</w:t>
      </w:r>
    </w:p>
    <w:tbl>
      <w:tblPr>
        <w:tblStyle w:val="TableDTFGeneral"/>
        <w:tblW w:w="9638" w:type="dxa"/>
        <w:tblLayout w:type="fixed"/>
        <w:tblLook w:val="02A0" w:firstRow="1" w:lastRow="0" w:firstColumn="1" w:lastColumn="0" w:noHBand="1" w:noVBand="0"/>
      </w:tblPr>
      <w:tblGrid>
        <w:gridCol w:w="7824"/>
        <w:gridCol w:w="907"/>
        <w:gridCol w:w="907"/>
      </w:tblGrid>
      <w:tr w:rsidR="00DF17E9" w:rsidRPr="00AE637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FFFFFF"/>
              </w:rPr>
            </w:pPr>
            <w:r w:rsidRPr="00AE6379">
              <w:rPr>
                <w:color w:val="FFFFFF"/>
              </w:rPr>
              <w:t>2016</w:t>
            </w:r>
          </w:p>
        </w:tc>
        <w:tc>
          <w:tcPr>
            <w:tcW w:w="907"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AE6379">
              <w:rPr>
                <w:color w:val="FFFFFF"/>
              </w:rPr>
              <w:t>2015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Revenue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Taxation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19 460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17 949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Interest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361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396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301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749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Sales of goods and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10 869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10 596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color w:val="000000"/>
              </w:rPr>
              <w:t>Grant revenue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25 402</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24 500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color w:val="000000"/>
              </w:rPr>
              <w:t>Other revenue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3 814</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3 067</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113" w:hanging="113"/>
              <w:rPr>
                <w:color w:val="000000"/>
              </w:rPr>
            </w:pPr>
            <w:r w:rsidRPr="00AE6379">
              <w:rPr>
                <w:b/>
                <w:color w:val="000000"/>
              </w:rPr>
              <w:t>Total revenue from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b/>
                <w:color w:val="000000"/>
              </w:rPr>
              <w:t>60 206</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57 257</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Expenses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Employee expenses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21 101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19 859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Net superannuation 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880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1 041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Other 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2 230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2 080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Depreciation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4 658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4 404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2 659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2 801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color w:val="000000"/>
              </w:rPr>
              <w:t>Grant expense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5 649</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5 825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color w:val="000000"/>
              </w:rPr>
              <w:t>Other operating expenses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20 349</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20 448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113" w:hanging="113"/>
              <w:rPr>
                <w:color w:val="000000"/>
              </w:rPr>
            </w:pPr>
            <w:r w:rsidRPr="00AE6379">
              <w:rPr>
                <w:b/>
                <w:color w:val="000000"/>
              </w:rPr>
              <w:t>Total expenses from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57 526</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56 457</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113" w:hanging="113"/>
              <w:rPr>
                <w:color w:val="000000"/>
              </w:rPr>
            </w:pPr>
            <w:r w:rsidRPr="00AE6379">
              <w:rPr>
                <w:b/>
                <w:color w:val="000000"/>
              </w:rPr>
              <w:t>Net result from transactions – net operating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b/>
                <w:color w:val="000000"/>
              </w:rPr>
              <w:t>2 680</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800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12" w:space="0" w:color="auto"/>
            </w:tcBorders>
          </w:tcPr>
          <w:p w:rsidR="00DF17E9" w:rsidRPr="00AE6379" w:rsidRDefault="00DF17E9" w:rsidP="00044843">
            <w:pPr>
              <w:ind w:left="113" w:hanging="113"/>
              <w:rPr>
                <w:color w:val="000000"/>
              </w:rPr>
            </w:pPr>
            <w:r w:rsidRPr="00AE6379">
              <w:rPr>
                <w:b/>
                <w:color w:val="000000"/>
              </w:rPr>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AE6379" w:rsidRDefault="00DF17E9" w:rsidP="00044843">
            <w:pPr>
              <w:rPr>
                <w:color w:val="000000"/>
              </w:rPr>
            </w:pPr>
            <w:r w:rsidRPr="00AE6379">
              <w:rPr>
                <w:b/>
                <w:color w:val="000000"/>
              </w:rPr>
              <w:t xml:space="preserve"> </w:t>
            </w:r>
          </w:p>
        </w:tc>
        <w:tc>
          <w:tcPr>
            <w:tcW w:w="907" w:type="dxa"/>
            <w:tcBorders>
              <w:top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Net gain/(loss) on disposal of non-financial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(148)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Net gain/(loss) on financial assets or liabilities at fair value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color w:val="000000"/>
              </w:rPr>
              <w:t>Share of net profit/(loss) from associates/joint venture entities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(73)</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color w:val="000000"/>
              </w:rP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(872)</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(732)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113" w:hanging="113"/>
              <w:rPr>
                <w:color w:val="000000"/>
              </w:rPr>
            </w:pPr>
            <w:r w:rsidRPr="00AE6379">
              <w:rPr>
                <w:b/>
                <w:color w:val="000000"/>
              </w:rPr>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r w:rsidRPr="00AE6379">
              <w:rPr>
                <w:b/>
                <w:color w:val="000000"/>
              </w:rPr>
              <w:t>(1 007)</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(672)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113" w:hanging="113"/>
              <w:rPr>
                <w:color w:val="000000"/>
              </w:rPr>
            </w:pPr>
            <w:r w:rsidRPr="00AE6379">
              <w:rPr>
                <w:b/>
                <w:color w:val="000000"/>
              </w:rPr>
              <w:t>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1 673</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128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113" w:hanging="113"/>
              <w:rPr>
                <w:color w:val="000000"/>
              </w:rPr>
            </w:pPr>
            <w:r w:rsidRPr="00AE6379">
              <w:rPr>
                <w:b/>
                <w:color w:val="000000"/>
              </w:rPr>
              <w:t>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b/>
                <w:color w:val="000000"/>
              </w:rPr>
              <w:t xml:space="preserve"> </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Items that will not be reclassified to net result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Changes in non-financial assets revaluation surplus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17 514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7 404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Remeasurement of superannuation defined benefits plans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(3 246)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556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 xml:space="preserve">Other movements in equity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(193)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(172)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Items that may be reclassified subsequently to net result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color w:val="000000"/>
              </w:rPr>
              <w:t>Net gain/(loss) on financial assets at fair value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(110)</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color w:val="000000"/>
              </w:rPr>
              <w:t>Net gain/(loss) on equity investments in other sector entities at proportional share of the carrying amount of net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(421)</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636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113" w:hanging="113"/>
              <w:rPr>
                <w:color w:val="000000"/>
              </w:rPr>
            </w:pPr>
            <w:r w:rsidRPr="00AE6379">
              <w:rPr>
                <w:b/>
                <w:color w:val="000000"/>
              </w:rPr>
              <w:t xml:space="preserve">Total other economic flows – other comprehensive income </w:t>
            </w:r>
            <w:r w:rsidRPr="00AE6379">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13 544</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8 415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113" w:hanging="113"/>
              <w:rPr>
                <w:color w:val="000000"/>
              </w:rPr>
            </w:pPr>
            <w:r w:rsidRPr="00AE6379">
              <w:rPr>
                <w:b/>
                <w:color w:val="000000"/>
              </w:rPr>
              <w:t xml:space="preserve">Comprehensive result – total change in net worth </w:t>
            </w:r>
            <w:r w:rsidRPr="00AE6379">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b/>
                <w:color w:val="000000"/>
              </w:rPr>
              <w:t>15 218</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8 543</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single" w:sz="12" w:space="0" w:color="auto"/>
            </w:tcBorders>
          </w:tcPr>
          <w:p w:rsidR="00DF17E9" w:rsidRPr="00AE6379" w:rsidRDefault="00DF17E9" w:rsidP="00044843">
            <w:pPr>
              <w:ind w:left="113" w:hanging="113"/>
              <w:rPr>
                <w:color w:val="000000"/>
              </w:rPr>
            </w:pPr>
            <w:r w:rsidRPr="00AE63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AE6379" w:rsidRDefault="00DF17E9" w:rsidP="00044843">
            <w:pPr>
              <w:jc w:val="left"/>
              <w:rPr>
                <w:color w:val="000000"/>
              </w:rPr>
            </w:pPr>
            <w:r w:rsidRPr="00AE6379">
              <w:rPr>
                <w:color w:val="000000"/>
              </w:rPr>
              <w:t xml:space="preserve"> </w:t>
            </w:r>
          </w:p>
        </w:tc>
        <w:tc>
          <w:tcPr>
            <w:tcW w:w="907" w:type="dxa"/>
            <w:tcBorders>
              <w:top w:val="single" w:sz="12" w:space="0" w:color="auto"/>
            </w:tcBorders>
          </w:tcPr>
          <w:p w:rsidR="00DF17E9" w:rsidRPr="00AE6379"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FISCAL AGGREGRATES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Net operating balance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2 680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800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Net acquisition of non-financial assets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 xml:space="preserve">Purchases of non-financial assets (including change in inventories) </w:t>
            </w:r>
            <w:r w:rsidRPr="00AE6379">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6 835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6 588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Less: sales of non-financial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(453)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(594)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Less: depreciation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(4 658)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(4 404)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color w:val="000000"/>
              </w:rPr>
              <w:t>Plus: other movements in non-financial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1 202</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241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2" w:space="0" w:color="auto"/>
            </w:tcBorders>
          </w:tcPr>
          <w:p w:rsidR="00DF17E9" w:rsidRPr="00AE6379" w:rsidRDefault="00DF17E9" w:rsidP="00044843">
            <w:pPr>
              <w:ind w:left="113" w:hanging="113"/>
              <w:rPr>
                <w:color w:val="000000"/>
              </w:rPr>
            </w:pPr>
            <w:r w:rsidRPr="00AE6379">
              <w:rPr>
                <w:b/>
                <w:color w:val="000000"/>
              </w:rPr>
              <w:t>Less: net acquisition of non-financial assets from transactions</w:t>
            </w:r>
            <w:r w:rsidRPr="00AE6379">
              <w:rPr>
                <w:color w:val="00000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2" w:space="0" w:color="auto"/>
            </w:tcBorders>
          </w:tcPr>
          <w:p w:rsidR="00DF17E9" w:rsidRPr="00AE6379" w:rsidRDefault="00DF17E9" w:rsidP="00044843">
            <w:pPr>
              <w:rPr>
                <w:color w:val="000000"/>
              </w:rPr>
            </w:pPr>
            <w:r w:rsidRPr="00AE6379">
              <w:rPr>
                <w:b/>
                <w:color w:val="000000"/>
              </w:rPr>
              <w:t>2 926</w:t>
            </w:r>
          </w:p>
        </w:tc>
        <w:tc>
          <w:tcPr>
            <w:tcW w:w="907" w:type="dxa"/>
            <w:tcBorders>
              <w:bottom w:val="single" w:sz="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1 831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2" w:space="0" w:color="auto"/>
              <w:bottom w:val="single" w:sz="12" w:space="0" w:color="auto"/>
            </w:tcBorders>
          </w:tcPr>
          <w:p w:rsidR="00DF17E9" w:rsidRPr="00AE6379" w:rsidRDefault="00DF17E9" w:rsidP="00044843">
            <w:pPr>
              <w:ind w:left="113" w:hanging="113"/>
              <w:rPr>
                <w:color w:val="000000"/>
              </w:rPr>
            </w:pPr>
            <w:r w:rsidRPr="00AE6379">
              <w:rPr>
                <w:b/>
                <w:color w:val="000000"/>
              </w:rPr>
              <w:t>Net lending/(borrowing)</w:t>
            </w:r>
          </w:p>
        </w:tc>
        <w:tc>
          <w:tcPr>
            <w:cnfStyle w:val="000010000000" w:firstRow="0" w:lastRow="0" w:firstColumn="0" w:lastColumn="0" w:oddVBand="1" w:evenVBand="0" w:oddHBand="0" w:evenHBand="0" w:firstRowFirstColumn="0" w:firstRowLastColumn="0" w:lastRowFirstColumn="0" w:lastRowLastColumn="0"/>
            <w:tcW w:w="907" w:type="dxa"/>
            <w:tcBorders>
              <w:top w:val="single" w:sz="2" w:space="0" w:color="auto"/>
              <w:bottom w:val="single" w:sz="12" w:space="0" w:color="auto"/>
            </w:tcBorders>
          </w:tcPr>
          <w:p w:rsidR="00DF17E9" w:rsidRPr="00AE6379" w:rsidRDefault="00DF17E9" w:rsidP="00044843">
            <w:r w:rsidRPr="00AE6379">
              <w:rPr>
                <w:b/>
                <w:color w:val="000000"/>
              </w:rPr>
              <w:t>(246)</w:t>
            </w:r>
          </w:p>
        </w:tc>
        <w:tc>
          <w:tcPr>
            <w:tcW w:w="907" w:type="dxa"/>
            <w:tcBorders>
              <w:top w:val="single" w:sz="2"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(1 031)</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r>
      <w:r w:rsidRPr="004B1967">
        <w:t>June 2015 comparative figures have been restated to reflect an adjustment to Coliban Water’s deferred tax liability balances in the PNFC sector attributable to a change</w:t>
      </w:r>
      <w:r>
        <w:t xml:space="preserve"> in valuation policy in 2015-16.</w:t>
      </w:r>
    </w:p>
    <w:p w:rsidR="00DF17E9" w:rsidRDefault="00DF17E9" w:rsidP="00044843">
      <w:pPr>
        <w:pStyle w:val="Note"/>
      </w:pPr>
      <w:r>
        <w:t>(b)</w:t>
      </w:r>
      <w:r>
        <w:tab/>
      </w:r>
      <w:r w:rsidRPr="008E1CD5">
        <w:t>June 2015 comparative figures have been restated to finalise the allocation of equity balances between contributed capital and accumulated funds related to prior year machinery of government changes.</w:t>
      </w:r>
    </w:p>
    <w:p w:rsidR="00DF17E9" w:rsidRPr="00AE6379" w:rsidRDefault="00DF17E9" w:rsidP="00044843">
      <w:pPr>
        <w:pStyle w:val="Subheading"/>
        <w:rPr>
          <w:bCs/>
          <w:lang w:val="en-US"/>
        </w:rPr>
      </w:pPr>
      <w:r>
        <w:lastRenderedPageBreak/>
        <w:t>Table 5.2: Non-financial public sector balance sheet for the financial year ended 30 June</w:t>
      </w:r>
      <w:r>
        <w:tab/>
      </w:r>
      <w:r w:rsidRPr="00BC3470">
        <w:rPr>
          <w:rStyle w:val="TableUnitsChar"/>
        </w:rPr>
        <w:t>($ million)</w:t>
      </w:r>
    </w:p>
    <w:tbl>
      <w:tblPr>
        <w:tblStyle w:val="TableDTFGeneral"/>
        <w:tblW w:w="9638" w:type="dxa"/>
        <w:tblLayout w:type="fixed"/>
        <w:tblLook w:val="02A0" w:firstRow="1" w:lastRow="0" w:firstColumn="1" w:lastColumn="0" w:noHBand="1" w:noVBand="0"/>
      </w:tblPr>
      <w:tblGrid>
        <w:gridCol w:w="7824"/>
        <w:gridCol w:w="907"/>
        <w:gridCol w:w="907"/>
      </w:tblGrid>
      <w:tr w:rsidR="00DF17E9" w:rsidRPr="00AE637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FFFFFF"/>
              </w:rPr>
            </w:pPr>
            <w:r w:rsidRPr="00AE6379">
              <w:rPr>
                <w:color w:val="FFFFFF"/>
              </w:rPr>
              <w:t>2016</w:t>
            </w:r>
          </w:p>
        </w:tc>
        <w:tc>
          <w:tcPr>
            <w:tcW w:w="907"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AE6379">
              <w:rPr>
                <w:color w:val="FFFFFF"/>
              </w:rPr>
              <w:t>2015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5 574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5 374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Advances paid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153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 xml:space="preserve">Receivables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6 412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5 884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3 906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4 395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Investments accounted for using the equity method</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1 918</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2 021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 xml:space="preserve">Investments in other sector entities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2 481</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3 210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0" w:firstLine="0"/>
              <w:rPr>
                <w:color w:val="000000"/>
              </w:rPr>
            </w:pPr>
            <w:r w:rsidRPr="00AE6379">
              <w:rPr>
                <w:b/>
                <w:color w:val="000000"/>
              </w:rPr>
              <w:t xml:space="preserve">Total financial assets </w:t>
            </w:r>
            <w:r w:rsidRPr="00AE6379">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20 444</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20 972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0" w:firstLine="0"/>
              <w:rPr>
                <w:color w:val="000000"/>
              </w:rPr>
            </w:pPr>
            <w:r w:rsidRPr="00AE6379">
              <w:rPr>
                <w:b/>
                <w:color w:val="000000"/>
              </w:rPr>
              <w:t>Non-financial assets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b/>
                <w:color w:val="000000"/>
              </w:rPr>
              <w:t xml:space="preserve"> </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Inventories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709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710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Non-financial assets held for sale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200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205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 xml:space="preserve">Land, buildings, infrastructure, plant and equipment </w:t>
            </w:r>
            <w:r w:rsidRPr="00AE6379">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226 481</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206 869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Other non-financial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2 191</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1 932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0" w:firstLine="0"/>
              <w:rPr>
                <w:color w:val="000000"/>
              </w:rPr>
            </w:pPr>
            <w:r w:rsidRPr="00AE6379">
              <w:rPr>
                <w:b/>
                <w:color w:val="000000"/>
              </w:rPr>
              <w:t xml:space="preserve">Total non-financial assets </w:t>
            </w:r>
            <w:r w:rsidRPr="00AE6379">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229 581</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209 716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0" w:firstLine="0"/>
              <w:rPr>
                <w:color w:val="000000"/>
              </w:rPr>
            </w:pPr>
            <w:r w:rsidRPr="00AE6379">
              <w:rPr>
                <w:b/>
                <w:color w:val="000000"/>
              </w:rPr>
              <w:t xml:space="preserve">Total assets </w:t>
            </w:r>
            <w:r w:rsidRPr="00AE6379">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b/>
                <w:color w:val="000000"/>
              </w:rPr>
              <w:t>250 025</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230 688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 xml:space="preserve">Deposits held and advances received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802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637</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Payables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6 865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6 480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 xml:space="preserve">Borrowings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45 409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45 769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Employee benefits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6 551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5 985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29 354</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25 988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Other provisions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1 047</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1 051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0" w:firstLine="0"/>
              <w:rPr>
                <w:color w:val="000000"/>
              </w:rPr>
            </w:pPr>
            <w:r w:rsidRPr="00AE6379">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90 029</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85 910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0" w:firstLine="0"/>
              <w:rPr>
                <w:color w:val="000000"/>
              </w:rPr>
            </w:pPr>
            <w:r w:rsidRPr="00AE6379">
              <w:rPr>
                <w:b/>
                <w:color w:val="000000"/>
              </w:rPr>
              <w:t xml:space="preserve">Net assets </w:t>
            </w:r>
            <w:r w:rsidRPr="00AE6379">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b/>
                <w:color w:val="000000"/>
              </w:rPr>
              <w:t>159 996</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144 778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12" w:space="0" w:color="auto"/>
            </w:tcBorders>
          </w:tcPr>
          <w:p w:rsidR="00DF17E9" w:rsidRPr="00AE6379" w:rsidRDefault="00DF17E9" w:rsidP="00044843">
            <w:pPr>
              <w:ind w:left="0" w:firstLine="0"/>
              <w:rPr>
                <w:color w:val="000000"/>
              </w:rPr>
            </w:pPr>
            <w:r w:rsidRPr="00AE6379">
              <w:rPr>
                <w:color w:val="000000"/>
              </w:rPr>
              <w:t xml:space="preserve">Accumulated surplus/(deficit) </w:t>
            </w:r>
            <w:r w:rsidRPr="00AE6379">
              <w:rPr>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AE6379" w:rsidRDefault="00DF17E9" w:rsidP="00044843">
            <w:pPr>
              <w:rPr>
                <w:color w:val="000000"/>
              </w:rPr>
            </w:pPr>
            <w:r w:rsidRPr="00AE6379">
              <w:rPr>
                <w:color w:val="000000"/>
              </w:rPr>
              <w:t>61 161</w:t>
            </w:r>
          </w:p>
        </w:tc>
        <w:tc>
          <w:tcPr>
            <w:tcW w:w="907" w:type="dxa"/>
            <w:tcBorders>
              <w:top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62 895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Reserves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98 785</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81 833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Non-controlling interest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50</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0" w:firstLine="0"/>
              <w:rPr>
                <w:color w:val="000000"/>
              </w:rPr>
            </w:pPr>
            <w:r w:rsidRPr="00AE6379">
              <w:rPr>
                <w:b/>
                <w:color w:val="000000"/>
              </w:rPr>
              <w:t xml:space="preserve">Net worth </w:t>
            </w:r>
            <w:r w:rsidRPr="00AE6379">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b/>
                <w:color w:val="000000"/>
              </w:rPr>
              <w:t>159 996</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144 778</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single" w:sz="12" w:space="0" w:color="auto"/>
            </w:tcBorders>
          </w:tcPr>
          <w:p w:rsidR="00DF17E9" w:rsidRPr="00AE6379" w:rsidRDefault="00DF17E9" w:rsidP="00044843">
            <w:pPr>
              <w:ind w:left="0" w:firstLine="0"/>
              <w:rPr>
                <w:color w:val="000000"/>
              </w:rPr>
            </w:pPr>
            <w:r w:rsidRPr="00AE63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AE6379" w:rsidRDefault="00DF17E9" w:rsidP="00044843">
            <w:pPr>
              <w:rPr>
                <w:color w:val="000000"/>
              </w:rPr>
            </w:pPr>
            <w:r w:rsidRPr="00AE6379">
              <w:rPr>
                <w:color w:val="000000"/>
              </w:rPr>
              <w:t xml:space="preserve"> </w:t>
            </w:r>
          </w:p>
        </w:tc>
        <w:tc>
          <w:tcPr>
            <w:tcW w:w="907" w:type="dxa"/>
            <w:tcBorders>
              <w:top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FISCAL AGGREGATES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 xml:space="preserve">Net financial worth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(69 585)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(64 938)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 xml:space="preserve">Net financial liabilities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72 066</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68 148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12" w:space="0" w:color="auto"/>
            </w:tcBorders>
          </w:tcPr>
          <w:p w:rsidR="00DF17E9" w:rsidRPr="00AE6379" w:rsidRDefault="00DF17E9" w:rsidP="00044843">
            <w:pPr>
              <w:ind w:left="0" w:firstLine="0"/>
              <w:rPr>
                <w:color w:val="000000"/>
              </w:rPr>
            </w:pPr>
            <w:r w:rsidRPr="00AE6379">
              <w:rPr>
                <w:color w:val="000000"/>
              </w:rPr>
              <w:t>Net debt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AE6379" w:rsidRDefault="00DF17E9" w:rsidP="00044843">
            <w:pPr>
              <w:rPr>
                <w:color w:val="000000"/>
              </w:rPr>
            </w:pPr>
            <w:r w:rsidRPr="00AE6379">
              <w:rPr>
                <w:color w:val="000000"/>
              </w:rPr>
              <w:t>36 578</w:t>
            </w:r>
          </w:p>
        </w:tc>
        <w:tc>
          <w:tcPr>
            <w:tcW w:w="907" w:type="dxa"/>
            <w:tcBorders>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36 548</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r>
      <w:r w:rsidRPr="004B1967">
        <w:t>June 2015 comparative figures have been restated to reflect an adjustment to Coliban Water’s deferred tax liability balances in the PNFC sector attributable to a change in valuation policy in 2015-16.</w:t>
      </w:r>
    </w:p>
    <w:p w:rsidR="00DF17E9" w:rsidRDefault="00DF17E9" w:rsidP="00044843">
      <w:pPr>
        <w:pStyle w:val="Note"/>
      </w:pPr>
      <w:r>
        <w:t>(b)</w:t>
      </w:r>
      <w:r>
        <w:tab/>
      </w:r>
      <w:r w:rsidRPr="004B1967">
        <w:t>June 2015 comparative figures have been restated to finalise the allocation of equity balances between contributed capital and accumulated funds related to prior year machinery of government changes.</w:t>
      </w:r>
    </w:p>
    <w:p w:rsidR="00DF17E9" w:rsidRDefault="00DF17E9">
      <w:pPr>
        <w:rPr>
          <w:rFonts w:asciiTheme="majorHAnsi" w:hAnsiTheme="majorHAnsi"/>
          <w:b/>
          <w:spacing w:val="-2"/>
        </w:rPr>
      </w:pPr>
      <w:r>
        <w:br w:type="page"/>
      </w:r>
    </w:p>
    <w:p w:rsidR="00DF17E9" w:rsidRPr="00AE6379" w:rsidRDefault="00DF17E9" w:rsidP="00044843">
      <w:pPr>
        <w:pStyle w:val="Subheading"/>
        <w:rPr>
          <w:bCs/>
          <w:lang w:val="en-US" w:eastAsia="en-AU"/>
        </w:rPr>
      </w:pPr>
      <w:r>
        <w:lastRenderedPageBreak/>
        <w:t>Table 5.3: Non-financial public sector cash flow statement for the financial year ended 30 June</w:t>
      </w:r>
      <w:r>
        <w:tab/>
      </w:r>
      <w:r w:rsidRPr="00BC3470">
        <w:rPr>
          <w:rStyle w:val="TableUnitsChar"/>
        </w:rPr>
        <w:t>($ million)</w:t>
      </w:r>
    </w:p>
    <w:tbl>
      <w:tblPr>
        <w:tblStyle w:val="TableDTFGeneral"/>
        <w:tblW w:w="9638" w:type="dxa"/>
        <w:tblLayout w:type="fixed"/>
        <w:tblLook w:val="02A0" w:firstRow="1" w:lastRow="0" w:firstColumn="1" w:lastColumn="0" w:noHBand="1" w:noVBand="0"/>
      </w:tblPr>
      <w:tblGrid>
        <w:gridCol w:w="7824"/>
        <w:gridCol w:w="907"/>
        <w:gridCol w:w="907"/>
      </w:tblGrid>
      <w:tr w:rsidR="00DF17E9" w:rsidRPr="00AE637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FFFFFF"/>
              </w:rPr>
            </w:pPr>
            <w:r w:rsidRPr="00AE6379">
              <w:rPr>
                <w:color w:val="FFFFFF"/>
              </w:rPr>
              <w:t>2016</w:t>
            </w:r>
          </w:p>
        </w:tc>
        <w:tc>
          <w:tcPr>
            <w:tcW w:w="907"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AE6379">
              <w:rPr>
                <w:color w:val="FFFFFF"/>
              </w:rPr>
              <w:t>2015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Cash flows from operating activities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 xml:space="preserve">Receipts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Taxes received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19 339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18 026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Grants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25 364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24 486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 xml:space="preserve">Sales of goods and services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12 056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11 598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 xml:space="preserve">Interest received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365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372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Dividends and income tax equivalent and rate equivalent receipts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424</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633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 xml:space="preserve">Other receipts </w:t>
            </w:r>
            <w:r w:rsidRPr="00AE6379">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2 567</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2 279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0" w:firstLine="0"/>
              <w:rPr>
                <w:color w:val="000000"/>
              </w:rPr>
            </w:pPr>
            <w:r w:rsidRPr="00AE6379">
              <w:rPr>
                <w:b/>
                <w:color w:val="000000"/>
              </w:rPr>
              <w:t xml:space="preserve">Total receipts </w:t>
            </w:r>
            <w:r w:rsidRPr="00AE6379">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b/>
                <w:color w:val="000000"/>
              </w:rPr>
              <w:t>60 115</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57 395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 xml:space="preserve">Payments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Payments for employees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(20 684)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(19 621)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(2 990)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(2 878)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Interest paid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(2 625)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(2 743)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Grants and subsidies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(5 616)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(5 749)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 xml:space="preserve">Goods and services </w:t>
            </w:r>
            <w:r w:rsidRPr="00AE6379">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(20 680)</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(20 129)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Other payments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(468)</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(1 062)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0" w:firstLine="0"/>
              <w:rPr>
                <w:color w:val="000000"/>
              </w:rPr>
            </w:pPr>
            <w:r w:rsidRPr="00AE6379">
              <w:rPr>
                <w:b/>
                <w:color w:val="000000"/>
              </w:rPr>
              <w:t>Total payments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r w:rsidRPr="00AE6379">
              <w:rPr>
                <w:b/>
                <w:color w:val="000000"/>
              </w:rPr>
              <w:t>(53 064)</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(52 182)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0" w:firstLine="0"/>
              <w:rPr>
                <w:color w:val="000000"/>
              </w:rPr>
            </w:pPr>
            <w:r w:rsidRPr="00AE6379">
              <w:rPr>
                <w:b/>
                <w:color w:val="000000"/>
              </w:rPr>
              <w:t xml:space="preserve">Net cash flows from operating activities </w:t>
            </w:r>
            <w:r w:rsidRPr="00AE6379">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b/>
                <w:color w:val="000000"/>
              </w:rPr>
              <w:t>7 051</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5 213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Cash flows from investing activities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 xml:space="preserve">Purchases of non-financial assets </w:t>
            </w:r>
            <w:r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(6 801)</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(6 580)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Sales of non-financial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453</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594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nil"/>
            </w:tcBorders>
          </w:tcPr>
          <w:p w:rsidR="00DF17E9" w:rsidRPr="00AE6379" w:rsidRDefault="00DF17E9" w:rsidP="00044843">
            <w:pPr>
              <w:ind w:left="0" w:firstLine="0"/>
              <w:rPr>
                <w:color w:val="000000"/>
              </w:rPr>
            </w:pPr>
            <w:r w:rsidRPr="00AE6379">
              <w:rPr>
                <w:b/>
                <w:color w:val="000000"/>
              </w:rPr>
              <w:t xml:space="preserve">Cash flows from investments in non-financial assets </w:t>
            </w:r>
            <w:r w:rsidRPr="00AE6379">
              <w:rPr>
                <w:b/>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AE6379" w:rsidRDefault="00DF17E9" w:rsidP="00044843">
            <w:r w:rsidRPr="00AE6379">
              <w:rPr>
                <w:b/>
                <w:color w:val="000000"/>
              </w:rPr>
              <w:t>(6 348)</w:t>
            </w:r>
          </w:p>
        </w:tc>
        <w:tc>
          <w:tcPr>
            <w:tcW w:w="907" w:type="dxa"/>
            <w:tcBorders>
              <w:top w:val="single" w:sz="6" w:space="0" w:color="auto"/>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(5 986)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 xml:space="preserve">Net cash flows from investments in financial assets for policy purposes </w:t>
            </w:r>
            <w:r w:rsidRPr="00AE6379">
              <w:rPr>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345</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181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nil"/>
            </w:tcBorders>
          </w:tcPr>
          <w:p w:rsidR="00DF17E9" w:rsidRPr="00AE6379" w:rsidRDefault="00DF17E9" w:rsidP="00044843">
            <w:pPr>
              <w:ind w:left="0" w:firstLine="0"/>
              <w:rPr>
                <w:color w:val="000000"/>
              </w:rPr>
            </w:pPr>
            <w:r w:rsidRPr="00AE6379">
              <w:rPr>
                <w:b/>
                <w:color w:val="000000"/>
              </w:rPr>
              <w:t xml:space="preserve">Sub-total </w:t>
            </w:r>
            <w:r w:rsidRPr="00AE6379">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AE6379" w:rsidRDefault="00DF17E9" w:rsidP="00044843">
            <w:r w:rsidRPr="00AE6379">
              <w:rPr>
                <w:b/>
                <w:color w:val="000000"/>
              </w:rPr>
              <w:t>(6 003)</w:t>
            </w:r>
          </w:p>
        </w:tc>
        <w:tc>
          <w:tcPr>
            <w:tcW w:w="907" w:type="dxa"/>
            <w:tcBorders>
              <w:top w:val="single" w:sz="6" w:space="0" w:color="auto"/>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(5 806)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Net cash flows from investments in financial assets for liquidity management purposes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567</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(270)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0" w:firstLine="0"/>
              <w:rPr>
                <w:color w:val="000000"/>
              </w:rPr>
            </w:pPr>
            <w:r w:rsidRPr="00AE6379">
              <w:rPr>
                <w:b/>
                <w:color w:val="000000"/>
              </w:rPr>
              <w:t xml:space="preserve">Net cash flows from investing activities </w:t>
            </w:r>
            <w:r w:rsidRPr="00AE6379">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r w:rsidRPr="00AE6379">
              <w:rPr>
                <w:b/>
                <w:color w:val="000000"/>
              </w:rPr>
              <w:t>(5 436)</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(6 076)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Cash flows from financing activities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Advances received (net)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color w:val="000000"/>
              </w:rPr>
              <w:t>Net borrowings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(1 457)</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575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Deposits received (net)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42</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95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Other financing (net)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1</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0" w:firstLine="0"/>
              <w:rPr>
                <w:color w:val="000000"/>
              </w:rPr>
            </w:pPr>
            <w:r w:rsidRPr="00AE6379">
              <w:rPr>
                <w:b/>
                <w:color w:val="000000"/>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r w:rsidRPr="00AE6379">
              <w:rPr>
                <w:b/>
                <w:color w:val="000000"/>
              </w:rPr>
              <w:t>(1 414)</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671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nil"/>
            </w:tcBorders>
          </w:tcPr>
          <w:p w:rsidR="00DF17E9" w:rsidRPr="00AE6379" w:rsidRDefault="00DF17E9" w:rsidP="00044843">
            <w:pPr>
              <w:ind w:left="0" w:firstLine="0"/>
              <w:rPr>
                <w:color w:val="000000"/>
              </w:rPr>
            </w:pPr>
            <w:r w:rsidRPr="00AE6379">
              <w:rPr>
                <w:b/>
                <w:color w:val="000000"/>
              </w:rPr>
              <w:t xml:space="preserve">Net increase/(decrease) in cash and cash equivalents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AE6379" w:rsidRDefault="00DF17E9" w:rsidP="00044843">
            <w:r w:rsidRPr="00AE6379">
              <w:rPr>
                <w:b/>
                <w:color w:val="000000"/>
              </w:rPr>
              <w:t>201</w:t>
            </w:r>
          </w:p>
        </w:tc>
        <w:tc>
          <w:tcPr>
            <w:tcW w:w="907" w:type="dxa"/>
            <w:tcBorders>
              <w:top w:val="single" w:sz="6" w:space="0" w:color="auto"/>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(192)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Cash and cash equivalents at beginning of reporting period</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5 374</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5 566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0" w:firstLine="0"/>
              <w:rPr>
                <w:b/>
                <w:color w:val="000000"/>
              </w:rPr>
            </w:pPr>
            <w:r w:rsidRPr="00AE6379">
              <w:rPr>
                <w:b/>
                <w:color w:val="000000"/>
              </w:rPr>
              <w:t>Cash and cash equivalents at end of the financial year</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b/>
                <w:color w:val="000000"/>
              </w:rPr>
              <w:t>5 574</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5 374</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single" w:sz="12" w:space="0" w:color="auto"/>
            </w:tcBorders>
          </w:tcPr>
          <w:p w:rsidR="00DF17E9" w:rsidRPr="00AE6379" w:rsidRDefault="00DF17E9" w:rsidP="00044843">
            <w:pPr>
              <w:ind w:left="0" w:firstLine="0"/>
              <w:rPr>
                <w:color w:val="000000"/>
              </w:rPr>
            </w:pPr>
            <w:r w:rsidRPr="00AE63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AE6379" w:rsidRDefault="00DF17E9" w:rsidP="00044843">
            <w:pPr>
              <w:jc w:val="left"/>
              <w:rPr>
                <w:color w:val="000000"/>
              </w:rPr>
            </w:pPr>
            <w:r w:rsidRPr="00AE6379">
              <w:rPr>
                <w:color w:val="000000"/>
              </w:rPr>
              <w:t xml:space="preserve"> </w:t>
            </w:r>
          </w:p>
        </w:tc>
        <w:tc>
          <w:tcPr>
            <w:tcW w:w="907" w:type="dxa"/>
            <w:tcBorders>
              <w:top w:val="single" w:sz="12" w:space="0" w:color="auto"/>
            </w:tcBorders>
          </w:tcPr>
          <w:p w:rsidR="00DF17E9" w:rsidRPr="00AE6379"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000000"/>
              </w:rPr>
            </w:pPr>
            <w:r w:rsidRPr="00AE6379">
              <w:rPr>
                <w:b/>
                <w:color w:val="000000"/>
              </w:rPr>
              <w:t>FISCAL AGGREGATES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0" w:firstLine="0"/>
              <w:rPr>
                <w:color w:val="000000"/>
              </w:rPr>
            </w:pPr>
            <w:r w:rsidRPr="00AE6379">
              <w:rPr>
                <w:color w:val="000000"/>
              </w:rPr>
              <w:t xml:space="preserve">Net cash flows from operating activities </w:t>
            </w:r>
            <w:r w:rsidRPr="00AE6379">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pPr>
              <w:rPr>
                <w:color w:val="000000"/>
              </w:rPr>
            </w:pPr>
            <w:r w:rsidRPr="00AE6379">
              <w:rPr>
                <w:color w:val="000000"/>
              </w:rPr>
              <w:t>7 051</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5 213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0" w:firstLine="0"/>
              <w:rPr>
                <w:color w:val="000000"/>
              </w:rPr>
            </w:pPr>
            <w:r w:rsidRPr="00AE6379">
              <w:rPr>
                <w:color w:val="000000"/>
              </w:rPr>
              <w:t xml:space="preserve">Net cash flows from investments in non-financial assets </w:t>
            </w:r>
            <w:r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(6 348)</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(5 986)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0" w:firstLine="0"/>
              <w:rPr>
                <w:color w:val="000000"/>
              </w:rPr>
            </w:pPr>
            <w:r w:rsidRPr="00AE6379">
              <w:rPr>
                <w:b/>
                <w:color w:val="000000"/>
              </w:rPr>
              <w:t xml:space="preserve">Cash surplus/(deficit) </w:t>
            </w:r>
            <w:r w:rsidRPr="00AE6379">
              <w:rPr>
                <w:b/>
                <w:color w:val="000000"/>
                <w:vertAlign w:val="superscript"/>
              </w:rPr>
              <w:t>(b)(c)</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r w:rsidRPr="00AE6379">
              <w:rPr>
                <w:b/>
                <w:color w:val="000000"/>
              </w:rPr>
              <w:t>702</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(773)</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t>These items are inclusive of goods and services tax.</w:t>
      </w:r>
    </w:p>
    <w:p w:rsidR="00DF17E9" w:rsidRDefault="00DF17E9" w:rsidP="00044843">
      <w:pPr>
        <w:pStyle w:val="Note"/>
      </w:pPr>
      <w:r>
        <w:t>(b)</w:t>
      </w:r>
      <w:r>
        <w:tab/>
      </w:r>
      <w:r w:rsidRPr="004B1967">
        <w:t>June 2015 comparative figures have been restated to reflect an adjustment to Coliban Water’s deferred tax liability balances in the PNFC sector attributable to a change in valuation policy in 2015-16</w:t>
      </w:r>
      <w:r w:rsidRPr="00D0448B">
        <w:t>.</w:t>
      </w:r>
    </w:p>
    <w:p w:rsidR="00DF17E9" w:rsidRDefault="00DF17E9" w:rsidP="00044843">
      <w:pPr>
        <w:pStyle w:val="Note"/>
      </w:pPr>
      <w:r>
        <w:t>(c)</w:t>
      </w:r>
      <w:r>
        <w:tab/>
      </w:r>
      <w:r w:rsidRPr="004B1967">
        <w:t>June 2015 comparative figures have been restated to finalise the allocation of equity balances between contributed capital and accumulated funds related to prior year machinery of government changes.</w:t>
      </w:r>
    </w:p>
    <w:p w:rsidR="00DF17E9" w:rsidRDefault="00DF17E9">
      <w:pPr>
        <w:rPr>
          <w:b/>
        </w:rPr>
      </w:pPr>
    </w:p>
    <w:p w:rsidR="00DF17E9" w:rsidRDefault="00DF17E9">
      <w:pPr>
        <w:rPr>
          <w:rFonts w:asciiTheme="majorHAnsi" w:hAnsiTheme="majorHAnsi"/>
          <w:b/>
          <w:spacing w:val="-2"/>
        </w:rPr>
      </w:pPr>
      <w:r>
        <w:br w:type="page"/>
      </w:r>
    </w:p>
    <w:p w:rsidR="00DF17E9" w:rsidRDefault="00DF17E9" w:rsidP="00044843">
      <w:pPr>
        <w:pStyle w:val="Subheading"/>
        <w:sectPr w:rsidR="00DF17E9" w:rsidSect="00044843">
          <w:pgSz w:w="11906" w:h="16838" w:code="9"/>
          <w:pgMar w:top="1134" w:right="1134" w:bottom="1134" w:left="1134" w:header="624" w:footer="567" w:gutter="0"/>
          <w:cols w:space="708"/>
          <w:docGrid w:linePitch="360"/>
        </w:sectPr>
      </w:pPr>
    </w:p>
    <w:p w:rsidR="00DF17E9" w:rsidRPr="00AE6379" w:rsidRDefault="00DF17E9" w:rsidP="00044843">
      <w:pPr>
        <w:pStyle w:val="Subheading"/>
        <w:rPr>
          <w:bCs/>
          <w:lang w:val="en-US"/>
        </w:rPr>
      </w:pPr>
      <w:r>
        <w:lastRenderedPageBreak/>
        <w:t>Table 5.4: Non-financial public sector statement of changes in equity</w:t>
      </w:r>
      <w:r>
        <w:tab/>
      </w:r>
      <w:r>
        <w:tab/>
      </w:r>
      <w:r w:rsidRPr="00BC3470">
        <w:rPr>
          <w:rStyle w:val="TableUnitsChar"/>
        </w:rPr>
        <w:t>($ million)</w:t>
      </w:r>
    </w:p>
    <w:tbl>
      <w:tblPr>
        <w:tblStyle w:val="TableDTFGeneral"/>
        <w:tblW w:w="14747" w:type="dxa"/>
        <w:tblLayout w:type="fixed"/>
        <w:tblLook w:val="02A0" w:firstRow="1" w:lastRow="0" w:firstColumn="1" w:lastColumn="0" w:noHBand="1" w:noVBand="0"/>
      </w:tblPr>
      <w:tblGrid>
        <w:gridCol w:w="4707"/>
        <w:gridCol w:w="1512"/>
        <w:gridCol w:w="1548"/>
        <w:gridCol w:w="1928"/>
        <w:gridCol w:w="2387"/>
        <w:gridCol w:w="1378"/>
        <w:gridCol w:w="1287"/>
      </w:tblGrid>
      <w:tr w:rsidR="00DF17E9" w:rsidRPr="00AE637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0" w:firstLine="0"/>
              <w:rPr>
                <w:color w:val="FFFFFF"/>
                <w:sz w:val="18"/>
              </w:rPr>
            </w:pPr>
            <w:r w:rsidRPr="00AE6379">
              <w:rPr>
                <w:color w:val="FFFFFF"/>
                <w:sz w:val="18"/>
              </w:rPr>
              <w:t xml:space="preserve"> </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FFFFFF"/>
                <w:sz w:val="18"/>
              </w:rPr>
            </w:pPr>
            <w:r w:rsidRPr="00AE6379">
              <w:rPr>
                <w:color w:val="FFFFFF"/>
                <w:sz w:val="18"/>
              </w:rPr>
              <w:t xml:space="preserve">Accumulated surplus/(deficit) </w:t>
            </w:r>
          </w:p>
        </w:tc>
        <w:tc>
          <w:tcPr>
            <w:tcW w:w="1548"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8"/>
              </w:rPr>
            </w:pPr>
            <w:r w:rsidRPr="00AE6379">
              <w:rPr>
                <w:color w:val="FFFFFF"/>
                <w:sz w:val="18"/>
              </w:rPr>
              <w:t>Non-controlling Interest</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FFFFFF"/>
                <w:sz w:val="18"/>
              </w:rPr>
            </w:pPr>
            <w:r w:rsidRPr="00AE6379">
              <w:rPr>
                <w:color w:val="FFFFFF"/>
                <w:sz w:val="18"/>
              </w:rPr>
              <w:t xml:space="preserve">Non-financial assets revaluation surplus </w:t>
            </w:r>
            <w:r w:rsidRPr="00AE6379">
              <w:rPr>
                <w:color w:val="FFFFFF"/>
                <w:sz w:val="18"/>
                <w:vertAlign w:val="superscript"/>
              </w:rPr>
              <w:t>(a)</w:t>
            </w:r>
          </w:p>
        </w:tc>
        <w:tc>
          <w:tcPr>
            <w:tcW w:w="2387"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8"/>
              </w:rPr>
            </w:pPr>
            <w:r w:rsidRPr="00AE6379">
              <w:rPr>
                <w:color w:val="FFFFFF"/>
                <w:sz w:val="18"/>
              </w:rPr>
              <w:t>Investment in other sector entities revaluation surplus</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FFFFFF"/>
                <w:sz w:val="18"/>
              </w:rPr>
            </w:pPr>
            <w:r w:rsidRPr="00AE6379">
              <w:rPr>
                <w:color w:val="FFFFFF"/>
                <w:sz w:val="18"/>
              </w:rPr>
              <w:t>Other reserves</w:t>
            </w:r>
          </w:p>
        </w:tc>
        <w:tc>
          <w:tcPr>
            <w:tcW w:w="1287"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sz w:val="18"/>
              </w:rPr>
            </w:pPr>
            <w:r w:rsidRPr="00AE6379">
              <w:rPr>
                <w:color w:val="FFFFFF"/>
                <w:sz w:val="18"/>
              </w:rPr>
              <w:t>Total</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b/>
                <w:color w:val="000000"/>
                <w:sz w:val="18"/>
              </w:rPr>
              <w:t>2016</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b/>
                <w:color w:val="000000"/>
                <w:sz w:val="18"/>
              </w:rPr>
              <w:t xml:space="preserve"> </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jc w:val="left"/>
              <w:rPr>
                <w:color w:val="000000"/>
                <w:sz w:val="18"/>
              </w:rPr>
            </w:pPr>
            <w:r w:rsidRPr="00AE6379">
              <w:rPr>
                <w:b/>
                <w:color w:val="000000"/>
                <w:sz w:val="18"/>
              </w:rPr>
              <w:t xml:space="preserve"> </w:t>
            </w:r>
          </w:p>
        </w:tc>
        <w:tc>
          <w:tcPr>
            <w:tcW w:w="2387" w:type="dxa"/>
          </w:tcPr>
          <w:p w:rsidR="00DF17E9" w:rsidRPr="00AE6379"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b/>
                <w:color w:val="000000"/>
                <w:sz w:val="18"/>
              </w:rPr>
              <w:t xml:space="preserve"> </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color w:val="000000"/>
                <w:sz w:val="18"/>
              </w:rPr>
              <w:t xml:space="preserve">Balance at 1 July 2015 </w:t>
            </w:r>
            <w:r w:rsidRPr="00AE6379">
              <w:rPr>
                <w:color w:val="000000"/>
                <w:sz w:val="18"/>
                <w:vertAlign w:val="superscript"/>
              </w:rPr>
              <w:t>(b)(c)</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color w:val="000000"/>
                <w:sz w:val="18"/>
              </w:rPr>
              <w:t>62 895</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50</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000000"/>
                <w:sz w:val="18"/>
              </w:rPr>
            </w:pPr>
            <w:r w:rsidRPr="00AE6379">
              <w:rPr>
                <w:color w:val="000000"/>
                <w:sz w:val="18"/>
              </w:rPr>
              <w:t>77 427</w:t>
            </w:r>
          </w:p>
        </w:tc>
        <w:tc>
          <w:tcPr>
            <w:tcW w:w="23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3 240</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color w:val="000000"/>
                <w:sz w:val="18"/>
              </w:rPr>
              <w:t>1 166</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144 778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color w:val="000000"/>
                <w:sz w:val="18"/>
              </w:rPr>
              <w:t>Net result for the year</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color w:val="000000"/>
                <w:sz w:val="18"/>
              </w:rPr>
              <w:t>1 673</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000000"/>
                <w:sz w:val="18"/>
              </w:rPr>
            </w:pPr>
            <w:r w:rsidRPr="00AE6379">
              <w:rPr>
                <w:color w:val="000000"/>
                <w:sz w:val="18"/>
              </w:rPr>
              <w:t>..</w:t>
            </w:r>
          </w:p>
        </w:tc>
        <w:tc>
          <w:tcPr>
            <w:tcW w:w="23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color w:val="000000"/>
                <w:sz w:val="18"/>
              </w:rPr>
              <w:t>..</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1 673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color w:val="000000"/>
                <w:sz w:val="18"/>
              </w:rPr>
              <w:t>Other comprehensive income for the year</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color w:val="000000"/>
                <w:sz w:val="18"/>
              </w:rPr>
              <w:t>(3 385)</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000000"/>
                <w:sz w:val="18"/>
              </w:rPr>
            </w:pPr>
            <w:r w:rsidRPr="00AE6379">
              <w:rPr>
                <w:color w:val="000000"/>
                <w:sz w:val="18"/>
              </w:rPr>
              <w:t>17 514</w:t>
            </w:r>
          </w:p>
        </w:tc>
        <w:tc>
          <w:tcPr>
            <w:tcW w:w="23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(421)</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color w:val="000000"/>
                <w:sz w:val="18"/>
              </w:rPr>
              <w:t>(163)</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13 544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bottom w:val="nil"/>
            </w:tcBorders>
          </w:tcPr>
          <w:p w:rsidR="00DF17E9" w:rsidRPr="00AE6379" w:rsidRDefault="00DF17E9" w:rsidP="00044843">
            <w:pPr>
              <w:ind w:left="113" w:hanging="113"/>
              <w:rPr>
                <w:color w:val="000000"/>
                <w:sz w:val="18"/>
              </w:rPr>
            </w:pPr>
            <w:r w:rsidRPr="00AE6379">
              <w:rPr>
                <w:color w:val="000000"/>
                <w:sz w:val="18"/>
              </w:rPr>
              <w:t>Transfer to/(from) accumulated surplus</w:t>
            </w:r>
          </w:p>
        </w:tc>
        <w:tc>
          <w:tcPr>
            <w:cnfStyle w:val="000010000000" w:firstRow="0" w:lastRow="0" w:firstColumn="0" w:lastColumn="0" w:oddVBand="1" w:evenVBand="0" w:oddHBand="0" w:evenHBand="0" w:firstRowFirstColumn="0" w:firstRowLastColumn="0" w:lastRowFirstColumn="0" w:lastRowLastColumn="0"/>
            <w:tcW w:w="1512" w:type="dxa"/>
            <w:tcBorders>
              <w:bottom w:val="nil"/>
            </w:tcBorders>
          </w:tcPr>
          <w:p w:rsidR="00DF17E9" w:rsidRPr="00AE6379" w:rsidRDefault="00DF17E9" w:rsidP="00044843">
            <w:pPr>
              <w:rPr>
                <w:color w:val="000000"/>
                <w:sz w:val="18"/>
              </w:rPr>
            </w:pPr>
            <w:r w:rsidRPr="00AE6379">
              <w:rPr>
                <w:color w:val="000000"/>
                <w:sz w:val="18"/>
              </w:rPr>
              <w:t>(22)</w:t>
            </w:r>
          </w:p>
        </w:tc>
        <w:tc>
          <w:tcPr>
            <w:tcW w:w="1548"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928" w:type="dxa"/>
            <w:tcBorders>
              <w:bottom w:val="nil"/>
            </w:tcBorders>
          </w:tcPr>
          <w:p w:rsidR="00DF17E9" w:rsidRPr="00AE6379" w:rsidRDefault="00DF17E9" w:rsidP="00044843">
            <w:pPr>
              <w:rPr>
                <w:color w:val="000000"/>
                <w:sz w:val="18"/>
              </w:rPr>
            </w:pPr>
            <w:r w:rsidRPr="00AE6379">
              <w:rPr>
                <w:color w:val="000000"/>
                <w:sz w:val="18"/>
              </w:rPr>
              <w:t>22</w:t>
            </w:r>
          </w:p>
        </w:tc>
        <w:tc>
          <w:tcPr>
            <w:tcW w:w="238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378" w:type="dxa"/>
            <w:tcBorders>
              <w:bottom w:val="nil"/>
            </w:tcBorders>
          </w:tcPr>
          <w:p w:rsidR="00DF17E9" w:rsidRPr="00AE6379" w:rsidRDefault="00DF17E9" w:rsidP="00044843">
            <w:pPr>
              <w:rPr>
                <w:color w:val="000000"/>
                <w:sz w:val="18"/>
              </w:rPr>
            </w:pPr>
            <w:r w:rsidRPr="00AE6379">
              <w:rPr>
                <w:color w:val="000000"/>
                <w:sz w:val="18"/>
              </w:rPr>
              <w:t>..</w:t>
            </w:r>
          </w:p>
        </w:tc>
        <w:tc>
          <w:tcPr>
            <w:tcW w:w="128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rsidR="00DF17E9" w:rsidRPr="00AE6379" w:rsidRDefault="00DF17E9" w:rsidP="00044843">
            <w:pPr>
              <w:ind w:left="113" w:hanging="113"/>
              <w:rPr>
                <w:color w:val="000000"/>
                <w:sz w:val="18"/>
              </w:rPr>
            </w:pPr>
            <w:r w:rsidRPr="00AE6379">
              <w:rPr>
                <w:color w:val="000000"/>
                <w:sz w:val="18"/>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2" w:type="dxa"/>
            <w:tcBorders>
              <w:bottom w:val="single" w:sz="6" w:space="0" w:color="auto"/>
            </w:tcBorders>
          </w:tcPr>
          <w:p w:rsidR="00DF17E9" w:rsidRPr="00AE6379" w:rsidRDefault="002E0661" w:rsidP="00044843">
            <w:pPr>
              <w:rPr>
                <w:color w:val="000000"/>
                <w:sz w:val="18"/>
              </w:rPr>
            </w:pPr>
            <w:r>
              <w:rPr>
                <w:color w:val="000000"/>
                <w:sz w:val="18"/>
              </w:rPr>
              <w:t>..</w:t>
            </w:r>
            <w:r w:rsidR="00DF17E9" w:rsidRPr="00AE6379">
              <w:rPr>
                <w:color w:val="000000"/>
                <w:sz w:val="18"/>
              </w:rPr>
              <w:t xml:space="preserve"> </w:t>
            </w:r>
          </w:p>
        </w:tc>
        <w:tc>
          <w:tcPr>
            <w:tcW w:w="1548" w:type="dxa"/>
            <w:tcBorders>
              <w:bottom w:val="single" w:sz="6" w:space="0" w:color="auto"/>
            </w:tcBorders>
          </w:tcPr>
          <w:p w:rsidR="00DF17E9" w:rsidRPr="00AE6379" w:rsidRDefault="002E0661" w:rsidP="00044843">
            <w:pP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F17E9" w:rsidRPr="00AE6379">
              <w:rPr>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928" w:type="dxa"/>
            <w:tcBorders>
              <w:bottom w:val="single" w:sz="6" w:space="0" w:color="auto"/>
            </w:tcBorders>
          </w:tcPr>
          <w:p w:rsidR="00DF17E9" w:rsidRPr="00AE6379" w:rsidRDefault="002E0661" w:rsidP="00044843">
            <w:pPr>
              <w:rPr>
                <w:color w:val="000000"/>
                <w:sz w:val="18"/>
              </w:rPr>
            </w:pPr>
            <w:r>
              <w:rPr>
                <w:color w:val="000000"/>
                <w:sz w:val="18"/>
              </w:rPr>
              <w:t>..</w:t>
            </w:r>
            <w:r w:rsidR="00DF17E9" w:rsidRPr="00AE6379">
              <w:rPr>
                <w:color w:val="000000"/>
                <w:sz w:val="18"/>
              </w:rPr>
              <w:t xml:space="preserve"> </w:t>
            </w:r>
          </w:p>
        </w:tc>
        <w:tc>
          <w:tcPr>
            <w:tcW w:w="2387" w:type="dxa"/>
            <w:tcBorders>
              <w:bottom w:val="single" w:sz="6" w:space="0" w:color="auto"/>
            </w:tcBorders>
          </w:tcPr>
          <w:p w:rsidR="00DF17E9" w:rsidRPr="00AE6379" w:rsidRDefault="002E0661" w:rsidP="00044843">
            <w:pP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F17E9" w:rsidRPr="00AE6379">
              <w:rPr>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378" w:type="dxa"/>
            <w:tcBorders>
              <w:bottom w:val="single" w:sz="6" w:space="0" w:color="auto"/>
            </w:tcBorders>
          </w:tcPr>
          <w:p w:rsidR="00DF17E9" w:rsidRPr="00AE6379" w:rsidRDefault="002E0661" w:rsidP="00044843">
            <w:pPr>
              <w:rPr>
                <w:color w:val="000000"/>
                <w:sz w:val="18"/>
              </w:rPr>
            </w:pPr>
            <w:r>
              <w:rPr>
                <w:color w:val="000000"/>
                <w:sz w:val="18"/>
              </w:rPr>
              <w:t>..</w:t>
            </w:r>
            <w:r w:rsidR="00DF17E9" w:rsidRPr="00AE6379">
              <w:rPr>
                <w:color w:val="000000"/>
                <w:sz w:val="18"/>
              </w:rPr>
              <w:t xml:space="preserve"> </w:t>
            </w:r>
          </w:p>
        </w:tc>
        <w:tc>
          <w:tcPr>
            <w:tcW w:w="1287" w:type="dxa"/>
            <w:tcBorders>
              <w:bottom w:val="single" w:sz="6" w:space="0" w:color="auto"/>
            </w:tcBorders>
          </w:tcPr>
          <w:p w:rsidR="00DF17E9" w:rsidRPr="00AE6379" w:rsidRDefault="002E0661" w:rsidP="00044843">
            <w:pP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F17E9" w:rsidRPr="00AE6379">
              <w:rPr>
                <w:color w:val="000000"/>
                <w:sz w:val="18"/>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12" w:space="0" w:color="auto"/>
            </w:tcBorders>
          </w:tcPr>
          <w:p w:rsidR="00DF17E9" w:rsidRPr="00AE6379" w:rsidRDefault="00DF17E9" w:rsidP="00044843">
            <w:pPr>
              <w:ind w:left="113" w:hanging="113"/>
              <w:rPr>
                <w:b/>
                <w:color w:val="000000"/>
                <w:sz w:val="18"/>
              </w:rPr>
            </w:pPr>
            <w:r w:rsidRPr="00AE6379">
              <w:rPr>
                <w:b/>
                <w:color w:val="000000"/>
                <w:sz w:val="18"/>
              </w:rPr>
              <w:t>Total equity as at 30 June 2016</w:t>
            </w:r>
          </w:p>
        </w:tc>
        <w:tc>
          <w:tcPr>
            <w:cnfStyle w:val="000010000000" w:firstRow="0" w:lastRow="0" w:firstColumn="0" w:lastColumn="0" w:oddVBand="1" w:evenVBand="0" w:oddHBand="0" w:evenHBand="0" w:firstRowFirstColumn="0" w:firstRowLastColumn="0" w:lastRowFirstColumn="0" w:lastRowLastColumn="0"/>
            <w:tcW w:w="1512" w:type="dxa"/>
            <w:tcBorders>
              <w:top w:val="single" w:sz="6" w:space="0" w:color="auto"/>
              <w:bottom w:val="single" w:sz="12" w:space="0" w:color="auto"/>
            </w:tcBorders>
          </w:tcPr>
          <w:p w:rsidR="00DF17E9" w:rsidRPr="00AE6379" w:rsidRDefault="00DF17E9" w:rsidP="00044843">
            <w:pPr>
              <w:rPr>
                <w:b/>
                <w:color w:val="000000"/>
                <w:sz w:val="18"/>
              </w:rPr>
            </w:pPr>
            <w:r w:rsidRPr="00AE6379">
              <w:rPr>
                <w:b/>
                <w:color w:val="000000"/>
                <w:sz w:val="18"/>
              </w:rPr>
              <w:t>61 161</w:t>
            </w:r>
          </w:p>
        </w:tc>
        <w:tc>
          <w:tcPr>
            <w:tcW w:w="1548"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50</w:t>
            </w:r>
          </w:p>
        </w:tc>
        <w:tc>
          <w:tcPr>
            <w:cnfStyle w:val="000010000000" w:firstRow="0" w:lastRow="0" w:firstColumn="0" w:lastColumn="0" w:oddVBand="1" w:evenVBand="0" w:oddHBand="0" w:evenHBand="0" w:firstRowFirstColumn="0" w:firstRowLastColumn="0" w:lastRowFirstColumn="0" w:lastRowLastColumn="0"/>
            <w:tcW w:w="1928" w:type="dxa"/>
            <w:tcBorders>
              <w:top w:val="single" w:sz="6" w:space="0" w:color="auto"/>
              <w:bottom w:val="single" w:sz="12" w:space="0" w:color="auto"/>
            </w:tcBorders>
          </w:tcPr>
          <w:p w:rsidR="00DF17E9" w:rsidRPr="00AE6379" w:rsidRDefault="00DF17E9" w:rsidP="00044843">
            <w:pPr>
              <w:rPr>
                <w:b/>
                <w:color w:val="000000"/>
                <w:sz w:val="18"/>
              </w:rPr>
            </w:pPr>
            <w:r w:rsidRPr="00AE6379">
              <w:rPr>
                <w:b/>
                <w:color w:val="000000"/>
                <w:sz w:val="18"/>
              </w:rPr>
              <w:t>94 963</w:t>
            </w:r>
          </w:p>
        </w:tc>
        <w:tc>
          <w:tcPr>
            <w:tcW w:w="238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8"/>
              </w:rPr>
            </w:pPr>
            <w:r w:rsidRPr="00AE6379">
              <w:rPr>
                <w:b/>
                <w:color w:val="000000"/>
                <w:sz w:val="18"/>
              </w:rPr>
              <w:t>2 819</w:t>
            </w:r>
          </w:p>
        </w:tc>
        <w:tc>
          <w:tcPr>
            <w:cnfStyle w:val="000010000000" w:firstRow="0" w:lastRow="0" w:firstColumn="0" w:lastColumn="0" w:oddVBand="1" w:evenVBand="0" w:oddHBand="0" w:evenHBand="0" w:firstRowFirstColumn="0" w:firstRowLastColumn="0" w:lastRowFirstColumn="0" w:lastRowLastColumn="0"/>
            <w:tcW w:w="1378" w:type="dxa"/>
            <w:tcBorders>
              <w:top w:val="single" w:sz="6" w:space="0" w:color="auto"/>
              <w:bottom w:val="single" w:sz="12" w:space="0" w:color="auto"/>
            </w:tcBorders>
          </w:tcPr>
          <w:p w:rsidR="00DF17E9" w:rsidRPr="00AE6379" w:rsidRDefault="00DF17E9" w:rsidP="00044843">
            <w:pPr>
              <w:rPr>
                <w:b/>
                <w:color w:val="000000"/>
                <w:sz w:val="18"/>
              </w:rPr>
            </w:pPr>
            <w:r w:rsidRPr="00AE6379">
              <w:rPr>
                <w:b/>
                <w:color w:val="000000"/>
                <w:sz w:val="18"/>
              </w:rPr>
              <w:t>1 002</w:t>
            </w:r>
          </w:p>
        </w:tc>
        <w:tc>
          <w:tcPr>
            <w:tcW w:w="128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8"/>
              </w:rPr>
            </w:pPr>
            <w:r w:rsidRPr="00AE6379">
              <w:rPr>
                <w:b/>
                <w:color w:val="000000"/>
                <w:sz w:val="18"/>
              </w:rPr>
              <w:t>159 996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top w:val="single" w:sz="12" w:space="0" w:color="auto"/>
            </w:tcBorders>
          </w:tcPr>
          <w:p w:rsidR="00DF17E9" w:rsidRPr="00AE6379" w:rsidRDefault="00DF17E9" w:rsidP="00044843">
            <w:pPr>
              <w:ind w:left="113" w:hanging="113"/>
              <w:rPr>
                <w:color w:val="000000"/>
                <w:sz w:val="18"/>
              </w:rPr>
            </w:pPr>
            <w:r w:rsidRPr="00AE6379">
              <w:rPr>
                <w:b/>
                <w:color w:val="000000"/>
                <w:sz w:val="18"/>
              </w:rPr>
              <w:t>2015</w:t>
            </w:r>
          </w:p>
        </w:tc>
        <w:tc>
          <w:tcPr>
            <w:cnfStyle w:val="000010000000" w:firstRow="0" w:lastRow="0" w:firstColumn="0" w:lastColumn="0" w:oddVBand="1" w:evenVBand="0" w:oddHBand="0" w:evenHBand="0" w:firstRowFirstColumn="0" w:firstRowLastColumn="0" w:lastRowFirstColumn="0" w:lastRowLastColumn="0"/>
            <w:tcW w:w="1512" w:type="dxa"/>
            <w:tcBorders>
              <w:top w:val="single" w:sz="12" w:space="0" w:color="auto"/>
            </w:tcBorders>
          </w:tcPr>
          <w:p w:rsidR="00DF17E9" w:rsidRPr="00AE6379" w:rsidRDefault="00DF17E9" w:rsidP="00044843">
            <w:pPr>
              <w:rPr>
                <w:color w:val="000000"/>
                <w:sz w:val="18"/>
              </w:rPr>
            </w:pPr>
            <w:r w:rsidRPr="00AE6379">
              <w:rPr>
                <w:b/>
                <w:color w:val="000000"/>
                <w:sz w:val="18"/>
              </w:rPr>
              <w:t xml:space="preserve"> </w:t>
            </w:r>
          </w:p>
        </w:tc>
        <w:tc>
          <w:tcPr>
            <w:tcW w:w="1548" w:type="dxa"/>
            <w:tcBorders>
              <w:top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928" w:type="dxa"/>
            <w:tcBorders>
              <w:top w:val="single" w:sz="12" w:space="0" w:color="auto"/>
            </w:tcBorders>
          </w:tcPr>
          <w:p w:rsidR="00DF17E9" w:rsidRPr="00AE6379" w:rsidRDefault="00DF17E9" w:rsidP="00044843">
            <w:pPr>
              <w:jc w:val="left"/>
              <w:rPr>
                <w:color w:val="000000"/>
                <w:sz w:val="18"/>
              </w:rPr>
            </w:pPr>
            <w:r w:rsidRPr="00AE6379">
              <w:rPr>
                <w:b/>
                <w:color w:val="000000"/>
                <w:sz w:val="18"/>
              </w:rPr>
              <w:t xml:space="preserve"> </w:t>
            </w:r>
          </w:p>
        </w:tc>
        <w:tc>
          <w:tcPr>
            <w:tcW w:w="2387" w:type="dxa"/>
            <w:tcBorders>
              <w:top w:val="single" w:sz="12" w:space="0" w:color="auto"/>
            </w:tcBorders>
          </w:tcPr>
          <w:p w:rsidR="00DF17E9" w:rsidRPr="00AE6379" w:rsidRDefault="00DF17E9" w:rsidP="00044843">
            <w:pPr>
              <w:jc w:val="left"/>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378" w:type="dxa"/>
            <w:tcBorders>
              <w:top w:val="single" w:sz="12" w:space="0" w:color="auto"/>
            </w:tcBorders>
          </w:tcPr>
          <w:p w:rsidR="00DF17E9" w:rsidRPr="00AE6379" w:rsidRDefault="00DF17E9" w:rsidP="00044843">
            <w:pPr>
              <w:rPr>
                <w:color w:val="000000"/>
                <w:sz w:val="18"/>
              </w:rPr>
            </w:pPr>
            <w:r w:rsidRPr="00AE6379">
              <w:rPr>
                <w:b/>
                <w:color w:val="000000"/>
                <w:sz w:val="18"/>
              </w:rPr>
              <w:t xml:space="preserve"> </w:t>
            </w:r>
          </w:p>
        </w:tc>
        <w:tc>
          <w:tcPr>
            <w:tcW w:w="1287" w:type="dxa"/>
            <w:tcBorders>
              <w:top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color w:val="000000"/>
                <w:sz w:val="18"/>
              </w:rPr>
              <w:t xml:space="preserve">Balance at 1 July 2014 </w:t>
            </w:r>
            <w:r w:rsidRPr="00AE6379">
              <w:rPr>
                <w:color w:val="000000"/>
                <w:sz w:val="18"/>
                <w:vertAlign w:val="superscript"/>
              </w:rPr>
              <w:t>(b)</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color w:val="000000"/>
                <w:sz w:val="18"/>
              </w:rPr>
              <w:t>47 166</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50</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000000"/>
                <w:sz w:val="18"/>
              </w:rPr>
            </w:pPr>
            <w:r w:rsidRPr="00AE6379">
              <w:rPr>
                <w:color w:val="000000"/>
                <w:sz w:val="18"/>
              </w:rPr>
              <w:t>85 435</w:t>
            </w:r>
          </w:p>
        </w:tc>
        <w:tc>
          <w:tcPr>
            <w:tcW w:w="23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2 604</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color w:val="000000"/>
                <w:sz w:val="18"/>
              </w:rPr>
              <w:t>980</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136 235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color w:val="000000"/>
                <w:sz w:val="18"/>
              </w:rPr>
              <w:t>Net result for the year</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color w:val="000000"/>
                <w:sz w:val="18"/>
              </w:rPr>
              <w:t>128</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000000"/>
                <w:sz w:val="18"/>
              </w:rPr>
            </w:pPr>
            <w:r w:rsidRPr="00AE6379">
              <w:rPr>
                <w:color w:val="000000"/>
                <w:sz w:val="18"/>
              </w:rPr>
              <w:t>..</w:t>
            </w:r>
          </w:p>
        </w:tc>
        <w:tc>
          <w:tcPr>
            <w:tcW w:w="23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color w:val="000000"/>
                <w:sz w:val="18"/>
              </w:rPr>
              <w:t>..</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128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Pr>
          <w:p w:rsidR="00DF17E9" w:rsidRPr="00AE6379" w:rsidRDefault="00DF17E9" w:rsidP="00044843">
            <w:pPr>
              <w:ind w:left="113" w:hanging="113"/>
              <w:rPr>
                <w:color w:val="000000"/>
                <w:sz w:val="18"/>
              </w:rPr>
            </w:pPr>
            <w:r w:rsidRPr="00AE6379">
              <w:rPr>
                <w:color w:val="000000"/>
                <w:sz w:val="18"/>
              </w:rPr>
              <w:t xml:space="preserve">Other comprehensive income for the year </w:t>
            </w:r>
            <w:r w:rsidRPr="00AE6379">
              <w:rPr>
                <w:color w:val="000000"/>
                <w:sz w:val="18"/>
                <w:vertAlign w:val="superscript"/>
              </w:rPr>
              <w:t>(b)(c)</w:t>
            </w:r>
          </w:p>
        </w:tc>
        <w:tc>
          <w:tcPr>
            <w:cnfStyle w:val="000010000000" w:firstRow="0" w:lastRow="0" w:firstColumn="0" w:lastColumn="0" w:oddVBand="1" w:evenVBand="0" w:oddHBand="0" w:evenHBand="0" w:firstRowFirstColumn="0" w:firstRowLastColumn="0" w:lastRowFirstColumn="0" w:lastRowLastColumn="0"/>
            <w:tcW w:w="1512" w:type="dxa"/>
          </w:tcPr>
          <w:p w:rsidR="00DF17E9" w:rsidRPr="00AE6379" w:rsidRDefault="00DF17E9" w:rsidP="00044843">
            <w:pPr>
              <w:rPr>
                <w:color w:val="000000"/>
                <w:sz w:val="18"/>
              </w:rPr>
            </w:pPr>
            <w:r w:rsidRPr="00AE6379">
              <w:rPr>
                <w:color w:val="000000"/>
                <w:sz w:val="18"/>
              </w:rPr>
              <w:t>189</w:t>
            </w:r>
          </w:p>
        </w:tc>
        <w:tc>
          <w:tcPr>
            <w:tcW w:w="1548"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928" w:type="dxa"/>
          </w:tcPr>
          <w:p w:rsidR="00DF17E9" w:rsidRPr="00AE6379" w:rsidRDefault="00DF17E9" w:rsidP="00044843">
            <w:pPr>
              <w:rPr>
                <w:color w:val="000000"/>
                <w:sz w:val="18"/>
              </w:rPr>
            </w:pPr>
            <w:r w:rsidRPr="00AE6379">
              <w:rPr>
                <w:color w:val="000000"/>
                <w:sz w:val="18"/>
              </w:rPr>
              <w:t>7 404</w:t>
            </w:r>
          </w:p>
        </w:tc>
        <w:tc>
          <w:tcPr>
            <w:tcW w:w="23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636</w:t>
            </w:r>
          </w:p>
        </w:tc>
        <w:tc>
          <w:tcPr>
            <w:cnfStyle w:val="000010000000" w:firstRow="0" w:lastRow="0" w:firstColumn="0" w:lastColumn="0" w:oddVBand="1" w:evenVBand="0" w:oddHBand="0" w:evenHBand="0" w:firstRowFirstColumn="0" w:firstRowLastColumn="0" w:lastRowFirstColumn="0" w:lastRowLastColumn="0"/>
            <w:tcW w:w="1378" w:type="dxa"/>
          </w:tcPr>
          <w:p w:rsidR="00DF17E9" w:rsidRPr="00AE6379" w:rsidRDefault="00DF17E9" w:rsidP="00044843">
            <w:pPr>
              <w:rPr>
                <w:color w:val="000000"/>
                <w:sz w:val="18"/>
              </w:rPr>
            </w:pPr>
            <w:r w:rsidRPr="00AE6379">
              <w:rPr>
                <w:color w:val="000000"/>
                <w:sz w:val="18"/>
              </w:rPr>
              <w:t>186</w:t>
            </w:r>
          </w:p>
        </w:tc>
        <w:tc>
          <w:tcPr>
            <w:tcW w:w="128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8 415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bottom w:val="nil"/>
            </w:tcBorders>
          </w:tcPr>
          <w:p w:rsidR="00DF17E9" w:rsidRPr="00AE6379" w:rsidRDefault="00DF17E9" w:rsidP="00044843">
            <w:pPr>
              <w:ind w:left="113" w:hanging="113"/>
              <w:rPr>
                <w:color w:val="000000"/>
                <w:sz w:val="18"/>
              </w:rPr>
            </w:pPr>
            <w:r w:rsidRPr="00AE6379">
              <w:rPr>
                <w:color w:val="000000"/>
                <w:sz w:val="18"/>
              </w:rPr>
              <w:t xml:space="preserve">Transfer to/(from) accumulated surplus </w:t>
            </w:r>
            <w:r w:rsidRPr="00AE6379">
              <w:rPr>
                <w:color w:val="000000"/>
                <w:sz w:val="18"/>
                <w:vertAlign w:val="superscript"/>
              </w:rPr>
              <w:t>(c)</w:t>
            </w:r>
          </w:p>
        </w:tc>
        <w:tc>
          <w:tcPr>
            <w:cnfStyle w:val="000010000000" w:firstRow="0" w:lastRow="0" w:firstColumn="0" w:lastColumn="0" w:oddVBand="1" w:evenVBand="0" w:oddHBand="0" w:evenHBand="0" w:firstRowFirstColumn="0" w:firstRowLastColumn="0" w:lastRowFirstColumn="0" w:lastRowLastColumn="0"/>
            <w:tcW w:w="1512" w:type="dxa"/>
            <w:tcBorders>
              <w:bottom w:val="nil"/>
            </w:tcBorders>
          </w:tcPr>
          <w:p w:rsidR="00DF17E9" w:rsidRPr="00AE6379" w:rsidRDefault="00DF17E9" w:rsidP="00044843">
            <w:pPr>
              <w:rPr>
                <w:color w:val="000000"/>
                <w:sz w:val="18"/>
              </w:rPr>
            </w:pPr>
            <w:r w:rsidRPr="00AE6379">
              <w:rPr>
                <w:color w:val="000000"/>
                <w:sz w:val="18"/>
              </w:rPr>
              <w:t>15 412</w:t>
            </w:r>
          </w:p>
        </w:tc>
        <w:tc>
          <w:tcPr>
            <w:tcW w:w="1548"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928" w:type="dxa"/>
            <w:tcBorders>
              <w:bottom w:val="nil"/>
            </w:tcBorders>
          </w:tcPr>
          <w:p w:rsidR="00DF17E9" w:rsidRPr="00AE6379" w:rsidRDefault="00DF17E9" w:rsidP="00044843">
            <w:pPr>
              <w:rPr>
                <w:color w:val="000000"/>
                <w:sz w:val="18"/>
              </w:rPr>
            </w:pPr>
            <w:r w:rsidRPr="00AE6379">
              <w:rPr>
                <w:color w:val="000000"/>
                <w:sz w:val="18"/>
              </w:rPr>
              <w:t>(15 412)</w:t>
            </w:r>
          </w:p>
        </w:tc>
        <w:tc>
          <w:tcPr>
            <w:tcW w:w="238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c>
          <w:tcPr>
            <w:cnfStyle w:val="000010000000" w:firstRow="0" w:lastRow="0" w:firstColumn="0" w:lastColumn="0" w:oddVBand="1" w:evenVBand="0" w:oddHBand="0" w:evenHBand="0" w:firstRowFirstColumn="0" w:firstRowLastColumn="0" w:lastRowFirstColumn="0" w:lastRowLastColumn="0"/>
            <w:tcW w:w="1378" w:type="dxa"/>
            <w:tcBorders>
              <w:bottom w:val="nil"/>
            </w:tcBorders>
          </w:tcPr>
          <w:p w:rsidR="00DF17E9" w:rsidRPr="00AE6379" w:rsidRDefault="00DF17E9" w:rsidP="00044843">
            <w:pPr>
              <w:rPr>
                <w:color w:val="000000"/>
                <w:sz w:val="18"/>
              </w:rPr>
            </w:pPr>
            <w:r w:rsidRPr="00AE6379">
              <w:rPr>
                <w:color w:val="000000"/>
                <w:sz w:val="18"/>
              </w:rPr>
              <w:t>..</w:t>
            </w:r>
          </w:p>
        </w:tc>
        <w:tc>
          <w:tcPr>
            <w:tcW w:w="128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color w:val="000000"/>
                <w:sz w:val="18"/>
              </w:rPr>
              <w:t>..</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rsidR="00DF17E9" w:rsidRPr="00AE6379" w:rsidRDefault="00DF17E9" w:rsidP="00044843">
            <w:pPr>
              <w:ind w:left="113" w:hanging="113"/>
              <w:rPr>
                <w:color w:val="000000"/>
                <w:sz w:val="18"/>
              </w:rPr>
            </w:pPr>
            <w:r w:rsidRPr="00AE6379">
              <w:rPr>
                <w:color w:val="000000"/>
                <w:sz w:val="18"/>
              </w:rP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512" w:type="dxa"/>
            <w:tcBorders>
              <w:bottom w:val="single" w:sz="6" w:space="0" w:color="auto"/>
            </w:tcBorders>
          </w:tcPr>
          <w:p w:rsidR="00DF17E9" w:rsidRPr="00AE6379" w:rsidRDefault="002E0661" w:rsidP="00044843">
            <w:pPr>
              <w:rPr>
                <w:color w:val="000000"/>
                <w:sz w:val="18"/>
              </w:rPr>
            </w:pPr>
            <w:r>
              <w:rPr>
                <w:color w:val="000000"/>
                <w:sz w:val="18"/>
              </w:rPr>
              <w:t>..</w:t>
            </w:r>
            <w:r w:rsidR="00DF17E9" w:rsidRPr="00AE6379">
              <w:rPr>
                <w:color w:val="000000"/>
                <w:sz w:val="18"/>
              </w:rPr>
              <w:t xml:space="preserve"> </w:t>
            </w:r>
          </w:p>
        </w:tc>
        <w:tc>
          <w:tcPr>
            <w:tcW w:w="1548" w:type="dxa"/>
            <w:tcBorders>
              <w:bottom w:val="single" w:sz="6" w:space="0" w:color="auto"/>
            </w:tcBorders>
          </w:tcPr>
          <w:p w:rsidR="00DF17E9" w:rsidRPr="00AE6379" w:rsidRDefault="002E0661" w:rsidP="00044843">
            <w:pP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F17E9" w:rsidRPr="00AE6379">
              <w:rPr>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928" w:type="dxa"/>
            <w:tcBorders>
              <w:bottom w:val="single" w:sz="6" w:space="0" w:color="auto"/>
            </w:tcBorders>
          </w:tcPr>
          <w:p w:rsidR="00DF17E9" w:rsidRPr="00AE6379" w:rsidRDefault="002E0661" w:rsidP="00044843">
            <w:pPr>
              <w:rPr>
                <w:color w:val="000000"/>
                <w:sz w:val="18"/>
              </w:rPr>
            </w:pPr>
            <w:r>
              <w:rPr>
                <w:color w:val="000000"/>
                <w:sz w:val="18"/>
              </w:rPr>
              <w:t>..</w:t>
            </w:r>
            <w:r w:rsidR="00DF17E9" w:rsidRPr="00AE6379">
              <w:rPr>
                <w:color w:val="000000"/>
                <w:sz w:val="18"/>
              </w:rPr>
              <w:t xml:space="preserve"> </w:t>
            </w:r>
          </w:p>
        </w:tc>
        <w:tc>
          <w:tcPr>
            <w:tcW w:w="2387" w:type="dxa"/>
            <w:tcBorders>
              <w:bottom w:val="single" w:sz="6" w:space="0" w:color="auto"/>
            </w:tcBorders>
          </w:tcPr>
          <w:p w:rsidR="00DF17E9" w:rsidRPr="00AE6379" w:rsidRDefault="002E0661" w:rsidP="00044843">
            <w:pP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F17E9" w:rsidRPr="00AE6379">
              <w:rPr>
                <w:color w:val="000000"/>
                <w:sz w:val="18"/>
              </w:rPr>
              <w:t xml:space="preserve"> </w:t>
            </w:r>
          </w:p>
        </w:tc>
        <w:tc>
          <w:tcPr>
            <w:cnfStyle w:val="000010000000" w:firstRow="0" w:lastRow="0" w:firstColumn="0" w:lastColumn="0" w:oddVBand="1" w:evenVBand="0" w:oddHBand="0" w:evenHBand="0" w:firstRowFirstColumn="0" w:firstRowLastColumn="0" w:lastRowFirstColumn="0" w:lastRowLastColumn="0"/>
            <w:tcW w:w="1378" w:type="dxa"/>
            <w:tcBorders>
              <w:bottom w:val="single" w:sz="6" w:space="0" w:color="auto"/>
            </w:tcBorders>
          </w:tcPr>
          <w:p w:rsidR="00DF17E9" w:rsidRPr="00AE6379" w:rsidRDefault="002E0661" w:rsidP="00044843">
            <w:pPr>
              <w:rPr>
                <w:color w:val="000000"/>
                <w:sz w:val="18"/>
              </w:rPr>
            </w:pPr>
            <w:r>
              <w:rPr>
                <w:color w:val="000000"/>
                <w:sz w:val="18"/>
              </w:rPr>
              <w:t>..</w:t>
            </w:r>
            <w:r w:rsidR="00DF17E9" w:rsidRPr="00AE6379">
              <w:rPr>
                <w:color w:val="000000"/>
                <w:sz w:val="18"/>
              </w:rPr>
              <w:t xml:space="preserve"> </w:t>
            </w:r>
          </w:p>
        </w:tc>
        <w:tc>
          <w:tcPr>
            <w:tcW w:w="1287" w:type="dxa"/>
            <w:tcBorders>
              <w:bottom w:val="single" w:sz="6" w:space="0" w:color="auto"/>
            </w:tcBorders>
          </w:tcPr>
          <w:p w:rsidR="00DF17E9" w:rsidRPr="00AE6379" w:rsidRDefault="002E0661" w:rsidP="00044843">
            <w:pPr>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w:t>
            </w:r>
            <w:r w:rsidR="00DF17E9" w:rsidRPr="00AE6379">
              <w:rPr>
                <w:color w:val="000000"/>
                <w:sz w:val="18"/>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12" w:space="0" w:color="auto"/>
            </w:tcBorders>
          </w:tcPr>
          <w:p w:rsidR="00DF17E9" w:rsidRPr="00AE6379" w:rsidRDefault="00DF17E9" w:rsidP="00044843">
            <w:pPr>
              <w:ind w:left="113" w:hanging="113"/>
              <w:rPr>
                <w:color w:val="000000"/>
                <w:sz w:val="18"/>
              </w:rPr>
            </w:pPr>
            <w:r w:rsidRPr="00AE6379">
              <w:rPr>
                <w:b/>
                <w:color w:val="000000"/>
                <w:sz w:val="18"/>
              </w:rPr>
              <w:t xml:space="preserve">Total equity as at 30 June 2015 </w:t>
            </w:r>
            <w:r w:rsidRPr="00AE6379">
              <w:rPr>
                <w:b/>
                <w:color w:val="000000"/>
                <w:sz w:val="18"/>
                <w:vertAlign w:val="superscript"/>
              </w:rPr>
              <w:t>(b)(c)</w:t>
            </w:r>
          </w:p>
        </w:tc>
        <w:tc>
          <w:tcPr>
            <w:cnfStyle w:val="000010000000" w:firstRow="0" w:lastRow="0" w:firstColumn="0" w:lastColumn="0" w:oddVBand="1" w:evenVBand="0" w:oddHBand="0" w:evenHBand="0" w:firstRowFirstColumn="0" w:firstRowLastColumn="0" w:lastRowFirstColumn="0" w:lastRowLastColumn="0"/>
            <w:tcW w:w="1512" w:type="dxa"/>
            <w:tcBorders>
              <w:top w:val="single" w:sz="6" w:space="0" w:color="auto"/>
              <w:bottom w:val="single" w:sz="12" w:space="0" w:color="auto"/>
            </w:tcBorders>
          </w:tcPr>
          <w:p w:rsidR="00DF17E9" w:rsidRPr="00AE6379" w:rsidRDefault="00DF17E9" w:rsidP="00044843">
            <w:pPr>
              <w:rPr>
                <w:b/>
                <w:color w:val="000000"/>
                <w:sz w:val="18"/>
              </w:rPr>
            </w:pPr>
            <w:r w:rsidRPr="00AE6379">
              <w:rPr>
                <w:b/>
                <w:color w:val="000000"/>
                <w:sz w:val="18"/>
              </w:rPr>
              <w:t>62 895</w:t>
            </w:r>
          </w:p>
        </w:tc>
        <w:tc>
          <w:tcPr>
            <w:tcW w:w="1548"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sz w:val="18"/>
              </w:rPr>
            </w:pPr>
            <w:r w:rsidRPr="00AE6379">
              <w:rPr>
                <w:b/>
                <w:color w:val="000000"/>
                <w:sz w:val="18"/>
              </w:rPr>
              <w:t>50</w:t>
            </w:r>
          </w:p>
        </w:tc>
        <w:tc>
          <w:tcPr>
            <w:cnfStyle w:val="000010000000" w:firstRow="0" w:lastRow="0" w:firstColumn="0" w:lastColumn="0" w:oddVBand="1" w:evenVBand="0" w:oddHBand="0" w:evenHBand="0" w:firstRowFirstColumn="0" w:firstRowLastColumn="0" w:lastRowFirstColumn="0" w:lastRowLastColumn="0"/>
            <w:tcW w:w="1928" w:type="dxa"/>
            <w:tcBorders>
              <w:top w:val="single" w:sz="6" w:space="0" w:color="auto"/>
              <w:bottom w:val="single" w:sz="12" w:space="0" w:color="auto"/>
            </w:tcBorders>
          </w:tcPr>
          <w:p w:rsidR="00DF17E9" w:rsidRPr="00AE6379" w:rsidRDefault="00DF17E9" w:rsidP="00044843">
            <w:pPr>
              <w:rPr>
                <w:b/>
                <w:color w:val="000000"/>
                <w:sz w:val="18"/>
              </w:rPr>
            </w:pPr>
            <w:r w:rsidRPr="00AE6379">
              <w:rPr>
                <w:b/>
                <w:color w:val="000000"/>
                <w:sz w:val="18"/>
              </w:rPr>
              <w:t>77 427</w:t>
            </w:r>
          </w:p>
        </w:tc>
        <w:tc>
          <w:tcPr>
            <w:tcW w:w="238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8"/>
              </w:rPr>
            </w:pPr>
            <w:r w:rsidRPr="00AE6379">
              <w:rPr>
                <w:b/>
                <w:color w:val="000000"/>
                <w:sz w:val="18"/>
              </w:rPr>
              <w:t>3 240</w:t>
            </w:r>
          </w:p>
        </w:tc>
        <w:tc>
          <w:tcPr>
            <w:cnfStyle w:val="000010000000" w:firstRow="0" w:lastRow="0" w:firstColumn="0" w:lastColumn="0" w:oddVBand="1" w:evenVBand="0" w:oddHBand="0" w:evenHBand="0" w:firstRowFirstColumn="0" w:firstRowLastColumn="0" w:lastRowFirstColumn="0" w:lastRowLastColumn="0"/>
            <w:tcW w:w="1378" w:type="dxa"/>
            <w:tcBorders>
              <w:top w:val="single" w:sz="6" w:space="0" w:color="auto"/>
              <w:bottom w:val="single" w:sz="12" w:space="0" w:color="auto"/>
            </w:tcBorders>
          </w:tcPr>
          <w:p w:rsidR="00DF17E9" w:rsidRPr="00AE6379" w:rsidRDefault="00DF17E9" w:rsidP="00044843">
            <w:pPr>
              <w:rPr>
                <w:b/>
                <w:color w:val="000000"/>
                <w:sz w:val="18"/>
              </w:rPr>
            </w:pPr>
            <w:r w:rsidRPr="00AE6379">
              <w:rPr>
                <w:b/>
                <w:color w:val="000000"/>
                <w:sz w:val="18"/>
              </w:rPr>
              <w:t>1 166</w:t>
            </w:r>
          </w:p>
        </w:tc>
        <w:tc>
          <w:tcPr>
            <w:tcW w:w="128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b/>
                <w:color w:val="000000"/>
                <w:sz w:val="18"/>
              </w:rPr>
            </w:pPr>
            <w:r w:rsidRPr="00AE6379">
              <w:rPr>
                <w:b/>
                <w:color w:val="000000"/>
                <w:sz w:val="18"/>
              </w:rPr>
              <w:t>144 778</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t>Non-financial assets revaluation surplus relates to revaluation of land, buildings, infrastructure, plant and equipment.</w:t>
      </w:r>
    </w:p>
    <w:p w:rsidR="00DF17E9" w:rsidRPr="00F036BA" w:rsidRDefault="00DF17E9" w:rsidP="00044843">
      <w:pPr>
        <w:pStyle w:val="Note"/>
      </w:pPr>
      <w:r w:rsidRPr="00F036BA">
        <w:t>(b)</w:t>
      </w:r>
      <w:r w:rsidRPr="00F036BA">
        <w:tab/>
        <w:t>The June 2015 comparative figures and 1 July 2015 opening balances have been restated to reflect an adjustment to Coliban Water’s deferred tax liability balances in the PNFC sector attributable to a change in valuation policy in 2015-16.</w:t>
      </w:r>
    </w:p>
    <w:p w:rsidR="00DF17E9" w:rsidRDefault="00DF17E9" w:rsidP="00044843">
      <w:pPr>
        <w:pStyle w:val="Note"/>
      </w:pPr>
      <w:r w:rsidRPr="00F036BA">
        <w:t>(c)</w:t>
      </w:r>
      <w:r w:rsidRPr="00F036BA">
        <w:tab/>
        <w:t>The June 2015 comparative figures and 1 July 2015 opening balances have been restated to finalise the allocation of equity balances between contributed capital and accumulated funds related to prior year machinery of government changes.</w:t>
      </w:r>
    </w:p>
    <w:p w:rsidR="00DF17E9" w:rsidRPr="00AE6379" w:rsidRDefault="00DF17E9" w:rsidP="00A87C72">
      <w:pPr>
        <w:pStyle w:val="Subheading"/>
        <w:tabs>
          <w:tab w:val="clear" w:pos="9582"/>
          <w:tab w:val="right" w:pos="8789"/>
        </w:tabs>
        <w:rPr>
          <w:bCs/>
          <w:lang w:val="en-US"/>
        </w:rPr>
      </w:pPr>
      <w:r>
        <w:t>Table 5.5: Derivation of non-financial public sector GFS cash surplus/(deficit)</w:t>
      </w:r>
      <w:r>
        <w:tab/>
      </w:r>
      <w:r w:rsidRPr="00BC3470">
        <w:rPr>
          <w:rStyle w:val="TableUnitsChar"/>
        </w:rPr>
        <w:t>($ million)</w:t>
      </w:r>
    </w:p>
    <w:tbl>
      <w:tblPr>
        <w:tblStyle w:val="TableDTFGeneral"/>
        <w:tblW w:w="8818" w:type="dxa"/>
        <w:tblLayout w:type="fixed"/>
        <w:tblLook w:val="02A0" w:firstRow="1" w:lastRow="0" w:firstColumn="1" w:lastColumn="0" w:noHBand="1" w:noVBand="0"/>
      </w:tblPr>
      <w:tblGrid>
        <w:gridCol w:w="6833"/>
        <w:gridCol w:w="992"/>
        <w:gridCol w:w="993"/>
      </w:tblGrid>
      <w:tr w:rsidR="00DF17E9" w:rsidRPr="00AE6379" w:rsidTr="00A87C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33" w:type="dxa"/>
          </w:tcPr>
          <w:p w:rsidR="00DF17E9" w:rsidRPr="00AE6379" w:rsidRDefault="00DF17E9" w:rsidP="00044843">
            <w:pPr>
              <w:ind w:left="0" w:firstLine="0"/>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rsidR="00DF17E9" w:rsidRPr="00AE6379" w:rsidRDefault="00DF17E9" w:rsidP="00044843">
            <w:pPr>
              <w:rPr>
                <w:color w:val="FFFFFF"/>
              </w:rPr>
            </w:pPr>
            <w:r w:rsidRPr="00AE6379">
              <w:rPr>
                <w:color w:val="FFFFFF"/>
              </w:rPr>
              <w:t>2016</w:t>
            </w:r>
          </w:p>
        </w:tc>
        <w:tc>
          <w:tcPr>
            <w:tcW w:w="993"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AE6379">
              <w:rPr>
                <w:color w:val="FFFFFF"/>
              </w:rPr>
              <w:t>2015</w:t>
            </w:r>
          </w:p>
        </w:tc>
      </w:tr>
      <w:tr w:rsidR="00DF17E9" w:rsidRPr="00AE6379" w:rsidTr="00A87C72">
        <w:tc>
          <w:tcPr>
            <w:cnfStyle w:val="001000000000" w:firstRow="0" w:lastRow="0" w:firstColumn="1" w:lastColumn="0" w:oddVBand="0" w:evenVBand="0" w:oddHBand="0" w:evenHBand="0" w:firstRowFirstColumn="0" w:firstRowLastColumn="0" w:lastRowFirstColumn="0" w:lastRowLastColumn="0"/>
            <w:tcW w:w="6833" w:type="dxa"/>
            <w:tcBorders>
              <w:bottom w:val="nil"/>
            </w:tcBorders>
          </w:tcPr>
          <w:p w:rsidR="00DF17E9" w:rsidRPr="00AE6379" w:rsidRDefault="00DF17E9" w:rsidP="00044843">
            <w:pPr>
              <w:ind w:left="0" w:firstLine="0"/>
              <w:rPr>
                <w:b/>
                <w:color w:val="000000"/>
                <w:vertAlign w:val="superscript"/>
              </w:rPr>
            </w:pPr>
            <w:r w:rsidRPr="00AE6379">
              <w:rPr>
                <w:b/>
                <w:color w:val="000000"/>
              </w:rPr>
              <w:t xml:space="preserve">Cash surplus/(deficit) </w:t>
            </w:r>
            <w:r w:rsidRPr="00AE6379">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tcPr>
          <w:p w:rsidR="00DF17E9" w:rsidRPr="00AE6379" w:rsidRDefault="00DF17E9" w:rsidP="00044843">
            <w:r w:rsidRPr="00AE6379">
              <w:rPr>
                <w:b/>
                <w:color w:val="000000"/>
              </w:rPr>
              <w:t>702</w:t>
            </w:r>
          </w:p>
        </w:tc>
        <w:tc>
          <w:tcPr>
            <w:tcW w:w="993"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(773)</w:t>
            </w:r>
          </w:p>
        </w:tc>
      </w:tr>
      <w:tr w:rsidR="00DF17E9" w:rsidRPr="00AE6379" w:rsidTr="00A87C72">
        <w:tc>
          <w:tcPr>
            <w:cnfStyle w:val="001000000000" w:firstRow="0" w:lastRow="0" w:firstColumn="1" w:lastColumn="0" w:oddVBand="0" w:evenVBand="0" w:oddHBand="0" w:evenHBand="0" w:firstRowFirstColumn="0" w:firstRowLastColumn="0" w:lastRowFirstColumn="0" w:lastRowLastColumn="0"/>
            <w:tcW w:w="6833" w:type="dxa"/>
            <w:tcBorders>
              <w:bottom w:val="single" w:sz="6" w:space="0" w:color="auto"/>
            </w:tcBorders>
          </w:tcPr>
          <w:p w:rsidR="00DF17E9" w:rsidRPr="00AE6379" w:rsidRDefault="00DF17E9" w:rsidP="00044843">
            <w:pPr>
              <w:ind w:left="0" w:firstLine="0"/>
              <w:rPr>
                <w:color w:val="000000"/>
              </w:rPr>
            </w:pPr>
            <w:r w:rsidRPr="00AE6379">
              <w:rPr>
                <w:color w:val="000000"/>
              </w:rPr>
              <w:t>Less: Acquisitions under finance leases and similar arrangements</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tcPr>
          <w:p w:rsidR="00DF17E9" w:rsidRPr="00AE6379" w:rsidRDefault="00DF17E9" w:rsidP="00044843">
            <w:r w:rsidRPr="00AE6379">
              <w:rPr>
                <w:color w:val="000000"/>
              </w:rPr>
              <w:t>(1 050)</w:t>
            </w:r>
          </w:p>
        </w:tc>
        <w:tc>
          <w:tcPr>
            <w:tcW w:w="993"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(99)</w:t>
            </w:r>
          </w:p>
        </w:tc>
      </w:tr>
      <w:tr w:rsidR="00DF17E9" w:rsidRPr="00AE6379" w:rsidTr="00A87C72">
        <w:tc>
          <w:tcPr>
            <w:cnfStyle w:val="001000000000" w:firstRow="0" w:lastRow="0" w:firstColumn="1" w:lastColumn="0" w:oddVBand="0" w:evenVBand="0" w:oddHBand="0" w:evenHBand="0" w:firstRowFirstColumn="0" w:firstRowLastColumn="0" w:lastRowFirstColumn="0" w:lastRowLastColumn="0"/>
            <w:tcW w:w="6833" w:type="dxa"/>
            <w:tcBorders>
              <w:top w:val="single" w:sz="6" w:space="0" w:color="auto"/>
              <w:bottom w:val="single" w:sz="12" w:space="0" w:color="auto"/>
            </w:tcBorders>
          </w:tcPr>
          <w:p w:rsidR="00DF17E9" w:rsidRPr="00AE6379" w:rsidRDefault="00DF17E9" w:rsidP="00044843">
            <w:pPr>
              <w:ind w:left="0" w:firstLine="0"/>
              <w:rPr>
                <w:b/>
                <w:color w:val="000000"/>
                <w:vertAlign w:val="superscript"/>
              </w:rPr>
            </w:pPr>
            <w:r w:rsidRPr="00AE6379">
              <w:rPr>
                <w:b/>
                <w:color w:val="000000"/>
              </w:rPr>
              <w:t xml:space="preserve">GFS cash surplus/(deficit) </w:t>
            </w:r>
            <w:r w:rsidRPr="00AE6379">
              <w:rPr>
                <w:b/>
                <w:color w:val="000000"/>
                <w:vertAlign w:val="superscript"/>
              </w:rPr>
              <w:t>(a)(b)(c)</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tcPr>
          <w:p w:rsidR="00DF17E9" w:rsidRPr="00AE6379" w:rsidRDefault="00DF17E9" w:rsidP="00044843">
            <w:r w:rsidRPr="00AE6379">
              <w:rPr>
                <w:b/>
                <w:color w:val="000000"/>
              </w:rPr>
              <w:t>(348)</w:t>
            </w:r>
          </w:p>
        </w:tc>
        <w:tc>
          <w:tcPr>
            <w:tcW w:w="993"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(872)</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r>
      <w:r w:rsidRPr="004B1967">
        <w:t>June 2015 comparative figures have been restated to reflect an adjustment to Coliban Water’s deferred tax liability balances in the PNFC sector attributable to a change in valuation policy in 2015-16</w:t>
      </w:r>
      <w:r>
        <w:t>.</w:t>
      </w:r>
    </w:p>
    <w:p w:rsidR="00DF17E9" w:rsidRDefault="00DF17E9" w:rsidP="00044843">
      <w:pPr>
        <w:pStyle w:val="Note"/>
      </w:pPr>
      <w:r>
        <w:t>(b)</w:t>
      </w:r>
      <w:r>
        <w:tab/>
        <w:t>June 2015 comparative figures have been restated to finalise the allocation of equity balances between contributed capital and accumulated funds related to prior year machinery of government changes.</w:t>
      </w:r>
    </w:p>
    <w:p w:rsidR="00DF17E9" w:rsidRDefault="00DF17E9" w:rsidP="00044843">
      <w:pPr>
        <w:pStyle w:val="Note"/>
      </w:pPr>
      <w:r>
        <w:t>(c)</w:t>
      </w:r>
      <w:r>
        <w:tab/>
        <w:t>Determined in accordance with the ABS GFS manual.</w:t>
      </w:r>
    </w:p>
    <w:p w:rsidR="00DF17E9" w:rsidRDefault="00DF17E9" w:rsidP="00044843"/>
    <w:p w:rsidR="00DF17E9" w:rsidRDefault="00DF17E9" w:rsidP="00044843">
      <w:pPr>
        <w:sectPr w:rsidR="00DF17E9" w:rsidSect="00044843">
          <w:headerReference w:type="default" r:id="rId295"/>
          <w:footerReference w:type="default" r:id="rId296"/>
          <w:pgSz w:w="16838" w:h="11906" w:orient="landscape" w:code="9"/>
          <w:pgMar w:top="1134" w:right="1134" w:bottom="1134" w:left="1134" w:header="624" w:footer="567" w:gutter="0"/>
          <w:cols w:space="708"/>
          <w:docGrid w:linePitch="360"/>
        </w:sectPr>
      </w:pPr>
    </w:p>
    <w:p w:rsidR="00DF17E9" w:rsidRPr="00AE6379" w:rsidRDefault="00DF17E9" w:rsidP="00044843">
      <w:pPr>
        <w:pStyle w:val="Subheading"/>
        <w:rPr>
          <w:bCs/>
          <w:lang w:val="en-US"/>
        </w:rPr>
      </w:pPr>
      <w:r>
        <w:lastRenderedPageBreak/>
        <w:t xml:space="preserve">Table 5.6: General government sector detailed expenses by function </w:t>
      </w:r>
      <w:r w:rsidRPr="00BC3470">
        <w:rPr>
          <w:vertAlign w:val="superscript"/>
        </w:rPr>
        <w:t>(a)</w:t>
      </w:r>
      <w:r>
        <w:tab/>
      </w:r>
      <w:r w:rsidRPr="00BC3470">
        <w:rPr>
          <w:rStyle w:val="TableUnitsChar"/>
        </w:rPr>
        <w:t>($ million)</w:t>
      </w:r>
    </w:p>
    <w:tbl>
      <w:tblPr>
        <w:tblStyle w:val="TableDTFGeneral"/>
        <w:tblW w:w="9638" w:type="dxa"/>
        <w:tblLayout w:type="fixed"/>
        <w:tblLook w:val="02A0" w:firstRow="1" w:lastRow="0" w:firstColumn="1" w:lastColumn="0" w:noHBand="1" w:noVBand="0"/>
      </w:tblPr>
      <w:tblGrid>
        <w:gridCol w:w="7824"/>
        <w:gridCol w:w="907"/>
        <w:gridCol w:w="907"/>
      </w:tblGrid>
      <w:tr w:rsidR="00DF17E9" w:rsidRPr="00AE6379"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0" w:firstLine="0"/>
              <w:rPr>
                <w:color w:val="FFFFFF"/>
              </w:rPr>
            </w:pPr>
            <w:r w:rsidRPr="00AE6379">
              <w:rPr>
                <w:color w:val="FFFFFF"/>
              </w:rPr>
              <w:t>Output description (general purpose classification)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FFFFFF"/>
              </w:rPr>
            </w:pPr>
            <w:r w:rsidRPr="00AE6379">
              <w:rPr>
                <w:color w:val="FFFFFF"/>
              </w:rPr>
              <w:t>2016</w:t>
            </w:r>
          </w:p>
        </w:tc>
        <w:tc>
          <w:tcPr>
            <w:tcW w:w="907" w:type="dxa"/>
          </w:tcPr>
          <w:p w:rsidR="00DF17E9" w:rsidRPr="00AE6379"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AE6379">
              <w:rPr>
                <w:color w:val="FFFFFF"/>
              </w:rPr>
              <w:t xml:space="preserve">2015 </w:t>
            </w:r>
            <w:r w:rsidRPr="00AE6379">
              <w:rPr>
                <w:color w:val="FFFFFF"/>
                <w:vertAlign w:val="superscript"/>
              </w:rPr>
              <w:t>(b)</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General public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2 662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3 005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Other general public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2 662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3 005</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Public order and safety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6 269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5 769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Police and fire protection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3 902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3 589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Police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2 694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2 515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Fire protection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1 208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1 075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Law courts and legal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889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855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Prisons and corrective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1 080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962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 xml:space="preserve">      Other public order and safety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398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363</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13 424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12 972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Primary and secondary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10 274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9 765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Primary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5 439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4 921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Secondary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4 810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4 790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Primary and secondary education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Tertiary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1 980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2 109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Technical and further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1 980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2 109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Pre-school education and education not definable by level</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1 060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970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Pre-school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351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301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Special education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709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670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Transportation of students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110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128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Transportation of non-urban school children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79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Transportation of other students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Education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Health</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15 331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14 361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Acute care institutions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11 445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10 712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Admitted patient services in acute care institutions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9 397</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8 813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Non-admitted patient services in acute care institutions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2 047</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1 899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Mental health institutions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90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Nursing homes for the aged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543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508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Community health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2 380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2 216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Community health services (excluding community mental health)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869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805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Community mental health</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765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716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Patient transport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745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695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Public health services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382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409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Pharmaceuticals, medical aids and appliances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411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383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Health research</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68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Health administration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13</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Social security and welfare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4 539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4 254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Welfare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4 539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4 254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Family and child services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1 123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1 044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Welfare services for the aged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1 065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1 016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Welfare services for people with a disability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1 792</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1 672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Welfare services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558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522</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Housing and community amenities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2 611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2 948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Housing and community development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2 016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2 457</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Housing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460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425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Aboriginal community development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14</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Other community development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1 538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2 018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Water supply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120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123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Sanitation and protection of the environment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465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359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Other community amenities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pageBreakBefore/>
              <w:ind w:left="113" w:hanging="113"/>
              <w:rPr>
                <w:color w:val="FFFFFF"/>
              </w:rPr>
            </w:pPr>
            <w:r w:rsidRPr="00AE6379">
              <w:rPr>
                <w:color w:val="FFFFFF"/>
              </w:rPr>
              <w:lastRenderedPageBreak/>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Recreation and culture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b/>
                <w:color w:val="000000"/>
              </w:rPr>
              <w:t>800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682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Recreation facilities and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386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291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National parks and wildlife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Recreation facilities and services NEC </w:t>
            </w:r>
            <w:r w:rsidR="00DF17E9" w:rsidRPr="00AE6379">
              <w:rPr>
                <w:color w:val="000000"/>
                <w:vertAlign w:val="superscript"/>
              </w:rPr>
              <w:t>(c)</w:t>
            </w:r>
            <w:r w:rsidR="00DF17E9" w:rsidRPr="00AE63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297</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209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color w:val="000000"/>
              </w:rPr>
              <w:t xml:space="preserve">      Cultural facilities and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415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391</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Fuel and energy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b/>
                <w:color w:val="000000"/>
              </w:rPr>
              <w:t>128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130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Electricity and other energy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128</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130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Electricity</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Fuel and energy NEC </w:t>
            </w:r>
            <w:r w:rsidR="00DF17E9" w:rsidRPr="00AE6379">
              <w:rPr>
                <w:color w:val="000000"/>
                <w:vertAlign w:val="superscript"/>
              </w:rPr>
              <w:t>(c)</w:t>
            </w:r>
            <w:r w:rsidR="00DF17E9" w:rsidRPr="00AE63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95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100</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Agriculture, forestry, fishing and hunting</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b/>
                <w:color w:val="000000"/>
              </w:rPr>
              <w:t>414</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360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Agriculture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313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293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Forestry, fishing and hunting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101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67</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Transport and communications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6 245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6 103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Road transport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1 661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1 673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Road maintenance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416</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480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Road construction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871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926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Road transport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373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268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Rail transport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4 473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4 343</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Urban rail transport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3 849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3 832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Non-urban rail transport passenger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625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511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Other transport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111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87</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Other transport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111</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87</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Other economic affairs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b/>
                <w:color w:val="000000"/>
              </w:rPr>
              <w:t>857</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1 109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Tourism and area promotion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223</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239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Labour and employment affairs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135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Other labour and employment affairs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135</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11</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Other economic affairs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499</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860</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000000"/>
              </w:rPr>
            </w:pPr>
            <w:r w:rsidRPr="00AE6379">
              <w:rPr>
                <w:b/>
                <w:color w:val="000000"/>
              </w:rPr>
              <w:t>Other purposes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b/>
                <w:color w:val="000000"/>
              </w:rPr>
              <w:t>1 350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1 376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Public debt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1 310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1 339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A87C72" w:rsidP="00044843">
            <w:pPr>
              <w:ind w:left="113" w:hanging="113"/>
              <w:rPr>
                <w:color w:val="000000"/>
              </w:rPr>
            </w:pPr>
            <w:r>
              <w:rPr>
                <w:color w:val="000000"/>
              </w:rPr>
              <w:t xml:space="preserve">   </w:t>
            </w:r>
            <w:r w:rsidR="00DF17E9" w:rsidRPr="00AE6379">
              <w:rPr>
                <w:color w:val="000000"/>
              </w:rPr>
              <w:t xml:space="preserve">Other purposes NEC </w:t>
            </w:r>
            <w:r w:rsidR="00DF17E9" w:rsidRPr="00AE6379">
              <w:rPr>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r w:rsidRPr="00AE6379">
              <w:rPr>
                <w:color w:val="000000"/>
              </w:rPr>
              <w:t>40</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38</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AE6379" w:rsidRDefault="00DF17E9" w:rsidP="00044843">
            <w:pPr>
              <w:rPr>
                <w:color w:val="000000"/>
              </w:rPr>
            </w:pPr>
            <w:r w:rsidRPr="00AE6379">
              <w:rPr>
                <w:color w:val="000000"/>
              </w:rPr>
              <w:t xml:space="preserve"> </w:t>
            </w:r>
          </w:p>
        </w:tc>
        <w:tc>
          <w:tcPr>
            <w:tcW w:w="907" w:type="dxa"/>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b/>
                <w:color w:val="000000"/>
              </w:rPr>
              <w:t xml:space="preserve">Not allocated by purpose </w:t>
            </w:r>
            <w:r w:rsidRPr="00AE6379">
              <w:rPr>
                <w:b/>
                <w:color w:val="000000"/>
                <w:vertAlign w:val="superscript"/>
              </w:rPr>
              <w:t>(d)</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b/>
                <w:color w:val="000000"/>
              </w:rPr>
              <w:t>(579)</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(513)</w:t>
            </w:r>
          </w:p>
        </w:tc>
      </w:tr>
      <w:tr w:rsidR="00DF17E9" w:rsidRPr="00AE6379"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 xml:space="preserve"> </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 xml:space="preserve"> </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113" w:hanging="113"/>
              <w:rPr>
                <w:color w:val="000000"/>
              </w:rPr>
            </w:pPr>
            <w:r w:rsidRPr="00AE6379">
              <w:rPr>
                <w:b/>
                <w:color w:val="000000"/>
              </w:rPr>
              <w:t>Total</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b/>
                <w:color w:val="000000"/>
              </w:rPr>
              <w:t>54 052</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b/>
                <w:color w:val="000000"/>
              </w:rPr>
              <w:t>52 558</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t xml:space="preserve">Chapter 4, </w:t>
      </w:r>
      <w:r w:rsidRPr="00D42BC9">
        <w:t xml:space="preserve">Note </w:t>
      </w:r>
      <w:r>
        <w:t>3</w:t>
      </w:r>
      <w:r w:rsidRPr="00D42BC9">
        <w:t>.6 provides definitions and descriptions of government purpose classifications.</w:t>
      </w:r>
    </w:p>
    <w:p w:rsidR="00DF17E9" w:rsidRDefault="00DF17E9" w:rsidP="00044843">
      <w:pPr>
        <w:pStyle w:val="Note"/>
      </w:pPr>
      <w:r>
        <w:t>(b)</w:t>
      </w:r>
      <w:r>
        <w:tab/>
      </w:r>
      <w:r w:rsidRPr="00773A49">
        <w:t>June 2015 comparative figures have been reclassified to reflect more current information.</w:t>
      </w:r>
    </w:p>
    <w:p w:rsidR="00DF17E9" w:rsidRDefault="00DF17E9" w:rsidP="00044843">
      <w:pPr>
        <w:pStyle w:val="Note"/>
      </w:pPr>
      <w:r>
        <w:t>(c)</w:t>
      </w:r>
      <w:r>
        <w:tab/>
        <w:t>NEC: Not elsewhere classified.</w:t>
      </w:r>
    </w:p>
    <w:p w:rsidR="00DF17E9" w:rsidRDefault="00DF17E9" w:rsidP="00044843">
      <w:pPr>
        <w:pStyle w:val="Note"/>
      </w:pPr>
      <w:r>
        <w:t>(d)</w:t>
      </w:r>
      <w:r>
        <w:tab/>
      </w:r>
      <w:r w:rsidRPr="004520D3">
        <w:t>Not allocated by purpose represents eliminations and adjustments.</w:t>
      </w:r>
    </w:p>
    <w:p w:rsidR="00DF17E9" w:rsidRDefault="00DF17E9" w:rsidP="00044843"/>
    <w:p w:rsidR="00DF17E9" w:rsidRDefault="00DF17E9" w:rsidP="00044843">
      <w:pPr>
        <w:sectPr w:rsidR="00DF17E9" w:rsidSect="00044843">
          <w:headerReference w:type="even" r:id="rId297"/>
          <w:headerReference w:type="default" r:id="rId298"/>
          <w:footerReference w:type="even" r:id="rId299"/>
          <w:footerReference w:type="default" r:id="rId300"/>
          <w:pgSz w:w="11906" w:h="16838" w:code="9"/>
          <w:pgMar w:top="1134" w:right="1134" w:bottom="1134" w:left="1134" w:header="624" w:footer="567" w:gutter="0"/>
          <w:cols w:space="708"/>
          <w:docGrid w:linePitch="360"/>
        </w:sectPr>
      </w:pPr>
    </w:p>
    <w:p w:rsidR="00DF17E9" w:rsidRDefault="00DF17E9">
      <w:pPr>
        <w:rPr>
          <w:rFonts w:asciiTheme="majorHAnsi" w:hAnsiTheme="majorHAnsi"/>
          <w:b/>
          <w:spacing w:val="-2"/>
        </w:rPr>
      </w:pPr>
      <w:r>
        <w:lastRenderedPageBreak/>
        <w:br w:type="page"/>
      </w:r>
    </w:p>
    <w:p w:rsidR="00DF17E9" w:rsidRDefault="00DF17E9" w:rsidP="00044843">
      <w:pPr>
        <w:pStyle w:val="Subheadingunderline"/>
      </w:pPr>
      <w:r>
        <w:lastRenderedPageBreak/>
        <w:t>VICTORIA’S 2015-16 LOAN COUNCIL ALLOCATION</w:t>
      </w:r>
    </w:p>
    <w:p w:rsidR="005C5F28" w:rsidRDefault="00DF17E9" w:rsidP="00044843">
      <w:r>
        <w:t xml:space="preserve">Under the Uniform Presentation Framework (UPF), Victoria is required to publish the Loan Council Allocation (LCA) estimates. The LCA is a measure of each government’s net call on financial markets in a given financial year to meet its budget obligations. The method of public release is the </w:t>
      </w:r>
    </w:p>
    <w:p w:rsidR="005C5F28" w:rsidRDefault="005C5F28" w:rsidP="005C5F28">
      <w:pPr>
        <w:pStyle w:val="Subheading"/>
        <w:spacing w:before="0"/>
      </w:pPr>
      <w:r>
        <w:br w:type="column"/>
      </w:r>
    </w:p>
    <w:p w:rsidR="00DF17E9" w:rsidRDefault="00DF17E9" w:rsidP="00044843">
      <w:r>
        <w:t xml:space="preserve">responsibility of each jurisdiction. Victoria discloses its LCA information through the </w:t>
      </w:r>
      <w:r w:rsidRPr="00B5033D">
        <w:rPr>
          <w:i/>
        </w:rPr>
        <w:t>Financial Report</w:t>
      </w:r>
      <w:r>
        <w:t xml:space="preserve"> for the State of Victoria, Budget Paper No. 5 </w:t>
      </w:r>
      <w:r w:rsidRPr="000039F2">
        <w:rPr>
          <w:i/>
        </w:rPr>
        <w:t>Statement of Finances</w:t>
      </w:r>
      <w:r>
        <w:t xml:space="preserve"> and </w:t>
      </w:r>
      <w:r w:rsidRPr="00677A72">
        <w:t>Budget Update</w:t>
      </w:r>
      <w:r>
        <w:t>.</w:t>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r>
        <w:t xml:space="preserve">Table 5.7 compares the Victorian 2015-16 LCA nomination as published in the </w:t>
      </w:r>
      <w:r>
        <w:rPr>
          <w:i/>
        </w:rPr>
        <w:t>2015-16</w:t>
      </w:r>
      <w:r w:rsidRPr="00BC3470">
        <w:rPr>
          <w:i/>
        </w:rPr>
        <w:t xml:space="preserve"> Budget </w:t>
      </w:r>
      <w:r>
        <w:t>with the 2015-16 outcome.</w:t>
      </w:r>
    </w:p>
    <w:p w:rsidR="00DF17E9" w:rsidRPr="00AE6379" w:rsidRDefault="00DF17E9" w:rsidP="00044843">
      <w:pPr>
        <w:pStyle w:val="Subheading"/>
        <w:rPr>
          <w:bCs/>
          <w:i/>
          <w:lang w:val="en-US"/>
        </w:rPr>
      </w:pPr>
      <w:r>
        <w:lastRenderedPageBreak/>
        <w:t>Table 5.7: Loan Council Allocation 2015-16</w:t>
      </w:r>
      <w:r>
        <w:tab/>
      </w:r>
      <w:r w:rsidRPr="000039F2">
        <w:rPr>
          <w:rStyle w:val="TableUnitsChar"/>
        </w:rPr>
        <w:t>($ million)</w:t>
      </w:r>
    </w:p>
    <w:tbl>
      <w:tblPr>
        <w:tblStyle w:val="TableDTFGeneral"/>
        <w:tblW w:w="9638" w:type="dxa"/>
        <w:tblLayout w:type="fixed"/>
        <w:tblLook w:val="02A0" w:firstRow="1" w:lastRow="0" w:firstColumn="1" w:lastColumn="0" w:noHBand="1" w:noVBand="0"/>
      </w:tblPr>
      <w:tblGrid>
        <w:gridCol w:w="7824"/>
        <w:gridCol w:w="907"/>
        <w:gridCol w:w="907"/>
      </w:tblGrid>
      <w:tr w:rsidR="007D5401" w:rsidRPr="00AE6379" w:rsidTr="00933EBC">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7824" w:type="dxa"/>
          </w:tcPr>
          <w:p w:rsidR="007D5401" w:rsidRPr="00AE6379" w:rsidRDefault="007D5401" w:rsidP="00044843">
            <w:pPr>
              <w:ind w:left="0" w:firstLine="0"/>
              <w:rPr>
                <w:i w:val="0"/>
                <w:color w:val="FFFFFF"/>
              </w:rPr>
            </w:pPr>
            <w:r w:rsidRPr="00AE6379">
              <w:rPr>
                <w:color w:val="FFFFFF"/>
              </w:rPr>
              <w:t xml:space="preserve"> </w:t>
            </w:r>
          </w:p>
          <w:p w:rsidR="007D5401" w:rsidRPr="00AE6379" w:rsidRDefault="007D5401" w:rsidP="00044843">
            <w:pPr>
              <w:ind w:left="0"/>
              <w:jc w:val="right"/>
              <w:rPr>
                <w:color w:val="FFFFFF"/>
              </w:rPr>
            </w:pPr>
            <w:r w:rsidRPr="00AE6379">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7D5401" w:rsidRPr="00AE6379" w:rsidRDefault="007D5401" w:rsidP="007D5401">
            <w:pPr>
              <w:rPr>
                <w:color w:val="FFFFFF"/>
              </w:rPr>
            </w:pPr>
            <w:r w:rsidRPr="00AE6379">
              <w:rPr>
                <w:color w:val="FFFFFF"/>
              </w:rPr>
              <w:t>2016</w:t>
            </w:r>
            <w:r>
              <w:rPr>
                <w:color w:val="FFFFFF"/>
              </w:rPr>
              <w:t xml:space="preserve"> </w:t>
            </w:r>
            <w:r w:rsidRPr="00AE6379">
              <w:rPr>
                <w:color w:val="FFFFFF"/>
              </w:rPr>
              <w:t>budget</w:t>
            </w:r>
          </w:p>
        </w:tc>
        <w:tc>
          <w:tcPr>
            <w:tcW w:w="907" w:type="dxa"/>
          </w:tcPr>
          <w:p w:rsidR="007D5401" w:rsidRPr="00AE6379" w:rsidRDefault="007D5401" w:rsidP="007D5401">
            <w:pPr>
              <w:cnfStyle w:val="100000000000" w:firstRow="1" w:lastRow="0" w:firstColumn="0" w:lastColumn="0" w:oddVBand="0" w:evenVBand="0" w:oddHBand="0" w:evenHBand="0" w:firstRowFirstColumn="0" w:firstRowLastColumn="0" w:lastRowFirstColumn="0" w:lastRowLastColumn="0"/>
              <w:rPr>
                <w:color w:val="FFFFFF"/>
              </w:rPr>
            </w:pPr>
            <w:r w:rsidRPr="00AE6379">
              <w:rPr>
                <w:color w:val="FFFFFF"/>
              </w:rPr>
              <w:t>2016</w:t>
            </w:r>
            <w:r>
              <w:rPr>
                <w:color w:val="FFFFFF"/>
              </w:rPr>
              <w:t xml:space="preserve"> </w:t>
            </w:r>
            <w:r w:rsidRPr="00AE6379">
              <w:rPr>
                <w:color w:val="FFFFFF"/>
              </w:rPr>
              <w:t>actual</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color w:val="000000"/>
              </w:rPr>
              <w:t>General government cash deficit(+) or surplus (-)</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475</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(1 129)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color w:val="000000"/>
              </w:rPr>
              <w:t>Public non-financial corporations sector cash deficit(+) or surplus (-)</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(5 858)</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429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nil"/>
            </w:tcBorders>
          </w:tcPr>
          <w:p w:rsidR="00DF17E9" w:rsidRPr="00AE6379" w:rsidRDefault="00DF17E9" w:rsidP="00044843">
            <w:pPr>
              <w:ind w:left="113" w:hanging="113"/>
              <w:rPr>
                <w:color w:val="000000"/>
              </w:rPr>
            </w:pPr>
            <w:r w:rsidRPr="00AE6379">
              <w:rPr>
                <w:color w:val="000000"/>
              </w:rPr>
              <w:t>Non-financial public sector cash deficit(+) or surplus(-)</w:t>
            </w:r>
            <w:r w:rsidRPr="00AE6379">
              <w:rPr>
                <w:color w:val="000000"/>
                <w:vertAlign w:val="superscript"/>
              </w:rPr>
              <w:t xml:space="preserve">(a)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nil"/>
            </w:tcBorders>
          </w:tcPr>
          <w:p w:rsidR="00DF17E9" w:rsidRPr="00AE6379" w:rsidRDefault="00DF17E9" w:rsidP="00044843">
            <w:pPr>
              <w:rPr>
                <w:color w:val="000000"/>
              </w:rPr>
            </w:pPr>
            <w:r w:rsidRPr="00AE6379">
              <w:rPr>
                <w:color w:val="000000"/>
              </w:rPr>
              <w:t>(5 381)</w:t>
            </w:r>
          </w:p>
        </w:tc>
        <w:tc>
          <w:tcPr>
            <w:tcW w:w="907" w:type="dxa"/>
            <w:tcBorders>
              <w:top w:val="single" w:sz="6" w:space="0" w:color="auto"/>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(702)</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color w:val="000000"/>
              </w:rPr>
              <w:t>Acquisitions under finance leases and similar arrangements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pPr>
              <w:rPr>
                <w:color w:val="000000"/>
              </w:rPr>
            </w:pPr>
            <w:r w:rsidRPr="00AE6379">
              <w:rPr>
                <w:color w:val="000000"/>
              </w:rPr>
              <w:t>1 050</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1 050</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rsidR="00DF17E9" w:rsidRPr="00AE6379" w:rsidRDefault="00DF17E9" w:rsidP="00044843">
            <w:pPr>
              <w:ind w:left="113" w:hanging="113"/>
              <w:rPr>
                <w:color w:val="000000"/>
              </w:rPr>
            </w:pPr>
            <w:r w:rsidRPr="00AE6379">
              <w:rPr>
                <w:color w:val="000000"/>
              </w:rPr>
              <w:t>ABS GFS cash deficit(+) or surplus(-)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AE6379" w:rsidRDefault="00DF17E9" w:rsidP="00044843">
            <w:pPr>
              <w:rPr>
                <w:color w:val="000000"/>
              </w:rPr>
            </w:pPr>
            <w:r w:rsidRPr="00AE6379">
              <w:rPr>
                <w:color w:val="000000"/>
              </w:rPr>
              <w:t>(4 331)</w:t>
            </w:r>
          </w:p>
        </w:tc>
        <w:tc>
          <w:tcPr>
            <w:tcW w:w="907" w:type="dxa"/>
            <w:tcBorders>
              <w:top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348</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rsidR="00DF17E9" w:rsidRPr="00AE6379" w:rsidRDefault="00DF17E9" w:rsidP="00044843">
            <w:pPr>
              <w:ind w:left="113" w:hanging="113"/>
              <w:rPr>
                <w:color w:val="000000"/>
              </w:rPr>
            </w:pPr>
            <w:r w:rsidRPr="00AE6379">
              <w:rPr>
                <w:i/>
                <w:color w:val="000000"/>
              </w:rPr>
              <w:t>Less Net cash flows from investments in financial assets for policy purposes</w:t>
            </w:r>
            <w:r w:rsidRPr="00AE6379">
              <w:rPr>
                <w:i/>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AE6379" w:rsidRDefault="00DF17E9" w:rsidP="00044843">
            <w:r w:rsidRPr="00AE6379">
              <w:rPr>
                <w:color w:val="000000"/>
              </w:rPr>
              <w:t>(53)</w:t>
            </w:r>
          </w:p>
        </w:tc>
        <w:tc>
          <w:tcPr>
            <w:tcW w:w="907" w:type="dxa"/>
            <w:tcBorders>
              <w:bottom w:val="nil"/>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(345)</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rsidR="00DF17E9" w:rsidRPr="00AE6379" w:rsidRDefault="00DF17E9" w:rsidP="00044843">
            <w:pPr>
              <w:ind w:left="113" w:hanging="113"/>
              <w:rPr>
                <w:color w:val="000000"/>
              </w:rPr>
            </w:pPr>
            <w:r w:rsidRPr="00AE6379">
              <w:rPr>
                <w:i/>
                <w:color w:val="000000"/>
              </w:rPr>
              <w:t>Plus memorandum items</w:t>
            </w:r>
            <w:r w:rsidRPr="00AE6379">
              <w:rPr>
                <w:i/>
                <w:color w:val="000000"/>
                <w:vertAlign w:val="superscript"/>
              </w:rPr>
              <w:t>(c)</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AE6379" w:rsidRDefault="00DF17E9" w:rsidP="00044843">
            <w:r w:rsidRPr="00AE6379">
              <w:rPr>
                <w:color w:val="000000"/>
              </w:rPr>
              <w:t>361</w:t>
            </w:r>
          </w:p>
        </w:tc>
        <w:tc>
          <w:tcPr>
            <w:tcW w:w="907" w:type="dxa"/>
            <w:tcBorders>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color w:val="000000"/>
              </w:rPr>
              <w:t>286</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rsidR="00DF17E9" w:rsidRPr="00AE6379" w:rsidRDefault="00DF17E9" w:rsidP="00044843">
            <w:pPr>
              <w:ind w:left="113" w:hanging="113"/>
              <w:rPr>
                <w:color w:val="000000"/>
              </w:rPr>
            </w:pPr>
            <w:r w:rsidRPr="00AE6379">
              <w:rPr>
                <w:b/>
                <w:color w:val="000000"/>
              </w:rPr>
              <w:t>Loan Council Allocation</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AE6379" w:rsidRDefault="00DF17E9" w:rsidP="00044843">
            <w:pPr>
              <w:rPr>
                <w:color w:val="000000"/>
              </w:rPr>
            </w:pPr>
            <w:r w:rsidRPr="00AE6379">
              <w:rPr>
                <w:b/>
                <w:color w:val="000000"/>
              </w:rPr>
              <w:t>(3 917)</w:t>
            </w:r>
          </w:p>
        </w:tc>
        <w:tc>
          <w:tcPr>
            <w:tcW w:w="907" w:type="dxa"/>
            <w:tcBorders>
              <w:top w:val="single" w:sz="6" w:space="0" w:color="auto"/>
              <w:bottom w:val="single" w:sz="6"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pPr>
            <w:r w:rsidRPr="00AE6379">
              <w:rPr>
                <w:b/>
                <w:color w:val="000000"/>
              </w:rPr>
              <w:t>979</w:t>
            </w:r>
          </w:p>
        </w:tc>
      </w:tr>
      <w:tr w:rsidR="00DF17E9" w:rsidRPr="00AE6379" w:rsidTr="0004484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DF17E9" w:rsidRPr="00AE6379" w:rsidRDefault="00DF17E9" w:rsidP="00044843">
            <w:pPr>
              <w:ind w:left="113" w:hanging="113"/>
              <w:rPr>
                <w:color w:val="000000"/>
              </w:rPr>
            </w:pPr>
            <w:r w:rsidRPr="00AE6379">
              <w:rPr>
                <w:color w:val="000000"/>
              </w:rPr>
              <w:t>Tolerance limit (2 per cent of non-financial public sector cash receipts from operating activities)</w:t>
            </w:r>
            <w:r w:rsidRPr="00AE6379">
              <w:rPr>
                <w:color w:val="000000"/>
                <w:vertAlign w:val="superscript"/>
              </w:rPr>
              <w:t>(d)</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AE6379" w:rsidRDefault="00DF17E9" w:rsidP="00044843">
            <w:pPr>
              <w:rPr>
                <w:color w:val="000000"/>
              </w:rPr>
            </w:pPr>
            <w:r w:rsidRPr="00AE6379">
              <w:rPr>
                <w:color w:val="000000"/>
              </w:rPr>
              <w:t>1 190</w:t>
            </w:r>
          </w:p>
        </w:tc>
        <w:tc>
          <w:tcPr>
            <w:tcW w:w="907" w:type="dxa"/>
            <w:tcBorders>
              <w:top w:val="single" w:sz="6" w:space="0" w:color="auto"/>
              <w:bottom w:val="single" w:sz="12" w:space="0" w:color="auto"/>
            </w:tcBorders>
          </w:tcPr>
          <w:p w:rsidR="00DF17E9" w:rsidRPr="00AE6379"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AE6379">
              <w:rPr>
                <w:color w:val="000000"/>
              </w:rPr>
              <w:t>1 190</w:t>
            </w:r>
          </w:p>
        </w:tc>
      </w:tr>
    </w:tbl>
    <w:p w:rsidR="00DF17E9" w:rsidRDefault="00DF17E9" w:rsidP="00044843">
      <w:pPr>
        <w:pStyle w:val="Source"/>
      </w:pPr>
      <w:r>
        <w:t>Source: Department of Treasury and Finance</w:t>
      </w:r>
    </w:p>
    <w:p w:rsidR="00DF17E9" w:rsidRDefault="00DF17E9" w:rsidP="00044843">
      <w:pPr>
        <w:pStyle w:val="Note"/>
      </w:pPr>
      <w:r>
        <w:t>Notes:</w:t>
      </w:r>
    </w:p>
    <w:p w:rsidR="00DF17E9" w:rsidRDefault="00DF17E9" w:rsidP="00044843">
      <w:pPr>
        <w:pStyle w:val="Note"/>
      </w:pPr>
      <w:r>
        <w:t>(a)</w:t>
      </w:r>
      <w:r>
        <w:tab/>
        <w:t>The sum of the deficit of the general government and public non-financial corporation sector does not directly equal the non-financial public sector cash deficit due to inter sectoral transfers, which are netted out in the calculation of the non-financial public sector figure. The non-financial public sector cash deficit excludes finance lease acquisitions.</w:t>
      </w:r>
    </w:p>
    <w:p w:rsidR="00DF17E9" w:rsidRDefault="00DF17E9" w:rsidP="00044843">
      <w:pPr>
        <w:pStyle w:val="Note"/>
      </w:pPr>
      <w:r>
        <w:t>(b)</w:t>
      </w:r>
      <w:r>
        <w:tab/>
        <w:t>The ABS GFS cash deficit is adjusted to include in the LCA the impact of net cash flows from investments in financial assets for policy purposes.</w:t>
      </w:r>
    </w:p>
    <w:p w:rsidR="00DF17E9" w:rsidRDefault="00DF17E9" w:rsidP="00044843">
      <w:pPr>
        <w:pStyle w:val="Note"/>
      </w:pPr>
      <w:r>
        <w:t>(c)</w:t>
      </w:r>
      <w:r>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 emerging costs under public sector superannuation schemes, or borrowings by entities such as statutory marketing authorities).</w:t>
      </w:r>
    </w:p>
    <w:p w:rsidR="00DF17E9" w:rsidRDefault="00DF17E9" w:rsidP="00044843">
      <w:pPr>
        <w:pStyle w:val="Note"/>
      </w:pPr>
      <w:r>
        <w:t>(d)</w:t>
      </w:r>
      <w:r>
        <w:tab/>
        <w:t xml:space="preserve">A tolerance limit equal to 2 per cent of total non-financial public sector cash receipt from operating activities applies to the movement between a jurisdiction’s LCA budget estimate and LCA outcome (calculated using estimates in </w:t>
      </w:r>
      <w:r w:rsidRPr="006E37C4">
        <w:t>the 2015-16 Budget). The tolerance limit applying to the movement between Victoria’s 2015-16 LCA budget estimate and its LCA outcome is $1 190 million (2 per cent of $59 483 million).</w:t>
      </w:r>
    </w:p>
    <w:p w:rsidR="00DF17E9" w:rsidRDefault="00DF17E9" w:rsidP="00044843"/>
    <w:p w:rsidR="00DF17E9" w:rsidRDefault="00DF17E9" w:rsidP="00044843">
      <w:pPr>
        <w:sectPr w:rsidR="00DF17E9" w:rsidSect="00044843">
          <w:type w:val="continuous"/>
          <w:pgSz w:w="11906" w:h="16838" w:code="9"/>
          <w:pgMar w:top="1134" w:right="1134" w:bottom="1134" w:left="1134" w:header="624" w:footer="567" w:gutter="0"/>
          <w:cols w:space="708"/>
          <w:docGrid w:linePitch="360"/>
        </w:sectPr>
      </w:pPr>
    </w:p>
    <w:p w:rsidR="00DF17E9" w:rsidRDefault="00DF17E9" w:rsidP="00044843">
      <w:r>
        <w:lastRenderedPageBreak/>
        <w:t xml:space="preserve">As part of the Loan Council arrangements, the Council has agreed that if at any time a state or territory find that it is likely to exceed its tolerance limit, in either direction, it is required to provide an explanation to the Council and, in line with the emphasis of increased transparency, to make the explanation public. Victoria’s 2015-16 LCA </w:t>
      </w:r>
      <w:r w:rsidRPr="000409EE">
        <w:t xml:space="preserve">outcome (a </w:t>
      </w:r>
      <w:r>
        <w:t>deficit</w:t>
      </w:r>
      <w:r w:rsidRPr="000409EE">
        <w:t xml:space="preserve"> of $</w:t>
      </w:r>
      <w:r>
        <w:t>1</w:t>
      </w:r>
      <w:r w:rsidRPr="000409EE">
        <w:t xml:space="preserve"> billion) is $</w:t>
      </w:r>
      <w:r>
        <w:t>5</w:t>
      </w:r>
      <w:r w:rsidRPr="000409EE">
        <w:t xml:space="preserve"> billion </w:t>
      </w:r>
      <w:r>
        <w:t>lower</w:t>
      </w:r>
      <w:r w:rsidRPr="000409EE">
        <w:t xml:space="preserve"> than the budgeted LCA and exceeds the 2015-16 tolerance limit. </w:t>
      </w:r>
      <w:r w:rsidRPr="00D803FA">
        <w:t xml:space="preserve">This is primarily due to </w:t>
      </w:r>
      <w:r>
        <w:t>the revised timing from entering into a medium-term lease over the operations of the Port of Melbourne from 2015</w:t>
      </w:r>
      <w:r>
        <w:noBreakHyphen/>
        <w:t>16 to 2016-17.</w:t>
      </w:r>
    </w:p>
    <w:p w:rsidR="00DF17E9" w:rsidRDefault="005C5F28" w:rsidP="00044843">
      <w:pPr>
        <w:pStyle w:val="Subheadingunderline"/>
      </w:pPr>
      <w:r>
        <w:br w:type="column"/>
      </w:r>
      <w:r w:rsidR="00DF17E9">
        <w:lastRenderedPageBreak/>
        <w:t>NEW INFRASTRUCTURE PROJECTS WITH PRIVATE SECTOR INVOLVEMENT</w:t>
      </w:r>
    </w:p>
    <w:p w:rsidR="00DF17E9" w:rsidRPr="00D57192" w:rsidRDefault="00DF17E9" w:rsidP="00044843">
      <w:r w:rsidRPr="00D57192">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w:t>
      </w:r>
      <w:r>
        <w:t>’</w:t>
      </w:r>
      <w:r w:rsidRPr="00D57192">
        <w:t>s termination liabilities in a case of private sector default and disclosed as a footnote to, rather than a component of, the LCA. The amount payable will not exceed the fair market value of the project (which is usually calculated by an independent valuer) less any costs incurred by the Government as a result of the default.</w:t>
      </w:r>
    </w:p>
    <w:p w:rsidR="00DF17E9" w:rsidRDefault="00DF17E9" w:rsidP="00044843">
      <w:r w:rsidRPr="00D57192">
        <w:t xml:space="preserve">Listed below are details of the public private partnership projects that </w:t>
      </w:r>
      <w:r>
        <w:t>were contracted in the 2015</w:t>
      </w:r>
      <w:r>
        <w:noBreakHyphen/>
      </w:r>
      <w:r w:rsidRPr="00D57192">
        <w:t xml:space="preserve">16 financial year. </w:t>
      </w:r>
    </w:p>
    <w:p w:rsidR="00DF17E9" w:rsidRDefault="00DF17E9" w:rsidP="00044843">
      <w:pPr>
        <w:pStyle w:val="Subheadingunderline"/>
      </w:pPr>
      <w:r>
        <w:lastRenderedPageBreak/>
        <w:t>New Schools PPP project</w:t>
      </w:r>
    </w:p>
    <w:p w:rsidR="00DF17E9" w:rsidRDefault="00DF17E9" w:rsidP="005C5F28">
      <w:pPr>
        <w:spacing w:line="262" w:lineRule="auto"/>
      </w:pPr>
      <w:r>
        <w:t xml:space="preserve">The New Schools PPP project will deliver 15 new schools in growth communities as a public private partnership under the </w:t>
      </w:r>
      <w:r w:rsidRPr="004A60CD">
        <w:rPr>
          <w:i/>
        </w:rPr>
        <w:t>Partnerships Victoria</w:t>
      </w:r>
      <w:r>
        <w:t xml:space="preserve"> framework. </w:t>
      </w:r>
    </w:p>
    <w:p w:rsidR="00DF17E9" w:rsidRDefault="00DF17E9" w:rsidP="005C5F28">
      <w:pPr>
        <w:spacing w:line="262" w:lineRule="auto"/>
      </w:pPr>
      <w:r>
        <w:t>The tender process commenced in October 2014 and the contract was executed on 28 October 2015. The Learning Communities Victoria consortium will design, build, finance and maintain the schools for a term of 25 years, with the State retaining responsibility for educational services. The net present cost of the contract is $497 million (October 2015).</w:t>
      </w:r>
    </w:p>
    <w:p w:rsidR="00DF17E9" w:rsidRPr="00B342D0" w:rsidRDefault="00DF17E9" w:rsidP="005C5F28">
      <w:pPr>
        <w:spacing w:line="262" w:lineRule="auto"/>
      </w:pPr>
      <w:r>
        <w:t>The new schools are expected to be operational in 2017 and 2018. Once the schools commence operations, the State will begin quarterly payments to the consortium, the value of which will depend on the attainment of key performance indicators related to ongoing service provision.</w:t>
      </w:r>
    </w:p>
    <w:p w:rsidR="00DF17E9" w:rsidRDefault="00DF17E9" w:rsidP="00044843">
      <w:pPr>
        <w:pStyle w:val="Subheadingunderline"/>
      </w:pPr>
      <w:r>
        <w:t>CityLink–Tulla widening</w:t>
      </w:r>
    </w:p>
    <w:p w:rsidR="00DF17E9" w:rsidRDefault="00DF17E9" w:rsidP="005C5F28">
      <w:pPr>
        <w:spacing w:line="262" w:lineRule="auto"/>
      </w:pPr>
      <w:r>
        <w:t xml:space="preserve">The CityLink–Tulla widening project will widen the Western Link section of CityLink (from the West Gate Freeway–Burnley Tunnel to Bulla Road) and Tullamarine Freeway (from Bulla Road to the Melbourne Airport), and introduce a Freeway Management System along this corridor. </w:t>
      </w:r>
    </w:p>
    <w:p w:rsidR="00DF17E9" w:rsidRDefault="00DF17E9" w:rsidP="005C5F28">
      <w:pPr>
        <w:spacing w:line="262" w:lineRule="auto"/>
      </w:pPr>
      <w:r>
        <w:t>The CityLink–Tulla widening is a combination of a market</w:t>
      </w:r>
      <w:r>
        <w:noBreakHyphen/>
        <w:t>led proposal from Transurban, the owner and operator of the CityLink toll road concession, and State and Commonwealth Government contributions to upgrade the Tullamarine Freeway. Transurban is responsible for works on CityLink under a public private partnership (PPP) arrangement where Transurban is responsible for the design, construction, funding, financing, maintenance and operation of the road until the end of the concession. The State is also constructing works on the Tullamarine Freeway.</w:t>
      </w:r>
    </w:p>
    <w:p w:rsidR="00DF17E9" w:rsidRDefault="00DF17E9" w:rsidP="005C5F28">
      <w:pPr>
        <w:spacing w:line="262" w:lineRule="auto"/>
      </w:pPr>
      <w:r>
        <w:t>Under the PPP arrangement established in April 2015, Transurban will pay for costs associated with the project through CityLink tolls, namely an expected uplift in traffic and toll revenue post construction, an extension of the CityLink concession by one year, toll prices remaining escalated at an annual rate of 4.5 per cent for an additional year after 2015 and truck tolls increasing to become consistent with national pricing for trucks on other motorway networks. These funding sources are also contributing to fund the costs of the State works for the project.</w:t>
      </w:r>
    </w:p>
    <w:p w:rsidR="00DF17E9" w:rsidRDefault="00DF17E9" w:rsidP="005C5F28">
      <w:pPr>
        <w:spacing w:line="262" w:lineRule="auto"/>
      </w:pPr>
      <w:r>
        <w:lastRenderedPageBreak/>
        <w:t>In addition to the funding sourced from CityLink tolls, the State and Commonwealth Governments are also providing $272.8 million to fund the State works.</w:t>
      </w:r>
    </w:p>
    <w:p w:rsidR="00DF17E9" w:rsidRDefault="00DF17E9" w:rsidP="005C5F28">
      <w:pPr>
        <w:spacing w:line="262" w:lineRule="auto"/>
      </w:pPr>
      <w:r>
        <w:t xml:space="preserve">The total estimated capital cost of the project is $1.28 billion, with the State works on the Tullamarine Freeway estimated to cost $415 million and Transurban works on CityLink estimated to cost $867 million. </w:t>
      </w:r>
    </w:p>
    <w:p w:rsidR="00DF17E9" w:rsidRDefault="00DF17E9" w:rsidP="005C5F28">
      <w:pPr>
        <w:spacing w:line="262" w:lineRule="auto"/>
      </w:pPr>
      <w:r>
        <w:t>Transurban and Leighton Contractors (the successful tenderer for the CityLink works) commenced construction on site in October 2015. The State works being undertaken by VicRoads and Lendlease (the successful tenderer for the Tullamarine Freeway works) commenced in May 2016. The project is expected to be completed in 2018.</w:t>
      </w:r>
    </w:p>
    <w:p w:rsidR="00DF17E9" w:rsidRDefault="00DF17E9" w:rsidP="00044843">
      <w:pPr>
        <w:pStyle w:val="Subheadingunderline"/>
      </w:pPr>
      <w:r>
        <w:t>Melbourne Convention and Exhibition Centre – Stage 2 development</w:t>
      </w:r>
    </w:p>
    <w:p w:rsidR="00DF17E9" w:rsidRDefault="00DF17E9" w:rsidP="005C5F28">
      <w:pPr>
        <w:spacing w:line="262" w:lineRule="auto"/>
      </w:pPr>
      <w:r>
        <w:t>The Melbourne Convention and Exhibition Centre – Stage 2 development project, established in May 2016, provides for construction of an additional 9 000 square metres of flexible exhibition space including a multi</w:t>
      </w:r>
      <w:r>
        <w:noBreakHyphen/>
        <w:t xml:space="preserve">purpose facility with 900 retractable seats and 200 additional moveable seats. A hub space connecting the existing buildings will be constructed with cafes, bars and informal meeting spaces. The project will also provide meeting rooms and a banquet room seating 450 people. This expansion will provide additional space to attract new business and increase the earning capacity to Melbourne Convention and Exhibition Centre. </w:t>
      </w:r>
    </w:p>
    <w:p w:rsidR="00DF17E9" w:rsidRDefault="00DF17E9" w:rsidP="005C5F28">
      <w:pPr>
        <w:spacing w:line="262" w:lineRule="auto"/>
      </w:pPr>
      <w:r>
        <w:t xml:space="preserve">The expansion will provide direct and indirect economic benefits over the life of the development including benefits from the construction, and, during operation, benefits from the additional interstate and international delegates visiting Victoria. </w:t>
      </w:r>
    </w:p>
    <w:p w:rsidR="00DF17E9" w:rsidRPr="00D06E3F" w:rsidRDefault="00DF17E9" w:rsidP="005C5F28">
      <w:pPr>
        <w:spacing w:line="262" w:lineRule="auto"/>
      </w:pPr>
      <w:r w:rsidRPr="00D06E3F">
        <w:t xml:space="preserve">The expansion will be delivered as a modification under the existing Melbourne Convention Centre Development public private partnership contract, with Plenary Group responsible for the delivery. </w:t>
      </w:r>
    </w:p>
    <w:p w:rsidR="00DF17E9" w:rsidRPr="00D06E3F" w:rsidRDefault="00DF17E9" w:rsidP="005C5F28">
      <w:pPr>
        <w:spacing w:line="262" w:lineRule="auto"/>
      </w:pPr>
      <w:r w:rsidRPr="00D06E3F">
        <w:t xml:space="preserve">Plenary will also </w:t>
      </w:r>
      <w:r>
        <w:t xml:space="preserve">deliver </w:t>
      </w:r>
      <w:r w:rsidRPr="00D06E3F">
        <w:t>commercial developments in the form of a new multi deck car</w:t>
      </w:r>
      <w:r>
        <w:t xml:space="preserve"> park and a 3.5 to 4 star hotel next to the expanded facilities.</w:t>
      </w:r>
      <w:r w:rsidRPr="00D06E3F">
        <w:t xml:space="preserve"> </w:t>
      </w:r>
    </w:p>
    <w:p w:rsidR="00DF17E9" w:rsidRDefault="00DF17E9" w:rsidP="005C5F28">
      <w:pPr>
        <w:spacing w:line="262" w:lineRule="auto"/>
      </w:pPr>
      <w:r>
        <w:t xml:space="preserve">The funding approval for the Convention Centre expansion is $205 million, which </w:t>
      </w:r>
      <w:r w:rsidRPr="00D06E3F">
        <w:t>expected to be completed in early 2018.</w:t>
      </w:r>
    </w:p>
    <w:p w:rsidR="00061F46" w:rsidRDefault="00061F46">
      <w:r>
        <w:lastRenderedPageBreak/>
        <w:br w:type="page"/>
      </w:r>
    </w:p>
    <w:p w:rsidR="00DF17E9" w:rsidRDefault="00DF17E9" w:rsidP="00044843">
      <w:pPr>
        <w:sectPr w:rsidR="00DF17E9" w:rsidSect="00044843">
          <w:type w:val="continuous"/>
          <w:pgSz w:w="11906" w:h="16838" w:code="9"/>
          <w:pgMar w:top="1134" w:right="1134" w:bottom="1134" w:left="1134" w:header="624" w:footer="567" w:gutter="0"/>
          <w:cols w:num="2" w:space="708"/>
          <w:docGrid w:linePitch="360"/>
        </w:sectPr>
      </w:pPr>
    </w:p>
    <w:p w:rsidR="00DF17E9" w:rsidRPr="00567AB3" w:rsidRDefault="00DF17E9" w:rsidP="00AD5BA9">
      <w:pPr>
        <w:pStyle w:val="Chapterheading"/>
      </w:pPr>
      <w:bookmarkStart w:id="102" w:name="_Toc462865849"/>
      <w:r>
        <w:lastRenderedPageBreak/>
        <w:t xml:space="preserve">Appendix A – </w:t>
      </w:r>
      <w:r w:rsidRPr="00AD5BA9">
        <w:t>General</w:t>
      </w:r>
      <w:r w:rsidRPr="00567AB3">
        <w:t xml:space="preserve"> government sector quarterly financial report</w:t>
      </w:r>
      <w:bookmarkEnd w:id="102"/>
    </w:p>
    <w:p w:rsidR="00DF17E9" w:rsidRPr="003005DF" w:rsidRDefault="00DF17E9" w:rsidP="00044843">
      <w:pPr>
        <w:pStyle w:val="Subheading"/>
        <w:rPr>
          <w:bCs/>
          <w:lang w:val="en-US"/>
        </w:rPr>
      </w:pPr>
      <w:r>
        <w:t>Table A.1: Operating statement for the past five quarters</w:t>
      </w:r>
      <w:r>
        <w:tab/>
      </w:r>
      <w:r w:rsidRPr="00B32BD5">
        <w:rPr>
          <w:sz w:val="19"/>
          <w:szCs w:val="19"/>
        </w:rPr>
        <w:t>($ million)</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907"/>
      </w:tblGrid>
      <w:tr w:rsidR="007D5401" w:rsidRPr="003005DF" w:rsidTr="00933E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vMerge w:val="restart"/>
          </w:tcPr>
          <w:p w:rsidR="007D5401" w:rsidRPr="003005DF" w:rsidRDefault="007D5401" w:rsidP="00044843">
            <w:pPr>
              <w:spacing w:after="0"/>
              <w:rPr>
                <w:color w:val="FFFFFF"/>
                <w:sz w:val="16"/>
              </w:rPr>
            </w:pPr>
            <w:r w:rsidRPr="003005DF">
              <w:rPr>
                <w:color w:val="FFFFFF"/>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vMerge w:val="restart"/>
          </w:tcPr>
          <w:p w:rsidR="007D5401" w:rsidRPr="003005DF" w:rsidRDefault="007D5401" w:rsidP="007D5401">
            <w:pPr>
              <w:spacing w:after="0"/>
              <w:rPr>
                <w:color w:val="FFFFFF"/>
                <w:sz w:val="16"/>
              </w:rPr>
            </w:pPr>
            <w:r w:rsidRPr="003005DF">
              <w:rPr>
                <w:color w:val="FFFFFF"/>
                <w:sz w:val="16"/>
              </w:rPr>
              <w:t>2014-15</w:t>
            </w:r>
            <w:r>
              <w:rPr>
                <w:color w:val="FFFFFF"/>
                <w:sz w:val="16"/>
              </w:rPr>
              <w:t xml:space="preserve"> </w:t>
            </w:r>
            <w:r w:rsidRPr="003005DF">
              <w:rPr>
                <w:color w:val="FFFFFF"/>
                <w:sz w:val="16"/>
              </w:rPr>
              <w:t>Jun</w:t>
            </w:r>
          </w:p>
        </w:tc>
        <w:tc>
          <w:tcPr>
            <w:tcW w:w="3628" w:type="dxa"/>
            <w:gridSpan w:val="4"/>
          </w:tcPr>
          <w:p w:rsidR="007D5401" w:rsidRPr="003005DF" w:rsidRDefault="007D5401" w:rsidP="007D5401">
            <w:pPr>
              <w:spacing w:after="0"/>
              <w:jc w:val="center"/>
              <w:cnfStyle w:val="100000000000" w:firstRow="1" w:lastRow="0" w:firstColumn="0" w:lastColumn="0" w:oddVBand="0" w:evenVBand="0" w:oddHBand="0" w:evenHBand="0" w:firstRowFirstColumn="0" w:firstRowLastColumn="0" w:lastRowFirstColumn="0" w:lastRowLastColumn="0"/>
              <w:rPr>
                <w:color w:val="FFFFFF"/>
                <w:sz w:val="16"/>
              </w:rPr>
            </w:pPr>
            <w:r w:rsidRPr="003005DF">
              <w:rPr>
                <w:color w:val="FFFFFF"/>
                <w:sz w:val="16"/>
              </w:rPr>
              <w:t>2015-16</w:t>
            </w:r>
          </w:p>
        </w:tc>
      </w:tr>
      <w:tr w:rsidR="007D5401" w:rsidRPr="003005DF"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vMerge/>
          </w:tcPr>
          <w:p w:rsidR="007D5401" w:rsidRPr="003005DF" w:rsidRDefault="007D5401" w:rsidP="00044843">
            <w:pPr>
              <w:spacing w:after="0"/>
              <w:rPr>
                <w:color w:val="FFFFFF"/>
                <w:sz w:val="16"/>
              </w:rPr>
            </w:pPr>
          </w:p>
        </w:tc>
        <w:tc>
          <w:tcPr>
            <w:cnfStyle w:val="000010000000" w:firstRow="0" w:lastRow="0" w:firstColumn="0" w:lastColumn="0" w:oddVBand="1" w:evenVBand="0" w:oddHBand="0" w:evenHBand="0" w:firstRowFirstColumn="0" w:firstRowLastColumn="0" w:lastRowFirstColumn="0" w:lastRowLastColumn="0"/>
            <w:tcW w:w="907" w:type="dxa"/>
            <w:vMerge/>
          </w:tcPr>
          <w:p w:rsidR="007D5401" w:rsidRPr="003005DF" w:rsidRDefault="007D5401" w:rsidP="00044843">
            <w:pPr>
              <w:spacing w:after="0"/>
              <w:rPr>
                <w:color w:val="FFFFFF"/>
                <w:sz w:val="16"/>
              </w:rPr>
            </w:pPr>
          </w:p>
        </w:tc>
        <w:tc>
          <w:tcPr>
            <w:tcW w:w="907" w:type="dxa"/>
          </w:tcPr>
          <w:p w:rsidR="007D5401" w:rsidRPr="003005DF" w:rsidRDefault="007D5401"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3005DF">
              <w:rPr>
                <w:color w:val="FFFFFF"/>
                <w:sz w:val="16"/>
              </w:rPr>
              <w:t>Sep</w:t>
            </w:r>
          </w:p>
        </w:tc>
        <w:tc>
          <w:tcPr>
            <w:cnfStyle w:val="000010000000" w:firstRow="0" w:lastRow="0" w:firstColumn="0" w:lastColumn="0" w:oddVBand="1" w:evenVBand="0" w:oddHBand="0" w:evenHBand="0" w:firstRowFirstColumn="0" w:firstRowLastColumn="0" w:lastRowFirstColumn="0" w:lastRowLastColumn="0"/>
            <w:tcW w:w="907" w:type="dxa"/>
          </w:tcPr>
          <w:p w:rsidR="007D5401" w:rsidRPr="003005DF" w:rsidRDefault="007D5401" w:rsidP="00044843">
            <w:pPr>
              <w:spacing w:after="0"/>
              <w:rPr>
                <w:color w:val="FFFFFF"/>
                <w:sz w:val="16"/>
              </w:rPr>
            </w:pPr>
            <w:r w:rsidRPr="003005DF">
              <w:rPr>
                <w:color w:val="FFFFFF"/>
                <w:sz w:val="16"/>
              </w:rPr>
              <w:t>Dec</w:t>
            </w:r>
          </w:p>
        </w:tc>
        <w:tc>
          <w:tcPr>
            <w:tcW w:w="907" w:type="dxa"/>
          </w:tcPr>
          <w:p w:rsidR="007D5401" w:rsidRPr="003005DF" w:rsidRDefault="007D5401" w:rsidP="00044843">
            <w:pPr>
              <w:spacing w:after="0"/>
              <w:cnfStyle w:val="100000000000" w:firstRow="1" w:lastRow="0" w:firstColumn="0" w:lastColumn="0" w:oddVBand="0" w:evenVBand="0" w:oddHBand="0" w:evenHBand="0" w:firstRowFirstColumn="0" w:firstRowLastColumn="0" w:lastRowFirstColumn="0" w:lastRowLastColumn="0"/>
              <w:rPr>
                <w:color w:val="FFFFFF"/>
                <w:sz w:val="16"/>
              </w:rPr>
            </w:pPr>
            <w:r w:rsidRPr="003005DF">
              <w:rPr>
                <w:color w:val="FFFFFF"/>
                <w:sz w:val="16"/>
              </w:rPr>
              <w:t>Mar</w:t>
            </w:r>
          </w:p>
        </w:tc>
        <w:tc>
          <w:tcPr>
            <w:cnfStyle w:val="000010000000" w:firstRow="0" w:lastRow="0" w:firstColumn="0" w:lastColumn="0" w:oddVBand="1" w:evenVBand="0" w:oddHBand="0" w:evenHBand="0" w:firstRowFirstColumn="0" w:firstRowLastColumn="0" w:lastRowFirstColumn="0" w:lastRowLastColumn="0"/>
            <w:tcW w:w="907" w:type="dxa"/>
          </w:tcPr>
          <w:p w:rsidR="007D5401" w:rsidRPr="003005DF" w:rsidRDefault="007D5401" w:rsidP="00044843">
            <w:pPr>
              <w:spacing w:after="0"/>
              <w:rPr>
                <w:color w:val="FFFFFF"/>
                <w:sz w:val="16"/>
              </w:rPr>
            </w:pPr>
            <w:r w:rsidRPr="003005DF">
              <w:rPr>
                <w:color w:val="FFFFFF"/>
                <w:sz w:val="16"/>
              </w:rPr>
              <w:t xml:space="preserve">Jun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b/>
                <w:color w:val="000000"/>
                <w:sz w:val="16"/>
              </w:rPr>
              <w:t>Revenue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Taxation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4 098</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5 061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4 615</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5 866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4 353</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Interest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219</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203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190</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186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206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Dividends and income tax equivalent and rate equivalent revenue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383</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59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392</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108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288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Sales of goods and services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1 439</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1 661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1 671</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1 461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1 879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spacing w:after="0"/>
              <w:rPr>
                <w:color w:val="000000"/>
                <w:sz w:val="16"/>
              </w:rPr>
            </w:pPr>
            <w:r w:rsidRPr="003005DF">
              <w:rPr>
                <w:color w:val="000000"/>
                <w:sz w:val="16"/>
              </w:rPr>
              <w:t>Grant revenue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color w:val="000000"/>
                <w:sz w:val="16"/>
              </w:rPr>
            </w:pPr>
            <w:r w:rsidRPr="003005DF">
              <w:rPr>
                <w:color w:val="000000"/>
                <w:sz w:val="16"/>
              </w:rPr>
              <w:t>6 039</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6 010</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color w:val="000000"/>
                <w:sz w:val="16"/>
              </w:rPr>
            </w:pPr>
            <w:r w:rsidRPr="003005DF">
              <w:rPr>
                <w:color w:val="000000"/>
                <w:sz w:val="16"/>
              </w:rPr>
              <w:t>6 291</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6 878</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color w:val="000000"/>
                <w:sz w:val="16"/>
              </w:rPr>
            </w:pPr>
            <w:r w:rsidRPr="003005DF">
              <w:rPr>
                <w:color w:val="000000"/>
                <w:sz w:val="16"/>
              </w:rPr>
              <w:t>6 227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Other revenue</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857</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564</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1 162</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489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892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Total revenue from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13 035</w:t>
            </w:r>
          </w:p>
        </w:tc>
        <w:tc>
          <w:tcPr>
            <w:tcW w:w="907" w:type="dxa"/>
            <w:tcBorders>
              <w:top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13 559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14 321</w:t>
            </w:r>
          </w:p>
        </w:tc>
        <w:tc>
          <w:tcPr>
            <w:tcW w:w="907" w:type="dxa"/>
            <w:tcBorders>
              <w:top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14 989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13 847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b/>
                <w:color w:val="000000"/>
                <w:sz w:val="16"/>
              </w:rPr>
              <w:t>Expenses from transactions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Employee expenses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4 887</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4 768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4 997</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4 870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5 367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Net superannuation 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276</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223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218</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218</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218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Other superannuation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461</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554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606</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475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488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Depreciation</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616</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605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595</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606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698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Interest expense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543</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513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521</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520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522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spacing w:after="0"/>
              <w:rPr>
                <w:color w:val="000000"/>
                <w:sz w:val="16"/>
              </w:rPr>
            </w:pPr>
            <w:r w:rsidRPr="003005DF">
              <w:rPr>
                <w:color w:val="000000"/>
                <w:sz w:val="16"/>
              </w:rPr>
              <w:t>Grant expense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color w:val="000000"/>
                <w:sz w:val="16"/>
              </w:rPr>
            </w:pPr>
            <w:r w:rsidRPr="003005DF">
              <w:rPr>
                <w:color w:val="000000"/>
                <w:sz w:val="16"/>
              </w:rPr>
              <w:t>1 753</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2 172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color w:val="000000"/>
                <w:sz w:val="16"/>
              </w:rPr>
            </w:pPr>
            <w:r w:rsidRPr="003005DF">
              <w:rPr>
                <w:color w:val="000000"/>
                <w:sz w:val="16"/>
              </w:rPr>
              <w:t>2 143</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2 672</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color w:val="000000"/>
                <w:sz w:val="16"/>
              </w:rPr>
            </w:pPr>
            <w:r w:rsidRPr="003005DF">
              <w:rPr>
                <w:color w:val="000000"/>
                <w:sz w:val="16"/>
              </w:rPr>
              <w:t>1 577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Other operating expenses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5 157</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4 204</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4 253</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3 899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5 549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Total expenses from transactions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13 693</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13 040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13 333</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13 260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14 418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3005DF" w:rsidRDefault="00DF17E9" w:rsidP="00044843">
            <w:pPr>
              <w:spacing w:after="0"/>
              <w:rPr>
                <w:color w:val="000000"/>
                <w:sz w:val="16"/>
              </w:rPr>
            </w:pPr>
            <w:r w:rsidRPr="003005DF">
              <w:rPr>
                <w:b/>
                <w:color w:val="000000"/>
                <w:sz w:val="16"/>
              </w:rPr>
              <w:t>Net result from transactions – net operating balance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(658)</w:t>
            </w:r>
          </w:p>
        </w:tc>
        <w:tc>
          <w:tcPr>
            <w:tcW w:w="907" w:type="dxa"/>
            <w:tcBorders>
              <w:top w:val="single" w:sz="6" w:space="0" w:color="auto"/>
              <w:bottom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519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988</w:t>
            </w:r>
          </w:p>
        </w:tc>
        <w:tc>
          <w:tcPr>
            <w:tcW w:w="907" w:type="dxa"/>
            <w:tcBorders>
              <w:top w:val="single" w:sz="6" w:space="0" w:color="auto"/>
              <w:bottom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1 729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(572)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12" w:space="0" w:color="auto"/>
            </w:tcBorders>
          </w:tcPr>
          <w:p w:rsidR="00DF17E9" w:rsidRPr="003005DF" w:rsidRDefault="00DF17E9" w:rsidP="00044843">
            <w:pPr>
              <w:spacing w:after="0"/>
              <w:rPr>
                <w:color w:val="000000"/>
                <w:sz w:val="16"/>
              </w:rPr>
            </w:pPr>
            <w:r w:rsidRPr="003005DF">
              <w:rPr>
                <w:b/>
                <w:color w:val="000000"/>
                <w:sz w:val="16"/>
              </w:rPr>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spacing w:after="0"/>
              <w:rPr>
                <w:color w:val="000000"/>
                <w:sz w:val="16"/>
              </w:rPr>
            </w:pPr>
            <w:r w:rsidRPr="003005DF">
              <w:rPr>
                <w:b/>
                <w:color w:val="000000"/>
                <w:sz w:val="16"/>
              </w:rPr>
              <w:t xml:space="preserve"> </w:t>
            </w:r>
          </w:p>
        </w:tc>
        <w:tc>
          <w:tcPr>
            <w:tcW w:w="907" w:type="dxa"/>
            <w:tcBorders>
              <w:top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spacing w:after="0"/>
              <w:rPr>
                <w:color w:val="000000"/>
                <w:sz w:val="16"/>
              </w:rPr>
            </w:pPr>
            <w:r w:rsidRPr="003005DF">
              <w:rPr>
                <w:b/>
                <w:color w:val="000000"/>
                <w:sz w:val="16"/>
              </w:rPr>
              <w:t xml:space="preserve"> </w:t>
            </w:r>
          </w:p>
        </w:tc>
        <w:tc>
          <w:tcPr>
            <w:tcW w:w="907" w:type="dxa"/>
            <w:tcBorders>
              <w:top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Net gain/(loss) on disposal of non-financial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(15)</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24</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(141)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Net gain/(loss) on financial assets or liabilities at fair value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(28)</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(29)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9</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733FFF">
            <w:pPr>
              <w:spacing w:after="0"/>
              <w:ind w:left="113" w:hanging="113"/>
              <w:rPr>
                <w:color w:val="000000"/>
                <w:sz w:val="16"/>
              </w:rPr>
            </w:pPr>
            <w:r w:rsidRPr="003005DF">
              <w:rPr>
                <w:color w:val="000000"/>
                <w:sz w:val="16"/>
              </w:rPr>
              <w:t>Share of net profit/(loss) from associates/joint venture entities, excluding dividends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color w:val="000000"/>
                <w:sz w:val="16"/>
              </w:rPr>
              <w:t>(3)</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color w:val="000000"/>
                <w:sz w:val="16"/>
              </w:rPr>
              <w:t>2</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color w:val="000000"/>
                <w:sz w:val="16"/>
              </w:rPr>
              <w:t>(6)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(53)</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(124)</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(136)</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(125)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(303)</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(99)</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(166)</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(101)</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(150)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(429)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Net result</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(757)</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353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887</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1 579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(1 001)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 xml:space="preserve"> </w:t>
            </w:r>
          </w:p>
        </w:tc>
        <w:tc>
          <w:tcPr>
            <w:tcW w:w="907" w:type="dxa"/>
            <w:tcBorders>
              <w:top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 xml:space="preserve"> </w:t>
            </w:r>
          </w:p>
        </w:tc>
        <w:tc>
          <w:tcPr>
            <w:tcW w:w="907" w:type="dxa"/>
            <w:tcBorders>
              <w:top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b/>
                <w:color w:val="000000"/>
                <w:sz w:val="16"/>
              </w:rPr>
              <w:t>Items that will not be reclassified to net result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Changes in non-financial assets revaluation surplus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2 601</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32</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(24)</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(30)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6 258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color w:val="000000"/>
                <w:sz w:val="16"/>
              </w:rPr>
              <w:t>Remeasurement of superannuation defined benefits plans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4 987</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(1 934)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color w:val="000000"/>
                <w:sz w:val="16"/>
              </w:rPr>
              <w:t>1 230</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(1 274)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(1 243)</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vertAlign w:val="superscript"/>
              </w:rPr>
            </w:pPr>
            <w:r w:rsidRPr="003005DF">
              <w:rPr>
                <w:color w:val="000000"/>
                <w:sz w:val="16"/>
              </w:rPr>
              <w:t xml:space="preserve">Other movements in equity </w:t>
            </w:r>
            <w:r w:rsidRPr="003005DF">
              <w:rPr>
                <w:color w:val="000000"/>
                <w:sz w:val="16"/>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456</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13</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(38)</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34</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sz w:val="16"/>
              </w:rPr>
            </w:pPr>
            <w:r w:rsidRPr="003005DF">
              <w:rPr>
                <w:color w:val="000000"/>
                <w:sz w:val="16"/>
              </w:rPr>
              <w:t>13</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b/>
                <w:color w:val="000000"/>
                <w:sz w:val="16"/>
              </w:rPr>
              <w:t>Items that may be reclassified subsequently to net result</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spacing w:after="0"/>
              <w:rPr>
                <w:color w:val="000000"/>
                <w:sz w:val="16"/>
              </w:rPr>
            </w:pPr>
            <w:r w:rsidRPr="003005DF">
              <w:rPr>
                <w:color w:val="000000"/>
                <w:sz w:val="16"/>
              </w:rPr>
              <w:t>Net gain/(loss) on financial assets at fair value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color w:val="000000"/>
                <w:sz w:val="16"/>
              </w:rPr>
              <w:t>2</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(3)</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color w:val="000000"/>
                <w:sz w:val="16"/>
              </w:rPr>
              <w:t>(23)</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(27)</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color w:val="000000"/>
                <w:sz w:val="16"/>
              </w:rPr>
              <w:t>(31)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733FFF">
            <w:pPr>
              <w:spacing w:after="0"/>
              <w:ind w:left="113" w:hanging="113"/>
              <w:rPr>
                <w:color w:val="000000"/>
                <w:sz w:val="16"/>
              </w:rPr>
            </w:pPr>
            <w:r w:rsidRPr="003005DF">
              <w:rPr>
                <w:color w:val="000000"/>
                <w:sz w:val="16"/>
              </w:rPr>
              <w:t xml:space="preserve">Net gain/(loss) on equity investments in other sector entities at proportional share of the carrying amount of net assets </w:t>
            </w:r>
            <w:r w:rsidRPr="003005DF">
              <w:rPr>
                <w:color w:val="000000"/>
                <w:sz w:val="16"/>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4 229</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(327)</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color w:val="000000"/>
                <w:sz w:val="16"/>
              </w:rPr>
            </w:pPr>
            <w:r w:rsidRPr="003005DF">
              <w:rPr>
                <w:color w:val="000000"/>
                <w:sz w:val="16"/>
              </w:rPr>
              <w:t>10 860</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 xml:space="preserve">Total other economic flows – other comprehensive income </w:t>
            </w:r>
            <w:r w:rsidRPr="003005DF">
              <w:rPr>
                <w:b/>
                <w:color w:val="000000"/>
                <w:sz w:val="16"/>
                <w:vertAlign w:val="superscript"/>
              </w:rPr>
              <w:t>(a)</w:t>
            </w:r>
            <w:r w:rsidRPr="003005DF">
              <w:rPr>
                <w:b/>
                <w:sz w:val="16"/>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12 274</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(1 892)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sz w:val="16"/>
              </w:rPr>
            </w:pPr>
            <w:r w:rsidRPr="003005DF">
              <w:rPr>
                <w:b/>
                <w:color w:val="000000"/>
                <w:sz w:val="16"/>
              </w:rPr>
              <w:t>817</w:t>
            </w:r>
          </w:p>
        </w:tc>
        <w:tc>
          <w:tcPr>
            <w:tcW w:w="907" w:type="dxa"/>
            <w:tcBorders>
              <w:top w:val="single" w:sz="6" w:space="0" w:color="auto"/>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(1 297)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spacing w:after="0"/>
              <w:rPr>
                <w:color w:val="000000"/>
                <w:sz w:val="16"/>
              </w:rPr>
            </w:pPr>
            <w:r w:rsidRPr="003005DF">
              <w:rPr>
                <w:b/>
                <w:color w:val="000000"/>
                <w:sz w:val="16"/>
              </w:rPr>
              <w:t>15 857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 xml:space="preserve">Comprehensive result – total change in net worth </w:t>
            </w:r>
            <w:r w:rsidRPr="003005DF">
              <w:rPr>
                <w:b/>
                <w:color w:val="000000"/>
                <w:sz w:val="16"/>
                <w:vertAlign w:val="superscript"/>
              </w:rPr>
              <w:t>(a)</w:t>
            </w:r>
            <w:r w:rsidRPr="003005DF">
              <w:rPr>
                <w:b/>
                <w:sz w:val="16"/>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color w:val="000000"/>
                <w:sz w:val="16"/>
              </w:rPr>
            </w:pPr>
            <w:r w:rsidRPr="003005DF">
              <w:rPr>
                <w:b/>
                <w:color w:val="000000"/>
                <w:sz w:val="16"/>
              </w:rPr>
              <w:t>11 518</w:t>
            </w:r>
          </w:p>
        </w:tc>
        <w:tc>
          <w:tcPr>
            <w:tcW w:w="907" w:type="dxa"/>
            <w:tcBorders>
              <w:top w:val="single" w:sz="6" w:space="0" w:color="auto"/>
              <w:bottom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(1 539)</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color w:val="000000"/>
                <w:sz w:val="16"/>
              </w:rPr>
            </w:pPr>
            <w:r w:rsidRPr="003005DF">
              <w:rPr>
                <w:b/>
                <w:color w:val="000000"/>
                <w:sz w:val="16"/>
              </w:rPr>
              <w:t>1 704</w:t>
            </w:r>
          </w:p>
        </w:tc>
        <w:tc>
          <w:tcPr>
            <w:tcW w:w="907" w:type="dxa"/>
            <w:tcBorders>
              <w:top w:val="single" w:sz="6" w:space="0" w:color="auto"/>
              <w:bottom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282</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color w:val="000000"/>
                <w:sz w:val="16"/>
              </w:rPr>
            </w:pPr>
            <w:r w:rsidRPr="003005DF">
              <w:rPr>
                <w:b/>
                <w:color w:val="000000"/>
                <w:sz w:val="16"/>
              </w:rPr>
              <w:t>14 856</w:t>
            </w:r>
          </w:p>
        </w:tc>
      </w:tr>
      <w:tr w:rsidR="00DF17E9" w:rsidRPr="003005DF"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single" w:sz="12" w:space="0" w:color="auto"/>
            </w:tcBorders>
          </w:tcPr>
          <w:p w:rsidR="00DF17E9" w:rsidRPr="003005DF" w:rsidRDefault="00DF17E9" w:rsidP="00044843">
            <w:pPr>
              <w:spacing w:after="0"/>
              <w:rPr>
                <w:color w:val="000000"/>
                <w:sz w:val="16"/>
              </w:rPr>
            </w:pPr>
            <w:r w:rsidRPr="003005DF">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spacing w:after="0"/>
              <w:rPr>
                <w:color w:val="000000"/>
                <w:sz w:val="16"/>
              </w:rPr>
            </w:pPr>
            <w:r w:rsidRPr="003005DF">
              <w:rPr>
                <w:color w:val="000000"/>
                <w:sz w:val="16"/>
              </w:rPr>
              <w:t xml:space="preserve"> </w:t>
            </w:r>
          </w:p>
        </w:tc>
        <w:tc>
          <w:tcPr>
            <w:tcW w:w="907" w:type="dxa"/>
            <w:tcBorders>
              <w:top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spacing w:after="0"/>
              <w:rPr>
                <w:color w:val="000000"/>
                <w:sz w:val="16"/>
              </w:rPr>
            </w:pPr>
            <w:r w:rsidRPr="003005DF">
              <w:rPr>
                <w:color w:val="000000"/>
                <w:sz w:val="16"/>
              </w:rPr>
              <w:t xml:space="preserve"> </w:t>
            </w:r>
          </w:p>
        </w:tc>
        <w:tc>
          <w:tcPr>
            <w:tcW w:w="907" w:type="dxa"/>
            <w:tcBorders>
              <w:top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spacing w:after="0"/>
              <w:rPr>
                <w:color w:val="000000"/>
                <w:sz w:val="16"/>
              </w:rPr>
            </w:pPr>
            <w:r w:rsidRPr="003005DF">
              <w:rPr>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spacing w:after="0"/>
              <w:rPr>
                <w:color w:val="000000"/>
                <w:sz w:val="16"/>
              </w:rPr>
            </w:pPr>
            <w:r w:rsidRPr="003005DF">
              <w:rPr>
                <w:b/>
                <w:color w:val="000000"/>
                <w:sz w:val="16"/>
              </w:rPr>
              <w:t>KEY FISCAL AGGREGATES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c>
          <w:tcPr>
            <w:tcW w:w="907" w:type="dxa"/>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spacing w:after="0"/>
              <w:rPr>
                <w:color w:val="000000"/>
                <w:sz w:val="16"/>
              </w:rPr>
            </w:pPr>
            <w:r w:rsidRPr="003005DF">
              <w:rPr>
                <w:b/>
                <w:color w:val="000000"/>
                <w:sz w:val="16"/>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spacing w:after="0"/>
              <w:rPr>
                <w:color w:val="000000"/>
                <w:sz w:val="16"/>
              </w:rPr>
            </w:pPr>
            <w:r w:rsidRPr="003005DF">
              <w:rPr>
                <w:b/>
                <w:color w:val="000000"/>
                <w:sz w:val="16"/>
              </w:rPr>
              <w:t>Net operating balance</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b/>
                <w:color w:val="000000"/>
                <w:sz w:val="16"/>
              </w:rPr>
              <w:t>(658)</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519</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b/>
                <w:color w:val="000000"/>
                <w:sz w:val="16"/>
              </w:rPr>
              <w:t>988</w:t>
            </w:r>
          </w:p>
        </w:tc>
        <w:tc>
          <w:tcPr>
            <w:tcW w:w="907" w:type="dxa"/>
            <w:tcBorders>
              <w:bottom w:val="nil"/>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1 729</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spacing w:after="0"/>
              <w:rPr>
                <w:sz w:val="16"/>
              </w:rPr>
            </w:pPr>
            <w:r w:rsidRPr="003005DF">
              <w:rPr>
                <w:b/>
                <w:color w:val="000000"/>
                <w:sz w:val="16"/>
              </w:rPr>
              <w:t>(572)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spacing w:after="0"/>
              <w:rPr>
                <w:color w:val="000000"/>
                <w:sz w:val="16"/>
                <w:vertAlign w:val="superscript"/>
              </w:rPr>
            </w:pPr>
            <w:r w:rsidRPr="003005DF">
              <w:rPr>
                <w:color w:val="000000"/>
                <w:sz w:val="16"/>
              </w:rPr>
              <w:t xml:space="preserve">Less: Net acquisition of non-financial assets from transactions </w:t>
            </w:r>
            <w:r w:rsidRPr="003005DF">
              <w:rPr>
                <w:color w:val="000000"/>
                <w:sz w:val="16"/>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339</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82</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280</w:t>
            </w:r>
          </w:p>
        </w:tc>
        <w:tc>
          <w:tcPr>
            <w:tcW w:w="907" w:type="dxa"/>
            <w:tcBorders>
              <w:bottom w:val="single" w:sz="6"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color w:val="000000"/>
                <w:sz w:val="16"/>
              </w:rPr>
              <w:t>189</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spacing w:after="0"/>
              <w:rPr>
                <w:sz w:val="16"/>
              </w:rPr>
            </w:pPr>
            <w:r w:rsidRPr="003005DF">
              <w:rPr>
                <w:color w:val="000000"/>
                <w:sz w:val="16"/>
              </w:rPr>
              <w:t>236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3005DF" w:rsidRDefault="00DF17E9" w:rsidP="00044843">
            <w:pPr>
              <w:spacing w:after="0"/>
              <w:rPr>
                <w:color w:val="000000"/>
                <w:sz w:val="16"/>
                <w:vertAlign w:val="superscript"/>
              </w:rPr>
            </w:pPr>
            <w:r w:rsidRPr="003005DF">
              <w:rPr>
                <w:b/>
                <w:color w:val="000000"/>
                <w:sz w:val="16"/>
              </w:rPr>
              <w:t xml:space="preserve">Net lending/(borrowing) </w:t>
            </w:r>
            <w:r w:rsidRPr="003005DF">
              <w:rPr>
                <w:b/>
                <w:color w:val="000000"/>
                <w:sz w:val="16"/>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(997)</w:t>
            </w:r>
          </w:p>
        </w:tc>
        <w:tc>
          <w:tcPr>
            <w:tcW w:w="907" w:type="dxa"/>
            <w:tcBorders>
              <w:top w:val="single" w:sz="6" w:space="0" w:color="auto"/>
              <w:bottom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sz w:val="16"/>
              </w:rPr>
            </w:pPr>
            <w:r w:rsidRPr="003005DF">
              <w:rPr>
                <w:b/>
                <w:color w:val="000000"/>
                <w:sz w:val="16"/>
              </w:rPr>
              <w:t>437</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708</w:t>
            </w:r>
          </w:p>
        </w:tc>
        <w:tc>
          <w:tcPr>
            <w:tcW w:w="907" w:type="dxa"/>
            <w:tcBorders>
              <w:top w:val="single" w:sz="6" w:space="0" w:color="auto"/>
              <w:bottom w:val="single" w:sz="12" w:space="0" w:color="auto"/>
            </w:tcBorders>
          </w:tcPr>
          <w:p w:rsidR="00DF17E9" w:rsidRPr="003005DF" w:rsidRDefault="00DF17E9" w:rsidP="00044843">
            <w:pPr>
              <w:spacing w:after="0"/>
              <w:cnfStyle w:val="000000000000" w:firstRow="0" w:lastRow="0" w:firstColumn="0" w:lastColumn="0" w:oddVBand="0" w:evenVBand="0" w:oddHBand="0" w:evenHBand="0" w:firstRowFirstColumn="0" w:firstRowLastColumn="0" w:lastRowFirstColumn="0" w:lastRowLastColumn="0"/>
              <w:rPr>
                <w:color w:val="000000"/>
                <w:sz w:val="16"/>
              </w:rPr>
            </w:pPr>
            <w:r w:rsidRPr="003005DF">
              <w:rPr>
                <w:b/>
                <w:color w:val="000000"/>
                <w:sz w:val="16"/>
              </w:rPr>
              <w:t>1 540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spacing w:after="0"/>
              <w:rPr>
                <w:sz w:val="16"/>
              </w:rPr>
            </w:pPr>
            <w:r w:rsidRPr="003005DF">
              <w:rPr>
                <w:b/>
                <w:color w:val="000000"/>
                <w:sz w:val="16"/>
              </w:rPr>
              <w:t>(808)</w:t>
            </w:r>
          </w:p>
        </w:tc>
      </w:tr>
    </w:tbl>
    <w:p w:rsidR="00DF17E9" w:rsidRDefault="00DF17E9" w:rsidP="00044843">
      <w:pPr>
        <w:pStyle w:val="Note"/>
      </w:pPr>
      <w:r w:rsidRPr="00E748F6">
        <w:t>Note</w:t>
      </w:r>
      <w:r>
        <w:t>s</w:t>
      </w:r>
      <w:r w:rsidRPr="00A947E5">
        <w:t>:</w:t>
      </w:r>
    </w:p>
    <w:p w:rsidR="00DF17E9" w:rsidRPr="00E56BA6" w:rsidRDefault="00DF17E9" w:rsidP="00044843">
      <w:pPr>
        <w:pStyle w:val="Note"/>
      </w:pPr>
      <w:r w:rsidRPr="00E56BA6">
        <w:t>(a)</w:t>
      </w:r>
      <w:r w:rsidRPr="00E56BA6">
        <w:tab/>
        <w:t>June 2015 comparative figures have been restated to finalise the allocation of equity balances between contributed capital and accumulated funds related to prior year machinery of government changes.</w:t>
      </w:r>
    </w:p>
    <w:p w:rsidR="00DF17E9" w:rsidRPr="00E56BA6" w:rsidRDefault="00DF17E9" w:rsidP="00044843">
      <w:pPr>
        <w:pStyle w:val="Note"/>
      </w:pPr>
      <w:r w:rsidRPr="00E56BA6">
        <w:t xml:space="preserve">(b) </w:t>
      </w:r>
      <w:r w:rsidRPr="00E56BA6">
        <w:tab/>
        <w:t>June 2015 and December 2015 comparative figures have been restated to reflect an adjustment to Coliban Water’s deferred tax liability balances in the PNFC sector attributable to a change in valuation policy in 2015-16.</w:t>
      </w:r>
    </w:p>
    <w:p w:rsidR="00DF17E9" w:rsidRPr="003005DF" w:rsidRDefault="00DF17E9" w:rsidP="00044843">
      <w:pPr>
        <w:pStyle w:val="Subheading"/>
        <w:rPr>
          <w:bCs/>
          <w:lang w:val="en-US"/>
        </w:rPr>
      </w:pPr>
      <w:r>
        <w:lastRenderedPageBreak/>
        <w:t>Table A.2: Balance sheet as at the end of the past five quarters</w:t>
      </w:r>
      <w:r>
        <w:tab/>
      </w:r>
      <w:r w:rsidRPr="003005DF">
        <w:rPr>
          <w:rStyle w:val="TableUnitsChar"/>
        </w:rPr>
        <w:t>($ million)</w:t>
      </w:r>
    </w:p>
    <w:tbl>
      <w:tblPr>
        <w:tblStyle w:val="TableDTFGeneral"/>
        <w:tblW w:w="9637" w:type="dxa"/>
        <w:tblLayout w:type="fixed"/>
        <w:tblLook w:val="02A0" w:firstRow="1" w:lastRow="0" w:firstColumn="1" w:lastColumn="0" w:noHBand="1" w:noVBand="0"/>
      </w:tblPr>
      <w:tblGrid>
        <w:gridCol w:w="5102"/>
        <w:gridCol w:w="907"/>
        <w:gridCol w:w="907"/>
        <w:gridCol w:w="907"/>
        <w:gridCol w:w="907"/>
        <w:gridCol w:w="88"/>
        <w:gridCol w:w="283"/>
        <w:gridCol w:w="284"/>
        <w:gridCol w:w="252"/>
      </w:tblGrid>
      <w:tr w:rsidR="00DF17E9" w:rsidRPr="003005DF"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FFFFFF"/>
              </w:rPr>
            </w:pPr>
            <w:r w:rsidRPr="003005DF">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FFFFFF"/>
              </w:rPr>
            </w:pPr>
            <w:r w:rsidRPr="003005DF">
              <w:rPr>
                <w:color w:val="FFFFFF"/>
              </w:rPr>
              <w:t>2014-15</w:t>
            </w:r>
          </w:p>
        </w:tc>
        <w:tc>
          <w:tcPr>
            <w:tcW w:w="2809" w:type="dxa"/>
            <w:gridSpan w:val="4"/>
          </w:tcPr>
          <w:p w:rsidR="00DF17E9" w:rsidRPr="003005DF" w:rsidRDefault="00DF17E9" w:rsidP="00044843">
            <w:pPr>
              <w:ind w:firstLine="1073"/>
              <w:jc w:val="cente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2015-16</w:t>
            </w:r>
          </w:p>
        </w:tc>
        <w:tc>
          <w:tcPr>
            <w:cnfStyle w:val="000010000000" w:firstRow="0" w:lastRow="0" w:firstColumn="0" w:lastColumn="0" w:oddVBand="1" w:evenVBand="0" w:oddHBand="0" w:evenHBand="0" w:firstRowFirstColumn="0" w:firstRowLastColumn="0" w:lastRowFirstColumn="0" w:lastRowLastColumn="0"/>
            <w:tcW w:w="283" w:type="dxa"/>
          </w:tcPr>
          <w:p w:rsidR="00DF17E9" w:rsidRPr="003005DF" w:rsidRDefault="00DF17E9" w:rsidP="00044843">
            <w:pPr>
              <w:jc w:val="center"/>
              <w:rPr>
                <w:color w:val="FFFFFF"/>
              </w:rPr>
            </w:pPr>
            <w:r w:rsidRPr="003005DF">
              <w:rPr>
                <w:color w:val="FFFFFF"/>
              </w:rPr>
              <w:t xml:space="preserve"> </w:t>
            </w:r>
          </w:p>
        </w:tc>
        <w:tc>
          <w:tcPr>
            <w:tcW w:w="284" w:type="dxa"/>
          </w:tcPr>
          <w:p w:rsidR="00DF17E9" w:rsidRPr="003005DF" w:rsidRDefault="00DF17E9" w:rsidP="00044843">
            <w:pPr>
              <w:jc w:val="cente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52" w:type="dxa"/>
          </w:tcPr>
          <w:p w:rsidR="00DF17E9" w:rsidRPr="003005DF" w:rsidRDefault="00DF17E9" w:rsidP="00044843">
            <w:pPr>
              <w:jc w:val="center"/>
              <w:rPr>
                <w:color w:val="FFFFFF"/>
              </w:rPr>
            </w:pPr>
            <w:r w:rsidRPr="003005DF">
              <w:rPr>
                <w:color w:val="FFFFFF"/>
              </w:rPr>
              <w:t xml:space="preserve"> </w:t>
            </w:r>
          </w:p>
        </w:tc>
      </w:tr>
      <w:tr w:rsidR="00DF17E9" w:rsidRPr="003005DF"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FFFFFF"/>
              </w:rPr>
            </w:pPr>
            <w:r w:rsidRPr="003005DF">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FFFFFF"/>
              </w:rPr>
            </w:pPr>
            <w:r w:rsidRPr="003005DF">
              <w:rPr>
                <w:color w:val="FFFFFF"/>
              </w:rPr>
              <w:t>Jun</w:t>
            </w:r>
          </w:p>
        </w:tc>
        <w:tc>
          <w:tcPr>
            <w:tcW w:w="907" w:type="dxa"/>
          </w:tcPr>
          <w:p w:rsidR="00DF17E9" w:rsidRPr="003005DF"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Sep</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FFFFFF"/>
              </w:rPr>
            </w:pPr>
            <w:r w:rsidRPr="003005DF">
              <w:rPr>
                <w:color w:val="FFFFFF"/>
              </w:rPr>
              <w:t>Dec</w:t>
            </w:r>
          </w:p>
        </w:tc>
        <w:tc>
          <w:tcPr>
            <w:tcW w:w="907" w:type="dxa"/>
          </w:tcPr>
          <w:p w:rsidR="00DF17E9" w:rsidRPr="003005DF" w:rsidRDefault="00DF17E9" w:rsidP="00044843">
            <w:pP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Mar</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FFFFFF"/>
              </w:rPr>
            </w:pPr>
            <w:r w:rsidRPr="003005DF">
              <w:rPr>
                <w:color w:val="FFFFFF"/>
              </w:rPr>
              <w:t>Jun</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b/>
                <w:color w:val="000000"/>
              </w:rPr>
              <w:t>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b/>
                <w:color w:val="000000"/>
              </w:rPr>
              <w:t>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Cash and deposits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4 282</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4 061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4 112</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4 415</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4 772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Advances paid</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4 572</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4 567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4 550</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4 539</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4 582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Receivables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5 555</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5 897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5 907</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6 450</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5 566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Investments, loans and placements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3 406</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3 440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3 389</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3 745</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2 853</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rPr>
                <w:color w:val="000000"/>
              </w:rPr>
            </w:pPr>
            <w:r w:rsidRPr="003005DF">
              <w:rPr>
                <w:color w:val="000000"/>
              </w:rPr>
              <w:t>Investments accounted for using the equity method</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r w:rsidRPr="003005DF">
              <w:rPr>
                <w:color w:val="000000"/>
              </w:rPr>
              <w:t>45</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44</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r w:rsidRPr="003005DF">
              <w:rPr>
                <w:color w:val="000000"/>
              </w:rPr>
              <w:t>44</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44</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nil"/>
            </w:tcBorders>
          </w:tcPr>
          <w:p w:rsidR="00DF17E9" w:rsidRPr="003005DF" w:rsidRDefault="00DF17E9" w:rsidP="00044843">
            <w:r w:rsidRPr="003005DF">
              <w:rPr>
                <w:color w:val="000000"/>
              </w:rPr>
              <w:t>46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rPr>
                <w:color w:val="000000"/>
              </w:rPr>
            </w:pPr>
            <w:r w:rsidRPr="003005DF">
              <w:rPr>
                <w:color w:val="000000"/>
              </w:rPr>
              <w:t xml:space="preserve">Investments in other sector entities </w:t>
            </w:r>
            <w:r w:rsidRPr="003005DF">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rPr>
                <w:color w:val="000000"/>
              </w:rPr>
            </w:pPr>
            <w:r w:rsidRPr="003005DF">
              <w:rPr>
                <w:color w:val="000000"/>
              </w:rPr>
              <w:t>82 262</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82 548</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rPr>
                <w:color w:val="000000"/>
              </w:rPr>
            </w:pPr>
            <w:r w:rsidRPr="003005DF">
              <w:rPr>
                <w:color w:val="000000"/>
              </w:rPr>
              <w:t>82 563</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82 818</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single" w:sz="6" w:space="0" w:color="auto"/>
            </w:tcBorders>
          </w:tcPr>
          <w:p w:rsidR="00DF17E9" w:rsidRPr="003005DF" w:rsidRDefault="00DF17E9" w:rsidP="00044843">
            <w:pPr>
              <w:rPr>
                <w:color w:val="000000"/>
              </w:rPr>
            </w:pPr>
            <w:r w:rsidRPr="003005DF">
              <w:rPr>
                <w:color w:val="000000"/>
              </w:rPr>
              <w:t>94 710</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3005DF" w:rsidRDefault="00DF17E9" w:rsidP="00044843">
            <w:pPr>
              <w:rPr>
                <w:color w:val="000000"/>
              </w:rPr>
            </w:pPr>
            <w:r w:rsidRPr="003005DF">
              <w:rPr>
                <w:b/>
                <w:color w:val="000000"/>
              </w:rPr>
              <w:t xml:space="preserve">Total financial assets </w:t>
            </w:r>
            <w:r w:rsidRPr="003005DF">
              <w:rPr>
                <w:b/>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rPr>
                <w:color w:val="000000"/>
              </w:rPr>
            </w:pPr>
            <w:r w:rsidRPr="003005DF">
              <w:rPr>
                <w:b/>
                <w:color w:val="000000"/>
              </w:rPr>
              <w:t>100 121</w:t>
            </w:r>
          </w:p>
        </w:tc>
        <w:tc>
          <w:tcPr>
            <w:tcW w:w="907"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100 558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rPr>
                <w:color w:val="000000"/>
              </w:rPr>
            </w:pPr>
            <w:r w:rsidRPr="003005DF">
              <w:rPr>
                <w:b/>
                <w:color w:val="000000"/>
              </w:rPr>
              <w:t>100 566</w:t>
            </w:r>
          </w:p>
        </w:tc>
        <w:tc>
          <w:tcPr>
            <w:tcW w:w="907"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102 011</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6" w:space="0" w:color="auto"/>
            </w:tcBorders>
          </w:tcPr>
          <w:p w:rsidR="00DF17E9" w:rsidRPr="003005DF" w:rsidRDefault="00DF17E9" w:rsidP="00044843">
            <w:pPr>
              <w:rPr>
                <w:color w:val="000000"/>
              </w:rPr>
            </w:pPr>
            <w:r w:rsidRPr="003005DF">
              <w:rPr>
                <w:b/>
                <w:color w:val="000000"/>
              </w:rPr>
              <w:t>112 531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b/>
                <w:color w:val="000000"/>
              </w:rPr>
              <w:t>Non-financial assets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Inventories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r w:rsidRPr="003005DF">
              <w:rPr>
                <w:color w:val="000000"/>
              </w:rPr>
              <w:t>144</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146</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r w:rsidRPr="003005DF">
              <w:rPr>
                <w:color w:val="000000"/>
              </w:rPr>
              <w:t>154</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175</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r w:rsidRPr="003005DF">
              <w:rPr>
                <w:color w:val="000000"/>
              </w:rPr>
              <w:t>188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Non-financial assets held for sale</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r w:rsidRPr="003005DF">
              <w:rPr>
                <w:color w:val="000000"/>
              </w:rPr>
              <w:t>175</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169</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r w:rsidRPr="003005DF">
              <w:rPr>
                <w:color w:val="000000"/>
              </w:rPr>
              <w:t>165</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165</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r w:rsidRPr="003005DF">
              <w:rPr>
                <w:color w:val="000000"/>
              </w:rPr>
              <w:t>188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rPr>
                <w:color w:val="000000"/>
                <w:vertAlign w:val="superscript"/>
              </w:rPr>
            </w:pPr>
            <w:r w:rsidRPr="003005DF">
              <w:rPr>
                <w:color w:val="000000"/>
              </w:rPr>
              <w:t xml:space="preserve">Land, buildings, infrastructure, plant and equipment </w:t>
            </w:r>
            <w:r w:rsidRPr="003005DF">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107 562</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107 503</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107 750</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107 948</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nil"/>
            </w:tcBorders>
          </w:tcPr>
          <w:p w:rsidR="00DF17E9" w:rsidRPr="003005DF" w:rsidRDefault="00DF17E9" w:rsidP="00044843">
            <w:pPr>
              <w:rPr>
                <w:color w:val="000000"/>
              </w:rPr>
            </w:pPr>
            <w:r w:rsidRPr="003005DF">
              <w:rPr>
                <w:color w:val="000000"/>
              </w:rPr>
              <w:t>114 254</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rPr>
                <w:color w:val="000000"/>
              </w:rPr>
            </w:pPr>
            <w:r w:rsidRPr="003005DF">
              <w:rPr>
                <w:color w:val="000000"/>
              </w:rPr>
              <w:t>Other non-financial assets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rPr>
                <w:color w:val="000000"/>
              </w:rPr>
            </w:pPr>
            <w:r w:rsidRPr="003005DF">
              <w:rPr>
                <w:color w:val="000000"/>
              </w:rPr>
              <w:t>1 038</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1 215</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pPr>
              <w:rPr>
                <w:color w:val="000000"/>
              </w:rPr>
            </w:pPr>
            <w:r w:rsidRPr="003005DF">
              <w:rPr>
                <w:color w:val="000000"/>
              </w:rPr>
              <w:t>1 195</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1 068</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single" w:sz="6" w:space="0" w:color="auto"/>
            </w:tcBorders>
          </w:tcPr>
          <w:p w:rsidR="00DF17E9" w:rsidRPr="003005DF" w:rsidRDefault="00DF17E9" w:rsidP="00044843">
            <w:pPr>
              <w:rPr>
                <w:color w:val="000000"/>
              </w:rPr>
            </w:pPr>
            <w:r w:rsidRPr="003005DF">
              <w:rPr>
                <w:color w:val="000000"/>
              </w:rPr>
              <w:t>1 081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3005DF" w:rsidRDefault="00DF17E9" w:rsidP="00044843">
            <w:pPr>
              <w:rPr>
                <w:b/>
                <w:color w:val="000000"/>
                <w:vertAlign w:val="superscript"/>
              </w:rPr>
            </w:pPr>
            <w:r w:rsidRPr="003005DF">
              <w:rPr>
                <w:b/>
                <w:color w:val="000000"/>
              </w:rPr>
              <w:t xml:space="preserve">Total non-financial assets </w:t>
            </w:r>
            <w:r w:rsidRPr="003005DF">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rPr>
                <w:color w:val="000000"/>
              </w:rPr>
            </w:pPr>
            <w:r w:rsidRPr="003005DF">
              <w:rPr>
                <w:b/>
                <w:color w:val="000000"/>
              </w:rPr>
              <w:t>108 920</w:t>
            </w:r>
          </w:p>
        </w:tc>
        <w:tc>
          <w:tcPr>
            <w:tcW w:w="907" w:type="dxa"/>
            <w:tcBorders>
              <w:top w:val="single" w:sz="6"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109 033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rPr>
                <w:color w:val="000000"/>
              </w:rPr>
            </w:pPr>
            <w:r w:rsidRPr="003005DF">
              <w:rPr>
                <w:b/>
                <w:color w:val="000000"/>
              </w:rPr>
              <w:t>109 265</w:t>
            </w:r>
          </w:p>
        </w:tc>
        <w:tc>
          <w:tcPr>
            <w:tcW w:w="907" w:type="dxa"/>
            <w:tcBorders>
              <w:top w:val="single" w:sz="6"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109 356</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6" w:space="0" w:color="auto"/>
              <w:bottom w:val="single" w:sz="6" w:space="0" w:color="auto"/>
            </w:tcBorders>
          </w:tcPr>
          <w:p w:rsidR="00DF17E9" w:rsidRPr="003005DF" w:rsidRDefault="00DF17E9" w:rsidP="00044843">
            <w:pPr>
              <w:rPr>
                <w:color w:val="000000"/>
              </w:rPr>
            </w:pPr>
            <w:r w:rsidRPr="003005DF">
              <w:rPr>
                <w:b/>
                <w:color w:val="000000"/>
              </w:rPr>
              <w:t>115 711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tcBorders>
          </w:tcPr>
          <w:p w:rsidR="00DF17E9" w:rsidRPr="003005DF" w:rsidRDefault="00DF17E9" w:rsidP="00044843">
            <w:pPr>
              <w:rPr>
                <w:color w:val="000000"/>
              </w:rPr>
            </w:pPr>
            <w:r w:rsidRPr="003005DF">
              <w:rPr>
                <w:b/>
                <w:color w:val="000000"/>
              </w:rPr>
              <w:t xml:space="preserve">Total assets </w:t>
            </w:r>
            <w:r w:rsidRPr="003005DF">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rPr>
                <w:color w:val="000000"/>
              </w:rPr>
            </w:pPr>
            <w:r w:rsidRPr="003005DF">
              <w:rPr>
                <w:b/>
                <w:color w:val="000000"/>
              </w:rPr>
              <w:t>209 041</w:t>
            </w:r>
          </w:p>
        </w:tc>
        <w:tc>
          <w:tcPr>
            <w:tcW w:w="907"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209 590</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tcBorders>
          </w:tcPr>
          <w:p w:rsidR="00DF17E9" w:rsidRPr="003005DF" w:rsidRDefault="00DF17E9" w:rsidP="00044843">
            <w:pPr>
              <w:rPr>
                <w:color w:val="000000"/>
              </w:rPr>
            </w:pPr>
            <w:r w:rsidRPr="003005DF">
              <w:rPr>
                <w:b/>
                <w:color w:val="000000"/>
              </w:rPr>
              <w:t>209 830</w:t>
            </w:r>
          </w:p>
        </w:tc>
        <w:tc>
          <w:tcPr>
            <w:tcW w:w="907"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211 368</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6" w:space="0" w:color="auto"/>
            </w:tcBorders>
          </w:tcPr>
          <w:p w:rsidR="00DF17E9" w:rsidRPr="003005DF" w:rsidRDefault="00DF17E9" w:rsidP="00044843">
            <w:pPr>
              <w:rPr>
                <w:color w:val="000000"/>
              </w:rPr>
            </w:pPr>
            <w:r w:rsidRPr="003005DF">
              <w:rPr>
                <w:b/>
                <w:color w:val="000000"/>
              </w:rPr>
              <w:t>228 242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 xml:space="preserve">Deposits held and advances received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r w:rsidRPr="003005DF">
              <w:rPr>
                <w:color w:val="000000"/>
              </w:rPr>
              <w:t>518</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471</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r w:rsidRPr="003005DF">
              <w:rPr>
                <w:color w:val="000000"/>
              </w:rPr>
              <w:t>485</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529</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r w:rsidRPr="003005DF">
              <w:rPr>
                <w:color w:val="000000"/>
              </w:rPr>
              <w:t>706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Payables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5 704</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5 355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5 188</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5 413</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5 773</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 xml:space="preserve">Borrowings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34 069</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34 597</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34 301</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34 078</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33 811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color w:val="000000"/>
              </w:rPr>
              <w:t>Employee benefits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5 605</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5 675</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5 769</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5 676</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6 137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rPr>
                <w:color w:val="000000"/>
              </w:rPr>
            </w:pPr>
            <w:r w:rsidRPr="003005DF">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25 947</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27 885</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26 722</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28 032</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nil"/>
            </w:tcBorders>
          </w:tcPr>
          <w:p w:rsidR="00DF17E9" w:rsidRPr="003005DF" w:rsidRDefault="00DF17E9" w:rsidP="00044843">
            <w:pPr>
              <w:rPr>
                <w:color w:val="000000"/>
              </w:rPr>
            </w:pPr>
            <w:r w:rsidRPr="003005DF">
              <w:rPr>
                <w:color w:val="000000"/>
              </w:rPr>
              <w:t>29 291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rPr>
                <w:color w:val="000000"/>
              </w:rPr>
            </w:pPr>
            <w:r w:rsidRPr="003005DF">
              <w:rPr>
                <w:color w:val="000000"/>
              </w:rPr>
              <w:t>Other provisions</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r w:rsidRPr="003005DF">
              <w:rPr>
                <w:color w:val="000000"/>
              </w:rPr>
              <w:t>807</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754</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r w:rsidRPr="003005DF">
              <w:rPr>
                <w:color w:val="000000"/>
              </w:rPr>
              <w:t>809</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802</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single" w:sz="6" w:space="0" w:color="auto"/>
            </w:tcBorders>
          </w:tcPr>
          <w:p w:rsidR="00DF17E9" w:rsidRPr="003005DF" w:rsidRDefault="00DF17E9" w:rsidP="00044843">
            <w:r w:rsidRPr="003005DF">
              <w:rPr>
                <w:color w:val="000000"/>
              </w:rPr>
              <w:t>829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6" w:space="0" w:color="auto"/>
            </w:tcBorders>
          </w:tcPr>
          <w:p w:rsidR="00DF17E9" w:rsidRPr="003005DF" w:rsidRDefault="00DF17E9" w:rsidP="00044843">
            <w:pPr>
              <w:rPr>
                <w:color w:val="000000"/>
              </w:rPr>
            </w:pPr>
            <w:r w:rsidRPr="003005DF">
              <w:rPr>
                <w:b/>
                <w:color w:val="000000"/>
              </w:rPr>
              <w:t>Total liabilities</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rPr>
                <w:color w:val="000000"/>
              </w:rPr>
            </w:pPr>
            <w:r w:rsidRPr="003005DF">
              <w:rPr>
                <w:b/>
                <w:color w:val="000000"/>
              </w:rPr>
              <w:t>72 650</w:t>
            </w:r>
          </w:p>
        </w:tc>
        <w:tc>
          <w:tcPr>
            <w:tcW w:w="907" w:type="dxa"/>
            <w:tcBorders>
              <w:top w:val="single" w:sz="6"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74 738</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6" w:space="0" w:color="auto"/>
            </w:tcBorders>
          </w:tcPr>
          <w:p w:rsidR="00DF17E9" w:rsidRPr="003005DF" w:rsidRDefault="00DF17E9" w:rsidP="00044843">
            <w:pPr>
              <w:rPr>
                <w:color w:val="000000"/>
              </w:rPr>
            </w:pPr>
            <w:r w:rsidRPr="003005DF">
              <w:rPr>
                <w:b/>
                <w:color w:val="000000"/>
              </w:rPr>
              <w:t>73 274</w:t>
            </w:r>
          </w:p>
        </w:tc>
        <w:tc>
          <w:tcPr>
            <w:tcW w:w="907" w:type="dxa"/>
            <w:tcBorders>
              <w:top w:val="single" w:sz="6"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74 529</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6" w:space="0" w:color="auto"/>
              <w:bottom w:val="single" w:sz="6" w:space="0" w:color="auto"/>
            </w:tcBorders>
          </w:tcPr>
          <w:p w:rsidR="00DF17E9" w:rsidRPr="003005DF" w:rsidRDefault="00DF17E9" w:rsidP="00044843">
            <w:pPr>
              <w:rPr>
                <w:color w:val="000000"/>
              </w:rPr>
            </w:pPr>
            <w:r w:rsidRPr="003005DF">
              <w:rPr>
                <w:b/>
                <w:color w:val="000000"/>
              </w:rPr>
              <w:t>76 547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 xml:space="preserve">Net assets </w:t>
            </w:r>
            <w:r w:rsidRPr="003005DF">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136 391</w:t>
            </w:r>
          </w:p>
        </w:tc>
        <w:tc>
          <w:tcPr>
            <w:tcW w:w="907"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134 853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136 556</w:t>
            </w:r>
          </w:p>
        </w:tc>
        <w:tc>
          <w:tcPr>
            <w:tcW w:w="907"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136 838</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6" w:space="0" w:color="auto"/>
              <w:bottom w:val="single" w:sz="12" w:space="0" w:color="auto"/>
            </w:tcBorders>
          </w:tcPr>
          <w:p w:rsidR="00DF17E9" w:rsidRPr="003005DF" w:rsidRDefault="00DF17E9" w:rsidP="00044843">
            <w:pPr>
              <w:rPr>
                <w:color w:val="000000"/>
              </w:rPr>
            </w:pPr>
            <w:r w:rsidRPr="003005DF">
              <w:rPr>
                <w:b/>
                <w:color w:val="000000"/>
              </w:rPr>
              <w:t>151 695</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12" w:space="0" w:color="auto"/>
            </w:tcBorders>
          </w:tcPr>
          <w:p w:rsidR="00DF17E9" w:rsidRPr="003005DF" w:rsidRDefault="00DF17E9" w:rsidP="00044843">
            <w:pPr>
              <w:rPr>
                <w:color w:val="000000"/>
                <w:vertAlign w:val="superscript"/>
              </w:rPr>
            </w:pPr>
            <w:r w:rsidRPr="003005DF">
              <w:rPr>
                <w:color w:val="000000"/>
              </w:rPr>
              <w:t xml:space="preserve">Accumulated surplus/(deficit) </w:t>
            </w:r>
            <w:r w:rsidRPr="003005DF">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rPr>
                <w:color w:val="000000"/>
              </w:rPr>
            </w:pPr>
            <w:r w:rsidRPr="003005DF">
              <w:rPr>
                <w:color w:val="000000"/>
              </w:rPr>
              <w:t>45 764</w:t>
            </w:r>
          </w:p>
        </w:tc>
        <w:tc>
          <w:tcPr>
            <w:tcW w:w="907" w:type="dxa"/>
            <w:tcBorders>
              <w:top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44 213</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rPr>
                <w:color w:val="000000"/>
              </w:rPr>
            </w:pPr>
            <w:r w:rsidRPr="003005DF">
              <w:rPr>
                <w:color w:val="000000"/>
              </w:rPr>
              <w:t>46 304</w:t>
            </w:r>
          </w:p>
        </w:tc>
        <w:tc>
          <w:tcPr>
            <w:tcW w:w="907" w:type="dxa"/>
            <w:tcBorders>
              <w:top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46 586</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12" w:space="0" w:color="auto"/>
            </w:tcBorders>
          </w:tcPr>
          <w:p w:rsidR="00DF17E9" w:rsidRPr="003005DF" w:rsidRDefault="00DF17E9" w:rsidP="00044843">
            <w:pPr>
              <w:rPr>
                <w:color w:val="000000"/>
              </w:rPr>
            </w:pPr>
            <w:r w:rsidRPr="003005DF">
              <w:rPr>
                <w:color w:val="000000"/>
              </w:rPr>
              <w:t>44 454</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rPr>
                <w:color w:val="000000"/>
              </w:rPr>
            </w:pPr>
            <w:r w:rsidRPr="003005DF">
              <w:rPr>
                <w:color w:val="000000"/>
              </w:rPr>
              <w:t xml:space="preserve">Reserves </w:t>
            </w:r>
            <w:r w:rsidRPr="003005DF">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90 577</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90 590</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90 203</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90 203</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nil"/>
            </w:tcBorders>
          </w:tcPr>
          <w:p w:rsidR="00DF17E9" w:rsidRPr="003005DF" w:rsidRDefault="00DF17E9" w:rsidP="00044843">
            <w:pPr>
              <w:rPr>
                <w:color w:val="000000"/>
              </w:rPr>
            </w:pPr>
            <w:r w:rsidRPr="003005DF">
              <w:rPr>
                <w:color w:val="000000"/>
              </w:rPr>
              <w:t>107 191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rsidR="00DF17E9" w:rsidRPr="003005DF" w:rsidRDefault="00DF17E9" w:rsidP="00044843">
            <w:pPr>
              <w:rPr>
                <w:color w:val="000000"/>
              </w:rPr>
            </w:pPr>
            <w:r w:rsidRPr="003005DF">
              <w:rPr>
                <w:color w:val="000000"/>
              </w:rPr>
              <w:t>Non-controlling interest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r w:rsidRPr="003005DF">
              <w:rPr>
                <w:color w:val="000000"/>
              </w:rPr>
              <w:t>50</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50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6" w:space="0" w:color="auto"/>
            </w:tcBorders>
          </w:tcPr>
          <w:p w:rsidR="00DF17E9" w:rsidRPr="003005DF" w:rsidRDefault="00DF17E9" w:rsidP="00044843">
            <w:r w:rsidRPr="003005DF">
              <w:rPr>
                <w:color w:val="000000"/>
              </w:rPr>
              <w:t>50</w:t>
            </w:r>
          </w:p>
        </w:tc>
        <w:tc>
          <w:tcPr>
            <w:tcW w:w="907"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50</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single" w:sz="6" w:space="0" w:color="auto"/>
            </w:tcBorders>
          </w:tcPr>
          <w:p w:rsidR="00DF17E9" w:rsidRPr="003005DF" w:rsidRDefault="00DF17E9" w:rsidP="00044843">
            <w:r w:rsidRPr="003005DF">
              <w:rPr>
                <w:color w:val="000000"/>
              </w:rPr>
              <w:t>50</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 xml:space="preserve">Net worth </w:t>
            </w:r>
            <w:r w:rsidRPr="003005DF">
              <w:rPr>
                <w:b/>
                <w:color w:val="000000"/>
                <w:vertAlign w:val="superscript"/>
              </w:rPr>
              <w:t>(a)(b)</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136 391</w:t>
            </w:r>
          </w:p>
        </w:tc>
        <w:tc>
          <w:tcPr>
            <w:tcW w:w="907"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134 853</w:t>
            </w:r>
          </w:p>
        </w:tc>
        <w:tc>
          <w:tcPr>
            <w:cnfStyle w:val="000010000000" w:firstRow="0" w:lastRow="0" w:firstColumn="0" w:lastColumn="0" w:oddVBand="1" w:evenVBand="0" w:oddHBand="0" w:evenHBand="0" w:firstRowFirstColumn="0" w:firstRowLastColumn="0" w:lastRowFirstColumn="0" w:lastRowLastColumn="0"/>
            <w:tcW w:w="907"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136 556</w:t>
            </w:r>
          </w:p>
        </w:tc>
        <w:tc>
          <w:tcPr>
            <w:tcW w:w="907"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136 838</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6" w:space="0" w:color="auto"/>
              <w:bottom w:val="single" w:sz="12" w:space="0" w:color="auto"/>
            </w:tcBorders>
          </w:tcPr>
          <w:p w:rsidR="00DF17E9" w:rsidRPr="003005DF" w:rsidRDefault="00DF17E9" w:rsidP="00044843">
            <w:pPr>
              <w:rPr>
                <w:color w:val="000000"/>
              </w:rPr>
            </w:pPr>
            <w:r w:rsidRPr="003005DF">
              <w:rPr>
                <w:b/>
                <w:color w:val="000000"/>
              </w:rPr>
              <w:t>151 695</w:t>
            </w:r>
          </w:p>
        </w:tc>
      </w:tr>
      <w:tr w:rsidR="00DF17E9" w:rsidRPr="003005DF"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single" w:sz="12" w:space="0" w:color="auto"/>
            </w:tcBorders>
          </w:tcPr>
          <w:p w:rsidR="00DF17E9" w:rsidRPr="003005DF" w:rsidRDefault="00DF17E9" w:rsidP="00044843">
            <w:pPr>
              <w:rPr>
                <w:color w:val="000000"/>
              </w:rPr>
            </w:pPr>
            <w:r w:rsidRPr="003005DF">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rPr>
                <w:color w:val="000000"/>
              </w:rPr>
            </w:pPr>
            <w:r w:rsidRPr="003005DF">
              <w:rPr>
                <w:color w:val="000000"/>
              </w:rPr>
              <w:t xml:space="preserve"> </w:t>
            </w:r>
          </w:p>
        </w:tc>
        <w:tc>
          <w:tcPr>
            <w:tcW w:w="907" w:type="dxa"/>
            <w:tcBorders>
              <w:top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Borders>
              <w:top w:val="single" w:sz="12" w:space="0" w:color="auto"/>
            </w:tcBorders>
          </w:tcPr>
          <w:p w:rsidR="00DF17E9" w:rsidRPr="003005DF" w:rsidRDefault="00DF17E9" w:rsidP="00044843">
            <w:pPr>
              <w:rPr>
                <w:color w:val="000000"/>
              </w:rPr>
            </w:pPr>
            <w:r w:rsidRPr="003005DF">
              <w:rPr>
                <w:color w:val="000000"/>
              </w:rPr>
              <w:t xml:space="preserve"> </w:t>
            </w:r>
          </w:p>
        </w:tc>
        <w:tc>
          <w:tcPr>
            <w:tcW w:w="907" w:type="dxa"/>
            <w:tcBorders>
              <w:top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4"/>
            <w:tcBorders>
              <w:top w:val="single" w:sz="12" w:space="0" w:color="auto"/>
            </w:tcBorders>
          </w:tcPr>
          <w:p w:rsidR="00DF17E9" w:rsidRPr="003005DF" w:rsidRDefault="00DF17E9" w:rsidP="00044843">
            <w:pPr>
              <w:rPr>
                <w:color w:val="000000"/>
              </w:rPr>
            </w:pPr>
            <w:r w:rsidRPr="003005DF">
              <w:rPr>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rPr>
            </w:pPr>
            <w:r w:rsidRPr="003005DF">
              <w:rPr>
                <w:b/>
                <w:color w:val="000000"/>
              </w:rPr>
              <w:t>FISCAL AGGREGATES</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b/>
                <w:color w:val="000000"/>
              </w:rPr>
              <w:t xml:space="preserve"> </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Pr>
          <w:p w:rsidR="00DF17E9" w:rsidRPr="003005DF" w:rsidRDefault="00DF17E9" w:rsidP="00044843">
            <w:pPr>
              <w:rPr>
                <w:color w:val="000000"/>
                <w:vertAlign w:val="superscript"/>
              </w:rPr>
            </w:pPr>
            <w:r w:rsidRPr="003005DF">
              <w:rPr>
                <w:color w:val="000000"/>
              </w:rPr>
              <w:t xml:space="preserve">Net financial worth </w:t>
            </w:r>
            <w:r w:rsidRPr="003005DF">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27 471</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25 820</w:t>
            </w:r>
          </w:p>
        </w:tc>
        <w:tc>
          <w:tcPr>
            <w:cnfStyle w:val="000010000000" w:firstRow="0" w:lastRow="0" w:firstColumn="0" w:lastColumn="0" w:oddVBand="1" w:evenVBand="0" w:oddHBand="0" w:evenHBand="0" w:firstRowFirstColumn="0" w:firstRowLastColumn="0" w:lastRowFirstColumn="0" w:lastRowLastColumn="0"/>
            <w:tcW w:w="907" w:type="dxa"/>
          </w:tcPr>
          <w:p w:rsidR="00DF17E9" w:rsidRPr="003005DF" w:rsidRDefault="00DF17E9" w:rsidP="00044843">
            <w:pPr>
              <w:rPr>
                <w:color w:val="000000"/>
              </w:rPr>
            </w:pPr>
            <w:r w:rsidRPr="003005DF">
              <w:rPr>
                <w:color w:val="000000"/>
              </w:rPr>
              <w:t>27 292</w:t>
            </w:r>
          </w:p>
        </w:tc>
        <w:tc>
          <w:tcPr>
            <w:tcW w:w="907"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27 482</w:t>
            </w:r>
          </w:p>
        </w:tc>
        <w:tc>
          <w:tcPr>
            <w:cnfStyle w:val="000010000000" w:firstRow="0" w:lastRow="0" w:firstColumn="0" w:lastColumn="0" w:oddVBand="1" w:evenVBand="0" w:oddHBand="0" w:evenHBand="0" w:firstRowFirstColumn="0" w:firstRowLastColumn="0" w:lastRowFirstColumn="0" w:lastRowLastColumn="0"/>
            <w:tcW w:w="907" w:type="dxa"/>
            <w:gridSpan w:val="4"/>
          </w:tcPr>
          <w:p w:rsidR="00DF17E9" w:rsidRPr="003005DF" w:rsidRDefault="00DF17E9" w:rsidP="00044843">
            <w:pPr>
              <w:rPr>
                <w:color w:val="000000"/>
              </w:rPr>
            </w:pPr>
            <w:r w:rsidRPr="003005DF">
              <w:rPr>
                <w:color w:val="000000"/>
              </w:rPr>
              <w:t>35 984</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nil"/>
            </w:tcBorders>
          </w:tcPr>
          <w:p w:rsidR="00DF17E9" w:rsidRPr="003005DF" w:rsidRDefault="00DF17E9" w:rsidP="00044843">
            <w:pPr>
              <w:rPr>
                <w:color w:val="000000"/>
              </w:rPr>
            </w:pPr>
            <w:r w:rsidRPr="003005DF">
              <w:rPr>
                <w:color w:val="000000"/>
              </w:rPr>
              <w:t>Net financial liabilities</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54 791</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56 728</w:t>
            </w:r>
          </w:p>
        </w:tc>
        <w:tc>
          <w:tcPr>
            <w:cnfStyle w:val="000010000000" w:firstRow="0" w:lastRow="0" w:firstColumn="0" w:lastColumn="0" w:oddVBand="1" w:evenVBand="0" w:oddHBand="0" w:evenHBand="0" w:firstRowFirstColumn="0" w:firstRowLastColumn="0" w:lastRowFirstColumn="0" w:lastRowLastColumn="0"/>
            <w:tcW w:w="907" w:type="dxa"/>
            <w:tcBorders>
              <w:bottom w:val="nil"/>
            </w:tcBorders>
          </w:tcPr>
          <w:p w:rsidR="00DF17E9" w:rsidRPr="003005DF" w:rsidRDefault="00DF17E9" w:rsidP="00044843">
            <w:pPr>
              <w:rPr>
                <w:color w:val="000000"/>
              </w:rPr>
            </w:pPr>
            <w:r w:rsidRPr="003005DF">
              <w:rPr>
                <w:color w:val="000000"/>
              </w:rPr>
              <w:t>55 271</w:t>
            </w:r>
          </w:p>
        </w:tc>
        <w:tc>
          <w:tcPr>
            <w:tcW w:w="907"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55 336</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nil"/>
            </w:tcBorders>
          </w:tcPr>
          <w:p w:rsidR="00DF17E9" w:rsidRPr="003005DF" w:rsidRDefault="00DF17E9" w:rsidP="00044843">
            <w:pPr>
              <w:rPr>
                <w:color w:val="000000"/>
              </w:rPr>
            </w:pPr>
            <w:r w:rsidRPr="003005DF">
              <w:rPr>
                <w:color w:val="000000"/>
              </w:rPr>
              <w:t>58 727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102" w:type="dxa"/>
            <w:tcBorders>
              <w:bottom w:val="single" w:sz="12" w:space="0" w:color="auto"/>
            </w:tcBorders>
          </w:tcPr>
          <w:p w:rsidR="00DF17E9" w:rsidRPr="003005DF" w:rsidRDefault="00DF17E9" w:rsidP="00044843">
            <w:pPr>
              <w:rPr>
                <w:color w:val="000000"/>
              </w:rPr>
            </w:pPr>
            <w:r w:rsidRPr="003005DF">
              <w:rPr>
                <w:color w:val="000000"/>
              </w:rPr>
              <w:t>Net debt</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3005DF" w:rsidRDefault="00DF17E9" w:rsidP="00044843">
            <w:pPr>
              <w:rPr>
                <w:color w:val="000000"/>
              </w:rPr>
            </w:pPr>
            <w:r w:rsidRPr="003005DF">
              <w:rPr>
                <w:color w:val="000000"/>
              </w:rPr>
              <w:t>22 327</w:t>
            </w:r>
          </w:p>
        </w:tc>
        <w:tc>
          <w:tcPr>
            <w:tcW w:w="907" w:type="dxa"/>
            <w:tcBorders>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23 000</w:t>
            </w:r>
          </w:p>
        </w:tc>
        <w:tc>
          <w:tcPr>
            <w:cnfStyle w:val="000010000000" w:firstRow="0" w:lastRow="0" w:firstColumn="0" w:lastColumn="0" w:oddVBand="1" w:evenVBand="0" w:oddHBand="0" w:evenHBand="0" w:firstRowFirstColumn="0" w:firstRowLastColumn="0" w:lastRowFirstColumn="0" w:lastRowLastColumn="0"/>
            <w:tcW w:w="907" w:type="dxa"/>
            <w:tcBorders>
              <w:bottom w:val="single" w:sz="12" w:space="0" w:color="auto"/>
            </w:tcBorders>
          </w:tcPr>
          <w:p w:rsidR="00DF17E9" w:rsidRPr="003005DF" w:rsidRDefault="00DF17E9" w:rsidP="00044843">
            <w:pPr>
              <w:rPr>
                <w:color w:val="000000"/>
              </w:rPr>
            </w:pPr>
            <w:r w:rsidRPr="003005DF">
              <w:rPr>
                <w:color w:val="000000"/>
              </w:rPr>
              <w:t>22 735</w:t>
            </w:r>
          </w:p>
        </w:tc>
        <w:tc>
          <w:tcPr>
            <w:tcW w:w="907" w:type="dxa"/>
            <w:tcBorders>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21 908</w:t>
            </w:r>
          </w:p>
        </w:tc>
        <w:tc>
          <w:tcPr>
            <w:cnfStyle w:val="000010000000" w:firstRow="0" w:lastRow="0" w:firstColumn="0" w:lastColumn="0" w:oddVBand="1" w:evenVBand="0" w:oddHBand="0" w:evenHBand="0" w:firstRowFirstColumn="0" w:firstRowLastColumn="0" w:lastRowFirstColumn="0" w:lastRowLastColumn="0"/>
            <w:tcW w:w="907" w:type="dxa"/>
            <w:gridSpan w:val="4"/>
            <w:tcBorders>
              <w:bottom w:val="single" w:sz="12" w:space="0" w:color="auto"/>
            </w:tcBorders>
          </w:tcPr>
          <w:p w:rsidR="00DF17E9" w:rsidRPr="003005DF" w:rsidRDefault="00DF17E9" w:rsidP="00044843">
            <w:pPr>
              <w:rPr>
                <w:color w:val="000000"/>
              </w:rPr>
            </w:pPr>
            <w:r w:rsidRPr="003005DF">
              <w:rPr>
                <w:color w:val="000000"/>
              </w:rPr>
              <w:t>22 309</w:t>
            </w:r>
          </w:p>
        </w:tc>
      </w:tr>
    </w:tbl>
    <w:p w:rsidR="00DF17E9" w:rsidRPr="00A947E5" w:rsidRDefault="00DF17E9" w:rsidP="00044843">
      <w:pPr>
        <w:pStyle w:val="Note"/>
        <w:ind w:left="0" w:firstLine="0"/>
        <w:rPr>
          <w:szCs w:val="16"/>
        </w:rPr>
      </w:pPr>
      <w:r w:rsidRPr="00A947E5">
        <w:rPr>
          <w:szCs w:val="16"/>
        </w:rPr>
        <w:t>Note</w:t>
      </w:r>
      <w:r>
        <w:rPr>
          <w:szCs w:val="16"/>
        </w:rPr>
        <w:t>s</w:t>
      </w:r>
      <w:r w:rsidRPr="00A947E5">
        <w:rPr>
          <w:szCs w:val="16"/>
        </w:rPr>
        <w:t>:</w:t>
      </w:r>
    </w:p>
    <w:p w:rsidR="00DF17E9" w:rsidRPr="00E56BA6" w:rsidRDefault="00DF17E9" w:rsidP="00044843">
      <w:pPr>
        <w:pStyle w:val="Note"/>
      </w:pPr>
      <w:r w:rsidRPr="00E56BA6">
        <w:t xml:space="preserve">(a) </w:t>
      </w:r>
      <w:r w:rsidRPr="00E56BA6">
        <w:tab/>
        <w:t>June 2015 and September 2015 comparative figures have been restated to reflect an adjustment to Coliban Water’s deferred tax liability balances in the PNFC sector attributable to a change in valuation policy in 2015-16.</w:t>
      </w:r>
    </w:p>
    <w:p w:rsidR="00DF17E9" w:rsidRPr="00E56BA6" w:rsidRDefault="00DF17E9" w:rsidP="00044843">
      <w:pPr>
        <w:pStyle w:val="Note"/>
      </w:pPr>
      <w:r w:rsidRPr="00E56BA6">
        <w:t>(b)</w:t>
      </w:r>
      <w:r w:rsidRPr="00E56BA6">
        <w:tab/>
        <w:t>June 2015 comparative figures have been restated to finalise the allocation of equity balances between contributed capital and accumulated funds related to prior year machinery of government changes.</w:t>
      </w:r>
    </w:p>
    <w:p w:rsidR="00DF17E9" w:rsidRDefault="00DF17E9" w:rsidP="00044843"/>
    <w:p w:rsidR="00DF17E9" w:rsidRDefault="00DF17E9">
      <w:pPr>
        <w:rPr>
          <w:rFonts w:asciiTheme="majorHAnsi" w:hAnsiTheme="majorHAnsi"/>
          <w:b/>
          <w:spacing w:val="-2"/>
        </w:rPr>
      </w:pPr>
      <w:r>
        <w:br w:type="page"/>
      </w:r>
    </w:p>
    <w:p w:rsidR="00DF17E9" w:rsidRPr="003005DF" w:rsidRDefault="00DF17E9" w:rsidP="00044843">
      <w:pPr>
        <w:pStyle w:val="Subheading"/>
        <w:rPr>
          <w:bCs/>
          <w:lang w:val="en-US"/>
        </w:rPr>
      </w:pPr>
      <w:r>
        <w:lastRenderedPageBreak/>
        <w:t>Table A.3: Statement of cash flows for the past five quarters</w:t>
      </w:r>
      <w:r>
        <w:tab/>
      </w:r>
      <w:r w:rsidRPr="00B32BD5">
        <w:rPr>
          <w:sz w:val="19"/>
          <w:szCs w:val="19"/>
        </w:rPr>
        <w:t>($</w:t>
      </w:r>
      <w:r>
        <w:rPr>
          <w:sz w:val="19"/>
          <w:szCs w:val="19"/>
        </w:rPr>
        <w:t xml:space="preserve"> </w:t>
      </w:r>
      <w:r w:rsidRPr="00B32BD5">
        <w:rPr>
          <w:sz w:val="19"/>
          <w:szCs w:val="19"/>
        </w:rPr>
        <w:t>million)</w:t>
      </w:r>
    </w:p>
    <w:tbl>
      <w:tblPr>
        <w:tblStyle w:val="TableDTFGeneral"/>
        <w:tblW w:w="9637" w:type="dxa"/>
        <w:tblLayout w:type="fixed"/>
        <w:tblLook w:val="02A0" w:firstRow="1" w:lastRow="0" w:firstColumn="1" w:lastColumn="0" w:noHBand="1" w:noVBand="0"/>
      </w:tblPr>
      <w:tblGrid>
        <w:gridCol w:w="5475"/>
        <w:gridCol w:w="811"/>
        <w:gridCol w:w="840"/>
        <w:gridCol w:w="800"/>
        <w:gridCol w:w="855"/>
        <w:gridCol w:w="856"/>
      </w:tblGrid>
      <w:tr w:rsidR="007D5401" w:rsidRPr="003005DF" w:rsidTr="00933E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75" w:type="dxa"/>
            <w:vMerge w:val="restart"/>
          </w:tcPr>
          <w:p w:rsidR="007D5401" w:rsidRPr="003005DF" w:rsidRDefault="007D5401" w:rsidP="00044843">
            <w:pPr>
              <w:rPr>
                <w:i w:val="0"/>
                <w:color w:val="FFFFFF"/>
              </w:rPr>
            </w:pPr>
            <w:r w:rsidRPr="003005DF">
              <w:rPr>
                <w:color w:val="FFFFFF"/>
              </w:rPr>
              <w:t xml:space="preserve"> </w:t>
            </w:r>
          </w:p>
          <w:p w:rsidR="007D5401" w:rsidRPr="003005DF" w:rsidRDefault="007D5401" w:rsidP="00044843">
            <w:pPr>
              <w:rPr>
                <w:color w:val="FFFFFF"/>
              </w:rPr>
            </w:pPr>
            <w:r w:rsidRPr="003005DF">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811" w:type="dxa"/>
            <w:vMerge w:val="restart"/>
          </w:tcPr>
          <w:p w:rsidR="007D5401" w:rsidRPr="003005DF" w:rsidRDefault="007D5401" w:rsidP="00044843">
            <w:pPr>
              <w:rPr>
                <w:i w:val="0"/>
                <w:color w:val="FFFFFF"/>
              </w:rPr>
            </w:pPr>
            <w:r w:rsidRPr="003005DF">
              <w:rPr>
                <w:color w:val="FFFFFF"/>
              </w:rPr>
              <w:t>2014-15</w:t>
            </w:r>
          </w:p>
          <w:p w:rsidR="007D5401" w:rsidRPr="003005DF" w:rsidRDefault="007D5401" w:rsidP="00044843">
            <w:pPr>
              <w:rPr>
                <w:color w:val="FFFFFF"/>
              </w:rPr>
            </w:pPr>
            <w:r w:rsidRPr="003005DF">
              <w:rPr>
                <w:color w:val="FFFFFF"/>
              </w:rPr>
              <w:t xml:space="preserve">Jun </w:t>
            </w:r>
          </w:p>
        </w:tc>
        <w:tc>
          <w:tcPr>
            <w:tcW w:w="3351" w:type="dxa"/>
            <w:gridSpan w:val="4"/>
          </w:tcPr>
          <w:p w:rsidR="007D5401" w:rsidRPr="003005DF" w:rsidRDefault="007D5401" w:rsidP="007D5401">
            <w:pPr>
              <w:jc w:val="cente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2015-16</w:t>
            </w:r>
          </w:p>
        </w:tc>
      </w:tr>
      <w:tr w:rsidR="007D5401" w:rsidRPr="003005DF" w:rsidTr="000448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75" w:type="dxa"/>
            <w:vMerge/>
          </w:tcPr>
          <w:p w:rsidR="007D5401" w:rsidRPr="003005DF" w:rsidRDefault="007D5401" w:rsidP="00044843">
            <w:pPr>
              <w:rPr>
                <w:color w:val="FFFFFF"/>
              </w:rPr>
            </w:pPr>
          </w:p>
        </w:tc>
        <w:tc>
          <w:tcPr>
            <w:cnfStyle w:val="000010000000" w:firstRow="0" w:lastRow="0" w:firstColumn="0" w:lastColumn="0" w:oddVBand="1" w:evenVBand="0" w:oddHBand="0" w:evenHBand="0" w:firstRowFirstColumn="0" w:firstRowLastColumn="0" w:lastRowFirstColumn="0" w:lastRowLastColumn="0"/>
            <w:tcW w:w="811" w:type="dxa"/>
            <w:vMerge/>
          </w:tcPr>
          <w:p w:rsidR="007D5401" w:rsidRPr="003005DF" w:rsidRDefault="007D5401" w:rsidP="00044843">
            <w:pPr>
              <w:rPr>
                <w:color w:val="FFFFFF"/>
              </w:rPr>
            </w:pPr>
          </w:p>
        </w:tc>
        <w:tc>
          <w:tcPr>
            <w:tcW w:w="840" w:type="dxa"/>
          </w:tcPr>
          <w:p w:rsidR="007D5401" w:rsidRPr="003005DF" w:rsidRDefault="007D5401" w:rsidP="00044843">
            <w:pP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Sep</w:t>
            </w:r>
          </w:p>
        </w:tc>
        <w:tc>
          <w:tcPr>
            <w:cnfStyle w:val="000010000000" w:firstRow="0" w:lastRow="0" w:firstColumn="0" w:lastColumn="0" w:oddVBand="1" w:evenVBand="0" w:oddHBand="0" w:evenHBand="0" w:firstRowFirstColumn="0" w:firstRowLastColumn="0" w:lastRowFirstColumn="0" w:lastRowLastColumn="0"/>
            <w:tcW w:w="800" w:type="dxa"/>
          </w:tcPr>
          <w:p w:rsidR="007D5401" w:rsidRPr="003005DF" w:rsidRDefault="007D5401" w:rsidP="00044843">
            <w:pPr>
              <w:rPr>
                <w:color w:val="FFFFFF"/>
              </w:rPr>
            </w:pPr>
            <w:r w:rsidRPr="003005DF">
              <w:rPr>
                <w:color w:val="FFFFFF"/>
              </w:rPr>
              <w:t>Dec</w:t>
            </w:r>
          </w:p>
        </w:tc>
        <w:tc>
          <w:tcPr>
            <w:tcW w:w="855" w:type="dxa"/>
          </w:tcPr>
          <w:p w:rsidR="007D5401" w:rsidRPr="003005DF" w:rsidRDefault="007D5401" w:rsidP="00044843">
            <w:pPr>
              <w:cnfStyle w:val="100000000000" w:firstRow="1" w:lastRow="0" w:firstColumn="0" w:lastColumn="0" w:oddVBand="0" w:evenVBand="0" w:oddHBand="0" w:evenHBand="0" w:firstRowFirstColumn="0" w:firstRowLastColumn="0" w:lastRowFirstColumn="0" w:lastRowLastColumn="0"/>
              <w:rPr>
                <w:color w:val="FFFFFF"/>
              </w:rPr>
            </w:pPr>
            <w:r w:rsidRPr="003005DF">
              <w:rPr>
                <w:color w:val="FFFFFF"/>
              </w:rPr>
              <w:t>Mar</w:t>
            </w:r>
          </w:p>
        </w:tc>
        <w:tc>
          <w:tcPr>
            <w:cnfStyle w:val="000010000000" w:firstRow="0" w:lastRow="0" w:firstColumn="0" w:lastColumn="0" w:oddVBand="1" w:evenVBand="0" w:oddHBand="0" w:evenHBand="0" w:firstRowFirstColumn="0" w:firstRowLastColumn="0" w:lastRowFirstColumn="0" w:lastRowLastColumn="0"/>
            <w:tcW w:w="856" w:type="dxa"/>
          </w:tcPr>
          <w:p w:rsidR="007D5401" w:rsidRPr="003005DF" w:rsidRDefault="007D5401" w:rsidP="00044843">
            <w:pPr>
              <w:rPr>
                <w:color w:val="FFFFFF"/>
              </w:rPr>
            </w:pPr>
            <w:r w:rsidRPr="003005DF">
              <w:rPr>
                <w:color w:val="FFFFFF"/>
              </w:rPr>
              <w:t>Jun</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b/>
                <w:color w:val="000000"/>
              </w:rPr>
              <w:t>Cash flows from operating activities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b/>
                <w:color w:val="000000"/>
              </w:rPr>
              <w:t xml:space="preserve"> </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b/>
                <w:color w:val="000000"/>
              </w:rPr>
              <w:t xml:space="preserve"> </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b/>
                <w:color w:val="000000"/>
              </w:rPr>
              <w:t xml:space="preserve">Receipts </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b/>
                <w:color w:val="000000"/>
              </w:rPr>
              <w:t xml:space="preserve"> </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b/>
                <w:color w:val="000000"/>
              </w:rPr>
              <w:t xml:space="preserve"> </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Taxes received</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color w:val="000000"/>
              </w:rPr>
              <w:t>4 773</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4 887</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color w:val="000000"/>
              </w:rPr>
              <w:t>5 048</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4 748</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color w:val="000000"/>
              </w:rPr>
              <w:t>5 092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Grants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color w:val="000000"/>
              </w:rPr>
              <w:t>6 082</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6 008</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color w:val="000000"/>
              </w:rPr>
              <w:t>6 292</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6 875</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color w:val="000000"/>
              </w:rPr>
              <w:t>6 200</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 xml:space="preserve">Sales of goods and services </w:t>
            </w:r>
            <w:r w:rsidRPr="003005DF">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color w:val="000000"/>
              </w:rPr>
              <w:t>1 591</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1 782</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color w:val="000000"/>
              </w:rPr>
              <w:t>1 745</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1 667</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color w:val="000000"/>
              </w:rPr>
              <w:t>2 060</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 xml:space="preserve">Interest received </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235</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193</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r w:rsidRPr="003005DF">
              <w:rPr>
                <w:color w:val="000000"/>
              </w:rPr>
              <w:t>179</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183</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231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nil"/>
            </w:tcBorders>
          </w:tcPr>
          <w:p w:rsidR="00DF17E9" w:rsidRPr="003005DF" w:rsidRDefault="00DF17E9" w:rsidP="00044843">
            <w:pPr>
              <w:rPr>
                <w:color w:val="000000"/>
              </w:rPr>
            </w:pPr>
            <w:r w:rsidRPr="003005DF">
              <w:rPr>
                <w:color w:val="000000"/>
              </w:rPr>
              <w:t>Dividends and income tax equivalent and rate equivalent receipts</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3005DF" w:rsidRDefault="00DF17E9" w:rsidP="00044843">
            <w:r w:rsidRPr="003005DF">
              <w:rPr>
                <w:color w:val="000000"/>
              </w:rPr>
              <w:t>268</w:t>
            </w:r>
          </w:p>
        </w:tc>
        <w:tc>
          <w:tcPr>
            <w:tcW w:w="840"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49</w:t>
            </w:r>
          </w:p>
        </w:tc>
        <w:tc>
          <w:tcPr>
            <w:cnfStyle w:val="000010000000" w:firstRow="0" w:lastRow="0" w:firstColumn="0" w:lastColumn="0" w:oddVBand="1" w:evenVBand="0" w:oddHBand="0" w:evenHBand="0" w:firstRowFirstColumn="0" w:firstRowLastColumn="0" w:lastRowFirstColumn="0" w:lastRowLastColumn="0"/>
            <w:tcW w:w="800" w:type="dxa"/>
            <w:tcBorders>
              <w:bottom w:val="nil"/>
            </w:tcBorders>
          </w:tcPr>
          <w:p w:rsidR="00DF17E9" w:rsidRPr="003005DF" w:rsidRDefault="00DF17E9" w:rsidP="00044843">
            <w:r w:rsidRPr="003005DF">
              <w:rPr>
                <w:color w:val="000000"/>
              </w:rPr>
              <w:t>556</w:t>
            </w:r>
          </w:p>
        </w:tc>
        <w:tc>
          <w:tcPr>
            <w:tcW w:w="855"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108</w:t>
            </w:r>
          </w:p>
        </w:tc>
        <w:tc>
          <w:tcPr>
            <w:cnfStyle w:val="000010000000" w:firstRow="0" w:lastRow="0" w:firstColumn="0" w:lastColumn="0" w:oddVBand="1" w:evenVBand="0" w:oddHBand="0" w:evenHBand="0" w:firstRowFirstColumn="0" w:firstRowLastColumn="0" w:lastRowFirstColumn="0" w:lastRowLastColumn="0"/>
            <w:tcW w:w="856" w:type="dxa"/>
            <w:tcBorders>
              <w:bottom w:val="nil"/>
            </w:tcBorders>
          </w:tcPr>
          <w:p w:rsidR="00DF17E9" w:rsidRPr="003005DF" w:rsidRDefault="00DF17E9" w:rsidP="00044843">
            <w:r w:rsidRPr="003005DF">
              <w:rPr>
                <w:color w:val="000000"/>
              </w:rPr>
              <w:t>88</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044843">
            <w:pPr>
              <w:rPr>
                <w:color w:val="000000"/>
              </w:rPr>
            </w:pPr>
            <w:r w:rsidRPr="003005DF">
              <w:rPr>
                <w:color w:val="000000"/>
              </w:rPr>
              <w:t>Other receipts</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r w:rsidRPr="003005DF">
              <w:rPr>
                <w:color w:val="000000"/>
              </w:rPr>
              <w:t>816</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439</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r w:rsidRPr="003005DF">
              <w:rPr>
                <w:color w:val="000000"/>
              </w:rPr>
              <w:t>499</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942</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r w:rsidRPr="003005DF">
              <w:rPr>
                <w:color w:val="000000"/>
              </w:rPr>
              <w:t>556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tcBorders>
          </w:tcPr>
          <w:p w:rsidR="00DF17E9" w:rsidRPr="003005DF" w:rsidRDefault="00DF17E9" w:rsidP="00044843">
            <w:pPr>
              <w:rPr>
                <w:color w:val="000000"/>
              </w:rPr>
            </w:pPr>
            <w:r w:rsidRPr="003005DF">
              <w:rPr>
                <w:b/>
                <w:color w:val="000000"/>
              </w:rPr>
              <w:t>Total receipts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3005DF" w:rsidRDefault="00DF17E9" w:rsidP="00044843">
            <w:pPr>
              <w:rPr>
                <w:color w:val="000000"/>
              </w:rPr>
            </w:pPr>
            <w:r w:rsidRPr="003005DF">
              <w:rPr>
                <w:b/>
                <w:color w:val="000000"/>
              </w:rPr>
              <w:t>13 764</w:t>
            </w:r>
          </w:p>
        </w:tc>
        <w:tc>
          <w:tcPr>
            <w:tcW w:w="840"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13 359</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tcBorders>
          </w:tcPr>
          <w:p w:rsidR="00DF17E9" w:rsidRPr="003005DF" w:rsidRDefault="00DF17E9" w:rsidP="00044843">
            <w:pPr>
              <w:rPr>
                <w:color w:val="000000"/>
              </w:rPr>
            </w:pPr>
            <w:r w:rsidRPr="003005DF">
              <w:rPr>
                <w:b/>
                <w:color w:val="000000"/>
              </w:rPr>
              <w:t>14 319</w:t>
            </w:r>
          </w:p>
        </w:tc>
        <w:tc>
          <w:tcPr>
            <w:tcW w:w="855"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14 523</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tcBorders>
          </w:tcPr>
          <w:p w:rsidR="00DF17E9" w:rsidRPr="003005DF" w:rsidRDefault="00DF17E9" w:rsidP="00044843">
            <w:pPr>
              <w:rPr>
                <w:color w:val="000000"/>
              </w:rPr>
            </w:pPr>
            <w:r w:rsidRPr="003005DF">
              <w:rPr>
                <w:b/>
                <w:color w:val="000000"/>
              </w:rPr>
              <w:t>14 227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b/>
                <w:color w:val="000000"/>
              </w:rPr>
              <w:t xml:space="preserve">Payments </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b/>
                <w:color w:val="000000"/>
              </w:rPr>
              <w:t xml:space="preserve"> </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b/>
                <w:color w:val="000000"/>
              </w:rPr>
              <w:t xml:space="preserve"> </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Payments for employees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(4 908)</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(4 730)</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r w:rsidRPr="003005DF">
              <w:rPr>
                <w:color w:val="000000"/>
              </w:rPr>
              <w:t>(4 892)</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(4 972)</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(5 026)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Superannuation</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(684)</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(773)</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r w:rsidRPr="003005DF">
              <w:rPr>
                <w:color w:val="000000"/>
              </w:rPr>
              <w:t>(757)</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(658)</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(689)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Interest paid</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(529)</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(531)</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r w:rsidRPr="003005DF">
              <w:rPr>
                <w:color w:val="000000"/>
              </w:rPr>
              <w:t>(500)</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(519)</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(491)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Grants and subsidies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(1 614)</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(2 185)</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r w:rsidRPr="003005DF">
              <w:rPr>
                <w:color w:val="000000"/>
              </w:rPr>
              <w:t>(2 151)</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(2 693)</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(1 509)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nil"/>
            </w:tcBorders>
          </w:tcPr>
          <w:p w:rsidR="00DF17E9" w:rsidRPr="003005DF" w:rsidRDefault="00DF17E9" w:rsidP="00044843">
            <w:pPr>
              <w:rPr>
                <w:color w:val="000000"/>
              </w:rPr>
            </w:pPr>
            <w:r w:rsidRPr="003005DF">
              <w:rPr>
                <w:color w:val="000000"/>
              </w:rPr>
              <w:t xml:space="preserve">Goods and services </w:t>
            </w:r>
            <w:r w:rsidRPr="003005DF">
              <w:rPr>
                <w:color w:val="000000"/>
                <w:vertAlign w:val="superscript"/>
              </w:rPr>
              <w:t>(a)</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3005DF" w:rsidRDefault="00DF17E9" w:rsidP="00044843">
            <w:r w:rsidRPr="003005DF">
              <w:rPr>
                <w:color w:val="000000"/>
              </w:rPr>
              <w:t>(4 370)</w:t>
            </w:r>
          </w:p>
        </w:tc>
        <w:tc>
          <w:tcPr>
            <w:tcW w:w="840"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(4 666)</w:t>
            </w:r>
          </w:p>
        </w:tc>
        <w:tc>
          <w:tcPr>
            <w:cnfStyle w:val="000010000000" w:firstRow="0" w:lastRow="0" w:firstColumn="0" w:lastColumn="0" w:oddVBand="1" w:evenVBand="0" w:oddHBand="0" w:evenHBand="0" w:firstRowFirstColumn="0" w:firstRowLastColumn="0" w:lastRowFirstColumn="0" w:lastRowLastColumn="0"/>
            <w:tcW w:w="800" w:type="dxa"/>
            <w:tcBorders>
              <w:bottom w:val="nil"/>
            </w:tcBorders>
          </w:tcPr>
          <w:p w:rsidR="00DF17E9" w:rsidRPr="003005DF" w:rsidRDefault="00DF17E9" w:rsidP="00044843">
            <w:r w:rsidRPr="003005DF">
              <w:rPr>
                <w:color w:val="000000"/>
              </w:rPr>
              <w:t>(4 301)</w:t>
            </w:r>
          </w:p>
        </w:tc>
        <w:tc>
          <w:tcPr>
            <w:tcW w:w="855"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(3 644)</w:t>
            </w:r>
          </w:p>
        </w:tc>
        <w:tc>
          <w:tcPr>
            <w:cnfStyle w:val="000010000000" w:firstRow="0" w:lastRow="0" w:firstColumn="0" w:lastColumn="0" w:oddVBand="1" w:evenVBand="0" w:oddHBand="0" w:evenHBand="0" w:firstRowFirstColumn="0" w:firstRowLastColumn="0" w:lastRowFirstColumn="0" w:lastRowLastColumn="0"/>
            <w:tcW w:w="856" w:type="dxa"/>
            <w:tcBorders>
              <w:bottom w:val="nil"/>
            </w:tcBorders>
          </w:tcPr>
          <w:p w:rsidR="00DF17E9" w:rsidRPr="003005DF" w:rsidRDefault="00DF17E9" w:rsidP="00044843">
            <w:r w:rsidRPr="003005DF">
              <w:rPr>
                <w:color w:val="000000"/>
              </w:rPr>
              <w:t>(4 646)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044843">
            <w:pPr>
              <w:rPr>
                <w:color w:val="000000"/>
              </w:rPr>
            </w:pPr>
            <w:r w:rsidRPr="003005DF">
              <w:rPr>
                <w:color w:val="000000"/>
              </w:rPr>
              <w:t>Other payments</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r w:rsidRPr="003005DF">
              <w:rPr>
                <w:color w:val="000000"/>
              </w:rPr>
              <w:t>(581)</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(194)</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r w:rsidRPr="003005DF">
              <w:rPr>
                <w:color w:val="000000"/>
              </w:rPr>
              <w:t>(176)</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(161)</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r w:rsidRPr="003005DF">
              <w:rPr>
                <w:color w:val="000000"/>
              </w:rPr>
              <w:t>(204)</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bottom w:val="single" w:sz="6" w:space="0" w:color="auto"/>
            </w:tcBorders>
          </w:tcPr>
          <w:p w:rsidR="00DF17E9" w:rsidRPr="003005DF" w:rsidRDefault="00DF17E9" w:rsidP="00044843">
            <w:pPr>
              <w:rPr>
                <w:color w:val="000000"/>
              </w:rPr>
            </w:pPr>
            <w:r w:rsidRPr="003005DF">
              <w:rPr>
                <w:b/>
                <w:color w:val="000000"/>
              </w:rPr>
              <w:t>Total payments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6" w:space="0" w:color="auto"/>
            </w:tcBorders>
          </w:tcPr>
          <w:p w:rsidR="00DF17E9" w:rsidRPr="003005DF" w:rsidRDefault="00DF17E9" w:rsidP="00044843">
            <w:r w:rsidRPr="003005DF">
              <w:rPr>
                <w:b/>
                <w:color w:val="000000"/>
              </w:rPr>
              <w:t>(12 686)</w:t>
            </w:r>
          </w:p>
        </w:tc>
        <w:tc>
          <w:tcPr>
            <w:tcW w:w="840" w:type="dxa"/>
            <w:tcBorders>
              <w:top w:val="single" w:sz="6"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(13 078)</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bottom w:val="single" w:sz="6" w:space="0" w:color="auto"/>
            </w:tcBorders>
          </w:tcPr>
          <w:p w:rsidR="00DF17E9" w:rsidRPr="003005DF" w:rsidRDefault="00DF17E9" w:rsidP="00044843">
            <w:r w:rsidRPr="003005DF">
              <w:rPr>
                <w:b/>
                <w:color w:val="000000"/>
              </w:rPr>
              <w:t>(12 778)</w:t>
            </w:r>
          </w:p>
        </w:tc>
        <w:tc>
          <w:tcPr>
            <w:tcW w:w="855" w:type="dxa"/>
            <w:tcBorders>
              <w:top w:val="single" w:sz="6"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(12 647)</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bottom w:val="single" w:sz="6" w:space="0" w:color="auto"/>
            </w:tcBorders>
          </w:tcPr>
          <w:p w:rsidR="00DF17E9" w:rsidRPr="003005DF" w:rsidRDefault="00DF17E9" w:rsidP="00044843">
            <w:r w:rsidRPr="003005DF">
              <w:rPr>
                <w:b/>
                <w:color w:val="000000"/>
              </w:rPr>
              <w:t>(12 566)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tcBorders>
          </w:tcPr>
          <w:p w:rsidR="00DF17E9" w:rsidRPr="003005DF" w:rsidRDefault="00DF17E9" w:rsidP="00044843">
            <w:pPr>
              <w:rPr>
                <w:color w:val="000000"/>
              </w:rPr>
            </w:pPr>
            <w:r w:rsidRPr="003005DF">
              <w:rPr>
                <w:b/>
                <w:color w:val="000000"/>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3005DF" w:rsidRDefault="00DF17E9" w:rsidP="00044843">
            <w:pPr>
              <w:rPr>
                <w:color w:val="000000"/>
              </w:rPr>
            </w:pPr>
            <w:r w:rsidRPr="003005DF">
              <w:rPr>
                <w:b/>
                <w:color w:val="000000"/>
              </w:rPr>
              <w:t>1 078</w:t>
            </w:r>
          </w:p>
        </w:tc>
        <w:tc>
          <w:tcPr>
            <w:tcW w:w="840"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280</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tcBorders>
          </w:tcPr>
          <w:p w:rsidR="00DF17E9" w:rsidRPr="003005DF" w:rsidRDefault="00DF17E9" w:rsidP="00044843">
            <w:pPr>
              <w:rPr>
                <w:color w:val="000000"/>
              </w:rPr>
            </w:pPr>
            <w:r w:rsidRPr="003005DF">
              <w:rPr>
                <w:b/>
                <w:color w:val="000000"/>
              </w:rPr>
              <w:t>1 541</w:t>
            </w:r>
          </w:p>
        </w:tc>
        <w:tc>
          <w:tcPr>
            <w:tcW w:w="855"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1 877</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tcBorders>
          </w:tcPr>
          <w:p w:rsidR="00DF17E9" w:rsidRPr="003005DF" w:rsidRDefault="00DF17E9" w:rsidP="00044843">
            <w:pPr>
              <w:rPr>
                <w:color w:val="000000"/>
              </w:rPr>
            </w:pPr>
            <w:r w:rsidRPr="003005DF">
              <w:rPr>
                <w:b/>
                <w:color w:val="000000"/>
              </w:rPr>
              <w:t>1 661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b/>
                <w:color w:val="000000"/>
              </w:rPr>
              <w:t>Cash flows from investing activities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b/>
                <w:color w:val="000000"/>
              </w:rPr>
              <w:t xml:space="preserve"> </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b/>
                <w:color w:val="000000"/>
              </w:rPr>
              <w:t xml:space="preserve"> </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nil"/>
            </w:tcBorders>
          </w:tcPr>
          <w:p w:rsidR="00DF17E9" w:rsidRPr="003005DF" w:rsidRDefault="00DF17E9" w:rsidP="00044843">
            <w:pPr>
              <w:rPr>
                <w:color w:val="000000"/>
                <w:vertAlign w:val="superscript"/>
              </w:rPr>
            </w:pPr>
            <w:r w:rsidRPr="003005DF">
              <w:rPr>
                <w:color w:val="000000"/>
              </w:rPr>
              <w:t xml:space="preserve">Purchases of non-financial assets </w:t>
            </w:r>
            <w:r w:rsidRPr="003005DF">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3005DF" w:rsidRDefault="00DF17E9" w:rsidP="00044843">
            <w:r w:rsidRPr="003005DF">
              <w:rPr>
                <w:color w:val="000000"/>
              </w:rPr>
              <w:t>(1 982)</w:t>
            </w:r>
          </w:p>
        </w:tc>
        <w:tc>
          <w:tcPr>
            <w:tcW w:w="840"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(960)</w:t>
            </w:r>
          </w:p>
        </w:tc>
        <w:tc>
          <w:tcPr>
            <w:cnfStyle w:val="000010000000" w:firstRow="0" w:lastRow="0" w:firstColumn="0" w:lastColumn="0" w:oddVBand="1" w:evenVBand="0" w:oddHBand="0" w:evenHBand="0" w:firstRowFirstColumn="0" w:firstRowLastColumn="0" w:lastRowFirstColumn="0" w:lastRowLastColumn="0"/>
            <w:tcW w:w="800" w:type="dxa"/>
            <w:tcBorders>
              <w:bottom w:val="nil"/>
            </w:tcBorders>
          </w:tcPr>
          <w:p w:rsidR="00DF17E9" w:rsidRPr="003005DF" w:rsidRDefault="00DF17E9" w:rsidP="00044843">
            <w:r w:rsidRPr="003005DF">
              <w:rPr>
                <w:color w:val="000000"/>
              </w:rPr>
              <w:t>(1 077)</w:t>
            </w:r>
          </w:p>
        </w:tc>
        <w:tc>
          <w:tcPr>
            <w:tcW w:w="855"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(954)</w:t>
            </w:r>
          </w:p>
        </w:tc>
        <w:tc>
          <w:tcPr>
            <w:cnfStyle w:val="000010000000" w:firstRow="0" w:lastRow="0" w:firstColumn="0" w:lastColumn="0" w:oddVBand="1" w:evenVBand="0" w:oddHBand="0" w:evenHBand="0" w:firstRowFirstColumn="0" w:firstRowLastColumn="0" w:lastRowFirstColumn="0" w:lastRowLastColumn="0"/>
            <w:tcW w:w="856" w:type="dxa"/>
            <w:tcBorders>
              <w:bottom w:val="nil"/>
            </w:tcBorders>
          </w:tcPr>
          <w:p w:rsidR="00DF17E9" w:rsidRPr="003005DF" w:rsidRDefault="00DF17E9" w:rsidP="00044843">
            <w:r w:rsidRPr="003005DF">
              <w:rPr>
                <w:color w:val="000000"/>
              </w:rPr>
              <w:t>(1 429)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044843">
            <w:pPr>
              <w:rPr>
                <w:color w:val="000000"/>
              </w:rPr>
            </w:pPr>
            <w:r w:rsidRPr="003005DF">
              <w:rPr>
                <w:color w:val="000000"/>
              </w:rPr>
              <w:t>Sales of non-financial assets</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r w:rsidRPr="003005DF">
              <w:rPr>
                <w:color w:val="000000"/>
              </w:rPr>
              <w:t>213</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22</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r w:rsidRPr="003005DF">
              <w:rPr>
                <w:color w:val="000000"/>
              </w:rPr>
              <w:t>51</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30</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r w:rsidRPr="003005DF">
              <w:rPr>
                <w:color w:val="000000"/>
              </w:rPr>
              <w:t>87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bottom w:val="nil"/>
            </w:tcBorders>
          </w:tcPr>
          <w:p w:rsidR="00DF17E9" w:rsidRPr="003005DF" w:rsidRDefault="00DF17E9" w:rsidP="00044843">
            <w:pPr>
              <w:rPr>
                <w:color w:val="000000"/>
                <w:vertAlign w:val="superscript"/>
              </w:rPr>
            </w:pPr>
            <w:r w:rsidRPr="003005DF">
              <w:rPr>
                <w:b/>
                <w:color w:val="000000"/>
              </w:rPr>
              <w:t xml:space="preserve">Cash flows from investments in non-financial assets </w:t>
            </w:r>
            <w:r w:rsidRPr="003005DF">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nil"/>
            </w:tcBorders>
          </w:tcPr>
          <w:p w:rsidR="00DF17E9" w:rsidRPr="003005DF" w:rsidRDefault="00DF17E9" w:rsidP="00044843">
            <w:r w:rsidRPr="003005DF">
              <w:rPr>
                <w:b/>
                <w:color w:val="000000"/>
              </w:rPr>
              <w:t>(1 769)</w:t>
            </w:r>
          </w:p>
        </w:tc>
        <w:tc>
          <w:tcPr>
            <w:tcW w:w="840" w:type="dxa"/>
            <w:tcBorders>
              <w:top w:val="single" w:sz="6" w:space="0" w:color="auto"/>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(938)</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bottom w:val="nil"/>
            </w:tcBorders>
          </w:tcPr>
          <w:p w:rsidR="00DF17E9" w:rsidRPr="003005DF" w:rsidRDefault="00DF17E9" w:rsidP="00044843">
            <w:r w:rsidRPr="003005DF">
              <w:rPr>
                <w:b/>
                <w:color w:val="000000"/>
              </w:rPr>
              <w:t>(1 026)</w:t>
            </w:r>
          </w:p>
        </w:tc>
        <w:tc>
          <w:tcPr>
            <w:tcW w:w="855" w:type="dxa"/>
            <w:tcBorders>
              <w:top w:val="single" w:sz="6" w:space="0" w:color="auto"/>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(925)</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bottom w:val="nil"/>
            </w:tcBorders>
          </w:tcPr>
          <w:p w:rsidR="00DF17E9" w:rsidRPr="003005DF" w:rsidRDefault="00DF17E9" w:rsidP="00044843">
            <w:r w:rsidRPr="003005DF">
              <w:rPr>
                <w:b/>
                <w:color w:val="000000"/>
              </w:rPr>
              <w:t>(1 341)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044843">
            <w:pPr>
              <w:rPr>
                <w:color w:val="000000"/>
                <w:vertAlign w:val="superscript"/>
              </w:rPr>
            </w:pPr>
            <w:r w:rsidRPr="003005DF">
              <w:rPr>
                <w:color w:val="000000"/>
              </w:rPr>
              <w:t xml:space="preserve">Net cash flows from investments in financial assets for policy purposes </w:t>
            </w:r>
            <w:r w:rsidRPr="003005DF">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r w:rsidRPr="003005DF">
              <w:rPr>
                <w:color w:val="000000"/>
              </w:rPr>
              <w:t>(270)</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30</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r w:rsidRPr="003005DF">
              <w:rPr>
                <w:color w:val="000000"/>
              </w:rPr>
              <w:t>(220)</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(77)</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r w:rsidRPr="003005DF">
              <w:rPr>
                <w:color w:val="000000"/>
              </w:rPr>
              <w:t>359</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bottom w:val="nil"/>
            </w:tcBorders>
          </w:tcPr>
          <w:p w:rsidR="00DF17E9" w:rsidRPr="003005DF" w:rsidRDefault="00DF17E9" w:rsidP="00044843">
            <w:pPr>
              <w:rPr>
                <w:color w:val="000000"/>
              </w:rPr>
            </w:pPr>
            <w:r w:rsidRPr="003005DF">
              <w:rPr>
                <w:b/>
                <w:color w:val="000000"/>
              </w:rPr>
              <w:t>Sub-total</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nil"/>
            </w:tcBorders>
          </w:tcPr>
          <w:p w:rsidR="00DF17E9" w:rsidRPr="003005DF" w:rsidRDefault="00DF17E9" w:rsidP="00044843">
            <w:r w:rsidRPr="003005DF">
              <w:rPr>
                <w:b/>
                <w:color w:val="000000"/>
              </w:rPr>
              <w:t>(2 039)</w:t>
            </w:r>
          </w:p>
        </w:tc>
        <w:tc>
          <w:tcPr>
            <w:tcW w:w="840" w:type="dxa"/>
            <w:tcBorders>
              <w:top w:val="single" w:sz="6" w:space="0" w:color="auto"/>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(908)</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bottom w:val="nil"/>
            </w:tcBorders>
          </w:tcPr>
          <w:p w:rsidR="00DF17E9" w:rsidRPr="003005DF" w:rsidRDefault="00DF17E9" w:rsidP="00044843">
            <w:r w:rsidRPr="003005DF">
              <w:rPr>
                <w:b/>
                <w:color w:val="000000"/>
              </w:rPr>
              <w:t>(1 245)</w:t>
            </w:r>
          </w:p>
        </w:tc>
        <w:tc>
          <w:tcPr>
            <w:tcW w:w="855" w:type="dxa"/>
            <w:tcBorders>
              <w:top w:val="single" w:sz="6" w:space="0" w:color="auto"/>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(1 001)</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bottom w:val="nil"/>
            </w:tcBorders>
          </w:tcPr>
          <w:p w:rsidR="00DF17E9" w:rsidRPr="003005DF" w:rsidRDefault="00DF17E9" w:rsidP="00044843">
            <w:r w:rsidRPr="003005DF">
              <w:rPr>
                <w:b/>
                <w:color w:val="000000"/>
              </w:rPr>
              <w:t>(982)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733FFF">
            <w:pPr>
              <w:spacing w:after="0"/>
              <w:ind w:left="113" w:hanging="113"/>
              <w:rPr>
                <w:color w:val="000000"/>
              </w:rPr>
            </w:pPr>
            <w:r w:rsidRPr="003005DF">
              <w:rPr>
                <w:color w:val="000000"/>
              </w:rPr>
              <w:t>Net cash flows from investments in financial assets for liquidity management purposes</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r w:rsidRPr="003005DF">
              <w:rPr>
                <w:color w:val="000000"/>
              </w:rPr>
              <w:t>(39)</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(74)</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r w:rsidRPr="003005DF">
              <w:rPr>
                <w:color w:val="000000"/>
              </w:rPr>
              <w:t>40</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(392)</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r w:rsidRPr="003005DF">
              <w:rPr>
                <w:color w:val="000000"/>
              </w:rPr>
              <w:t>961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tcBorders>
          </w:tcPr>
          <w:p w:rsidR="00DF17E9" w:rsidRPr="003005DF" w:rsidRDefault="00DF17E9" w:rsidP="00044843">
            <w:pPr>
              <w:rPr>
                <w:color w:val="000000"/>
              </w:rPr>
            </w:pPr>
            <w:r w:rsidRPr="003005DF">
              <w:rPr>
                <w:b/>
                <w:color w:val="000000"/>
              </w:rPr>
              <w:t>Net cash flows from investing activities</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tcBorders>
          </w:tcPr>
          <w:p w:rsidR="00DF17E9" w:rsidRPr="003005DF" w:rsidRDefault="00DF17E9" w:rsidP="00044843">
            <w:r w:rsidRPr="003005DF">
              <w:rPr>
                <w:b/>
                <w:color w:val="000000"/>
              </w:rPr>
              <w:t>(2 078)</w:t>
            </w:r>
          </w:p>
        </w:tc>
        <w:tc>
          <w:tcPr>
            <w:tcW w:w="840"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(982)</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tcBorders>
          </w:tcPr>
          <w:p w:rsidR="00DF17E9" w:rsidRPr="003005DF" w:rsidRDefault="00DF17E9" w:rsidP="00044843">
            <w:r w:rsidRPr="003005DF">
              <w:rPr>
                <w:b/>
                <w:color w:val="000000"/>
              </w:rPr>
              <w:t>(1 205)</w:t>
            </w:r>
          </w:p>
        </w:tc>
        <w:tc>
          <w:tcPr>
            <w:tcW w:w="855" w:type="dxa"/>
            <w:tcBorders>
              <w:top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(1 393)</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tcBorders>
          </w:tcPr>
          <w:p w:rsidR="00DF17E9" w:rsidRPr="003005DF" w:rsidRDefault="00DF17E9" w:rsidP="00044843">
            <w:r w:rsidRPr="003005DF">
              <w:rPr>
                <w:b/>
                <w:color w:val="000000"/>
              </w:rPr>
              <w:t>(22)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b/>
                <w:color w:val="000000"/>
              </w:rPr>
              <w:t>Cash flows from financing activities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color w:val="000000"/>
              </w:rPr>
            </w:pPr>
            <w:r w:rsidRPr="003005DF">
              <w:rPr>
                <w:b/>
                <w:color w:val="000000"/>
              </w:rPr>
              <w:t xml:space="preserve"> </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b/>
                <w:color w:val="000000"/>
              </w:rPr>
              <w:t xml:space="preserve"> </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Advances received (net)</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(1)</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color w:val="000000"/>
              </w:rPr>
            </w:pPr>
            <w:r w:rsidRPr="003005DF">
              <w:rPr>
                <w:color w:val="000000"/>
              </w:rPr>
              <w:t>..</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color w:val="000000"/>
              </w:rPr>
              <w:t>Net borrowings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r w:rsidRPr="003005DF">
              <w:rPr>
                <w:color w:val="000000"/>
              </w:rPr>
              <w:t>684</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528</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r w:rsidRPr="003005DF">
              <w:rPr>
                <w:color w:val="000000"/>
              </w:rPr>
              <w:t>(299)</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(225)</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r w:rsidRPr="003005DF">
              <w:rPr>
                <w:color w:val="000000"/>
              </w:rPr>
              <w:t>(1 336)</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4" w:space="0" w:color="auto"/>
            </w:tcBorders>
          </w:tcPr>
          <w:p w:rsidR="00DF17E9" w:rsidRPr="003005DF" w:rsidRDefault="00DF17E9" w:rsidP="00044843">
            <w:pPr>
              <w:rPr>
                <w:color w:val="000000"/>
              </w:rPr>
            </w:pPr>
            <w:r w:rsidRPr="003005DF">
              <w:rPr>
                <w:color w:val="000000"/>
              </w:rPr>
              <w:t>Deposits received (net)</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4" w:space="0" w:color="auto"/>
            </w:tcBorders>
          </w:tcPr>
          <w:p w:rsidR="00DF17E9" w:rsidRPr="003005DF" w:rsidRDefault="00DF17E9" w:rsidP="00044843">
            <w:r w:rsidRPr="003005DF">
              <w:rPr>
                <w:color w:val="000000"/>
              </w:rPr>
              <w:t>(10)</w:t>
            </w:r>
          </w:p>
        </w:tc>
        <w:tc>
          <w:tcPr>
            <w:tcW w:w="840" w:type="dxa"/>
            <w:tcBorders>
              <w:bottom w:val="single" w:sz="4"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(47)</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4" w:space="0" w:color="auto"/>
            </w:tcBorders>
          </w:tcPr>
          <w:p w:rsidR="00DF17E9" w:rsidRPr="003005DF" w:rsidRDefault="00DF17E9" w:rsidP="00044843">
            <w:r w:rsidRPr="003005DF">
              <w:rPr>
                <w:color w:val="000000"/>
              </w:rPr>
              <w:t>14</w:t>
            </w:r>
          </w:p>
        </w:tc>
        <w:tc>
          <w:tcPr>
            <w:tcW w:w="855" w:type="dxa"/>
            <w:tcBorders>
              <w:bottom w:val="single" w:sz="4"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43</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4" w:space="0" w:color="auto"/>
            </w:tcBorders>
          </w:tcPr>
          <w:p w:rsidR="00DF17E9" w:rsidRPr="003005DF" w:rsidRDefault="00DF17E9" w:rsidP="00044843">
            <w:r w:rsidRPr="003005DF">
              <w:rPr>
                <w:color w:val="000000"/>
              </w:rPr>
              <w:t>54</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4" w:space="0" w:color="auto"/>
              <w:bottom w:val="single" w:sz="6" w:space="0" w:color="auto"/>
            </w:tcBorders>
          </w:tcPr>
          <w:p w:rsidR="00DF17E9" w:rsidRPr="003005DF" w:rsidRDefault="00DF17E9" w:rsidP="00044843">
            <w:pPr>
              <w:rPr>
                <w:color w:val="000000"/>
              </w:rPr>
            </w:pPr>
            <w:r w:rsidRPr="003005DF">
              <w:rPr>
                <w:b/>
                <w:color w:val="000000"/>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811" w:type="dxa"/>
            <w:tcBorders>
              <w:top w:val="single" w:sz="4" w:space="0" w:color="auto"/>
              <w:bottom w:val="single" w:sz="6" w:space="0" w:color="auto"/>
            </w:tcBorders>
          </w:tcPr>
          <w:p w:rsidR="00DF17E9" w:rsidRPr="003005DF" w:rsidRDefault="00DF17E9" w:rsidP="00044843">
            <w:r w:rsidRPr="003005DF">
              <w:rPr>
                <w:b/>
                <w:color w:val="000000"/>
              </w:rPr>
              <w:t>673</w:t>
            </w:r>
          </w:p>
        </w:tc>
        <w:tc>
          <w:tcPr>
            <w:tcW w:w="840" w:type="dxa"/>
            <w:tcBorders>
              <w:top w:val="single" w:sz="4"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481</w:t>
            </w:r>
          </w:p>
        </w:tc>
        <w:tc>
          <w:tcPr>
            <w:cnfStyle w:val="000010000000" w:firstRow="0" w:lastRow="0" w:firstColumn="0" w:lastColumn="0" w:oddVBand="1" w:evenVBand="0" w:oddHBand="0" w:evenHBand="0" w:firstRowFirstColumn="0" w:firstRowLastColumn="0" w:lastRowFirstColumn="0" w:lastRowLastColumn="0"/>
            <w:tcW w:w="800" w:type="dxa"/>
            <w:tcBorders>
              <w:top w:val="single" w:sz="4" w:space="0" w:color="auto"/>
              <w:bottom w:val="single" w:sz="6" w:space="0" w:color="auto"/>
            </w:tcBorders>
          </w:tcPr>
          <w:p w:rsidR="00DF17E9" w:rsidRPr="003005DF" w:rsidRDefault="00DF17E9" w:rsidP="00044843">
            <w:r w:rsidRPr="003005DF">
              <w:rPr>
                <w:b/>
                <w:color w:val="000000"/>
              </w:rPr>
              <w:t>(285)</w:t>
            </w:r>
          </w:p>
        </w:tc>
        <w:tc>
          <w:tcPr>
            <w:tcW w:w="855" w:type="dxa"/>
            <w:tcBorders>
              <w:top w:val="single" w:sz="4" w:space="0" w:color="auto"/>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(181)</w:t>
            </w:r>
          </w:p>
        </w:tc>
        <w:tc>
          <w:tcPr>
            <w:cnfStyle w:val="000010000000" w:firstRow="0" w:lastRow="0" w:firstColumn="0" w:lastColumn="0" w:oddVBand="1" w:evenVBand="0" w:oddHBand="0" w:evenHBand="0" w:firstRowFirstColumn="0" w:firstRowLastColumn="0" w:lastRowFirstColumn="0" w:lastRowLastColumn="0"/>
            <w:tcW w:w="856" w:type="dxa"/>
            <w:tcBorders>
              <w:top w:val="single" w:sz="4" w:space="0" w:color="auto"/>
              <w:bottom w:val="single" w:sz="6" w:space="0" w:color="auto"/>
            </w:tcBorders>
          </w:tcPr>
          <w:p w:rsidR="00DF17E9" w:rsidRPr="003005DF" w:rsidRDefault="00DF17E9" w:rsidP="00044843">
            <w:r w:rsidRPr="003005DF">
              <w:rPr>
                <w:b/>
                <w:color w:val="000000"/>
              </w:rPr>
              <w:t>(1 282)</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bottom w:val="nil"/>
            </w:tcBorders>
          </w:tcPr>
          <w:p w:rsidR="00DF17E9" w:rsidRPr="003005DF" w:rsidRDefault="00DF17E9" w:rsidP="00044843">
            <w:pPr>
              <w:rPr>
                <w:color w:val="000000"/>
              </w:rPr>
            </w:pPr>
            <w:r w:rsidRPr="003005DF">
              <w:rPr>
                <w:b/>
                <w:color w:val="000000"/>
              </w:rPr>
              <w:t xml:space="preserve">Net increase/(decrease) in cash and cash equivalents </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nil"/>
            </w:tcBorders>
          </w:tcPr>
          <w:p w:rsidR="00DF17E9" w:rsidRPr="003005DF" w:rsidRDefault="00DF17E9" w:rsidP="00044843">
            <w:r w:rsidRPr="003005DF">
              <w:rPr>
                <w:b/>
                <w:color w:val="000000"/>
              </w:rPr>
              <w:t>(327)</w:t>
            </w:r>
          </w:p>
        </w:tc>
        <w:tc>
          <w:tcPr>
            <w:tcW w:w="840" w:type="dxa"/>
            <w:tcBorders>
              <w:top w:val="single" w:sz="6" w:space="0" w:color="auto"/>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(220)</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bottom w:val="nil"/>
            </w:tcBorders>
          </w:tcPr>
          <w:p w:rsidR="00DF17E9" w:rsidRPr="003005DF" w:rsidRDefault="00DF17E9" w:rsidP="00044843">
            <w:r w:rsidRPr="003005DF">
              <w:rPr>
                <w:b/>
                <w:color w:val="000000"/>
              </w:rPr>
              <w:t>51</w:t>
            </w:r>
          </w:p>
        </w:tc>
        <w:tc>
          <w:tcPr>
            <w:tcW w:w="855" w:type="dxa"/>
            <w:tcBorders>
              <w:top w:val="single" w:sz="6" w:space="0" w:color="auto"/>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303</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bottom w:val="nil"/>
            </w:tcBorders>
          </w:tcPr>
          <w:p w:rsidR="00DF17E9" w:rsidRPr="003005DF" w:rsidRDefault="00DF17E9" w:rsidP="00044843">
            <w:r w:rsidRPr="003005DF">
              <w:rPr>
                <w:b/>
                <w:color w:val="000000"/>
              </w:rPr>
              <w:t>357</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044843">
            <w:pPr>
              <w:rPr>
                <w:color w:val="000000"/>
              </w:rPr>
            </w:pPr>
            <w:r w:rsidRPr="003005DF">
              <w:rPr>
                <w:color w:val="000000"/>
              </w:rPr>
              <w:t>Cash and cash equivalents at beginning of reporting period</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pPr>
              <w:rPr>
                <w:color w:val="000000"/>
              </w:rPr>
            </w:pPr>
            <w:r w:rsidRPr="003005DF">
              <w:rPr>
                <w:color w:val="000000"/>
              </w:rPr>
              <w:t>4 609</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4 282</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pPr>
              <w:rPr>
                <w:color w:val="000000"/>
              </w:rPr>
            </w:pPr>
            <w:r w:rsidRPr="003005DF">
              <w:rPr>
                <w:color w:val="000000"/>
              </w:rPr>
              <w:t>4 061</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4 112</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pPr>
              <w:rPr>
                <w:color w:val="000000"/>
              </w:rPr>
            </w:pPr>
            <w:r w:rsidRPr="003005DF">
              <w:rPr>
                <w:color w:val="000000"/>
              </w:rPr>
              <w:t>4 415</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bottom w:val="single" w:sz="12" w:space="0" w:color="auto"/>
            </w:tcBorders>
          </w:tcPr>
          <w:p w:rsidR="00DF17E9" w:rsidRPr="003005DF" w:rsidRDefault="00DF17E9" w:rsidP="00044843">
            <w:pPr>
              <w:rPr>
                <w:b/>
                <w:color w:val="000000"/>
              </w:rPr>
            </w:pPr>
            <w:r w:rsidRPr="003005DF">
              <w:rPr>
                <w:b/>
                <w:color w:val="000000"/>
              </w:rPr>
              <w:t>Cash and cash equivalents at end of the financial year</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4 282</w:t>
            </w:r>
          </w:p>
        </w:tc>
        <w:tc>
          <w:tcPr>
            <w:tcW w:w="840"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4 061</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4 112</w:t>
            </w:r>
          </w:p>
        </w:tc>
        <w:tc>
          <w:tcPr>
            <w:tcW w:w="855"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b/>
                <w:color w:val="000000"/>
              </w:rPr>
              <w:t>4 415</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bottom w:val="single" w:sz="12" w:space="0" w:color="auto"/>
            </w:tcBorders>
          </w:tcPr>
          <w:p w:rsidR="00DF17E9" w:rsidRPr="003005DF" w:rsidRDefault="00DF17E9" w:rsidP="00044843">
            <w:pPr>
              <w:rPr>
                <w:color w:val="000000"/>
              </w:rPr>
            </w:pPr>
            <w:r w:rsidRPr="003005DF">
              <w:rPr>
                <w:b/>
                <w:color w:val="000000"/>
              </w:rPr>
              <w:t>4 772</w:t>
            </w:r>
          </w:p>
        </w:tc>
      </w:tr>
      <w:tr w:rsidR="00DF17E9" w:rsidRPr="003005DF" w:rsidTr="00044843">
        <w:trPr>
          <w:trHeight w:hRule="exact" w:val="120"/>
        </w:trPr>
        <w:tc>
          <w:tcPr>
            <w:cnfStyle w:val="001000000000" w:firstRow="0" w:lastRow="0" w:firstColumn="1" w:lastColumn="0" w:oddVBand="0" w:evenVBand="0" w:oddHBand="0" w:evenHBand="0" w:firstRowFirstColumn="0" w:firstRowLastColumn="0" w:lastRowFirstColumn="0" w:lastRowLastColumn="0"/>
            <w:tcW w:w="5475" w:type="dxa"/>
            <w:tcBorders>
              <w:top w:val="single" w:sz="12" w:space="0" w:color="auto"/>
            </w:tcBorders>
          </w:tcPr>
          <w:p w:rsidR="00DF17E9" w:rsidRPr="003005DF" w:rsidRDefault="00DF17E9" w:rsidP="00044843">
            <w:pPr>
              <w:rPr>
                <w:color w:val="000000"/>
              </w:rPr>
            </w:pPr>
            <w:r w:rsidRPr="003005DF">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11" w:type="dxa"/>
            <w:tcBorders>
              <w:top w:val="single" w:sz="12" w:space="0" w:color="auto"/>
            </w:tcBorders>
          </w:tcPr>
          <w:p w:rsidR="00DF17E9" w:rsidRPr="003005DF" w:rsidRDefault="00DF17E9" w:rsidP="00044843">
            <w:pPr>
              <w:rPr>
                <w:color w:val="000000"/>
              </w:rPr>
            </w:pPr>
            <w:r w:rsidRPr="003005DF">
              <w:rPr>
                <w:color w:val="000000"/>
              </w:rPr>
              <w:t xml:space="preserve"> </w:t>
            </w:r>
          </w:p>
        </w:tc>
        <w:tc>
          <w:tcPr>
            <w:tcW w:w="840" w:type="dxa"/>
            <w:tcBorders>
              <w:top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Borders>
              <w:top w:val="single" w:sz="12" w:space="0" w:color="auto"/>
            </w:tcBorders>
          </w:tcPr>
          <w:p w:rsidR="00DF17E9" w:rsidRPr="003005DF" w:rsidRDefault="00DF17E9" w:rsidP="00044843">
            <w:pPr>
              <w:rPr>
                <w:color w:val="000000"/>
              </w:rPr>
            </w:pPr>
            <w:r w:rsidRPr="003005DF">
              <w:rPr>
                <w:color w:val="000000"/>
              </w:rPr>
              <w:t xml:space="preserve"> </w:t>
            </w:r>
          </w:p>
        </w:tc>
        <w:tc>
          <w:tcPr>
            <w:tcW w:w="855" w:type="dxa"/>
            <w:tcBorders>
              <w:top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Borders>
              <w:top w:val="single" w:sz="12" w:space="0" w:color="auto"/>
            </w:tcBorders>
          </w:tcPr>
          <w:p w:rsidR="00DF17E9" w:rsidRPr="003005DF" w:rsidRDefault="00DF17E9" w:rsidP="00044843">
            <w:pPr>
              <w:rPr>
                <w:color w:val="000000"/>
              </w:rPr>
            </w:pPr>
            <w:r w:rsidRPr="003005DF">
              <w:rPr>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Pr>
          <w:p w:rsidR="00DF17E9" w:rsidRPr="003005DF" w:rsidRDefault="00DF17E9" w:rsidP="00044843">
            <w:pPr>
              <w:rPr>
                <w:color w:val="000000"/>
              </w:rPr>
            </w:pPr>
            <w:r w:rsidRPr="003005DF">
              <w:rPr>
                <w:b/>
                <w:color w:val="000000"/>
              </w:rPr>
              <w:t>FISCAL AGGREGATES</w:t>
            </w:r>
          </w:p>
        </w:tc>
        <w:tc>
          <w:tcPr>
            <w:cnfStyle w:val="000010000000" w:firstRow="0" w:lastRow="0" w:firstColumn="0" w:lastColumn="0" w:oddVBand="1" w:evenVBand="0" w:oddHBand="0" w:evenHBand="0" w:firstRowFirstColumn="0" w:firstRowLastColumn="0" w:lastRowFirstColumn="0" w:lastRowLastColumn="0"/>
            <w:tcW w:w="811" w:type="dxa"/>
          </w:tcPr>
          <w:p w:rsidR="00DF17E9" w:rsidRPr="003005DF" w:rsidRDefault="00DF17E9" w:rsidP="00044843">
            <w:pPr>
              <w:rPr>
                <w:b/>
                <w:color w:val="000000"/>
              </w:rPr>
            </w:pPr>
            <w:r w:rsidRPr="003005DF">
              <w:rPr>
                <w:b/>
                <w:color w:val="000000"/>
              </w:rPr>
              <w:t xml:space="preserve"> </w:t>
            </w:r>
          </w:p>
        </w:tc>
        <w:tc>
          <w:tcPr>
            <w:tcW w:w="840"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00" w:type="dxa"/>
          </w:tcPr>
          <w:p w:rsidR="00DF17E9" w:rsidRPr="003005DF" w:rsidRDefault="00DF17E9" w:rsidP="00044843">
            <w:pPr>
              <w:rPr>
                <w:b/>
                <w:color w:val="000000"/>
              </w:rPr>
            </w:pPr>
            <w:r w:rsidRPr="003005DF">
              <w:rPr>
                <w:b/>
                <w:color w:val="000000"/>
              </w:rPr>
              <w:t xml:space="preserve"> </w:t>
            </w:r>
          </w:p>
        </w:tc>
        <w:tc>
          <w:tcPr>
            <w:tcW w:w="855" w:type="dxa"/>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b/>
                <w:color w:val="000000"/>
              </w:rPr>
            </w:pPr>
            <w:r w:rsidRPr="003005DF">
              <w:rPr>
                <w:b/>
                <w:color w:val="000000"/>
              </w:rPr>
              <w:t xml:space="preserve"> </w:t>
            </w:r>
          </w:p>
        </w:tc>
        <w:tc>
          <w:tcPr>
            <w:cnfStyle w:val="000010000000" w:firstRow="0" w:lastRow="0" w:firstColumn="0" w:lastColumn="0" w:oddVBand="1" w:evenVBand="0" w:oddHBand="0" w:evenHBand="0" w:firstRowFirstColumn="0" w:firstRowLastColumn="0" w:lastRowFirstColumn="0" w:lastRowLastColumn="0"/>
            <w:tcW w:w="856" w:type="dxa"/>
          </w:tcPr>
          <w:p w:rsidR="00DF17E9" w:rsidRPr="003005DF" w:rsidRDefault="00DF17E9" w:rsidP="00044843">
            <w:pPr>
              <w:rPr>
                <w:b/>
                <w:color w:val="000000"/>
              </w:rPr>
            </w:pPr>
            <w:r w:rsidRPr="003005DF">
              <w:rPr>
                <w:b/>
                <w:color w:val="000000"/>
              </w:rPr>
              <w:t xml:space="preserve"> </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nil"/>
            </w:tcBorders>
          </w:tcPr>
          <w:p w:rsidR="00DF17E9" w:rsidRPr="003005DF" w:rsidRDefault="00DF17E9" w:rsidP="00044843">
            <w:pPr>
              <w:rPr>
                <w:color w:val="000000"/>
              </w:rPr>
            </w:pPr>
            <w:r w:rsidRPr="003005DF">
              <w:rPr>
                <w:color w:val="000000"/>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811" w:type="dxa"/>
            <w:tcBorders>
              <w:bottom w:val="nil"/>
            </w:tcBorders>
          </w:tcPr>
          <w:p w:rsidR="00DF17E9" w:rsidRPr="003005DF" w:rsidRDefault="00DF17E9" w:rsidP="00044843">
            <w:pPr>
              <w:rPr>
                <w:color w:val="000000"/>
              </w:rPr>
            </w:pPr>
            <w:r w:rsidRPr="003005DF">
              <w:rPr>
                <w:color w:val="000000"/>
              </w:rPr>
              <w:t>1 078</w:t>
            </w:r>
          </w:p>
        </w:tc>
        <w:tc>
          <w:tcPr>
            <w:tcW w:w="840"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280</w:t>
            </w:r>
          </w:p>
        </w:tc>
        <w:tc>
          <w:tcPr>
            <w:cnfStyle w:val="000010000000" w:firstRow="0" w:lastRow="0" w:firstColumn="0" w:lastColumn="0" w:oddVBand="1" w:evenVBand="0" w:oddHBand="0" w:evenHBand="0" w:firstRowFirstColumn="0" w:firstRowLastColumn="0" w:lastRowFirstColumn="0" w:lastRowLastColumn="0"/>
            <w:tcW w:w="800" w:type="dxa"/>
            <w:tcBorders>
              <w:bottom w:val="nil"/>
            </w:tcBorders>
          </w:tcPr>
          <w:p w:rsidR="00DF17E9" w:rsidRPr="003005DF" w:rsidRDefault="00DF17E9" w:rsidP="00044843">
            <w:pPr>
              <w:rPr>
                <w:color w:val="000000"/>
              </w:rPr>
            </w:pPr>
            <w:r w:rsidRPr="003005DF">
              <w:rPr>
                <w:color w:val="000000"/>
              </w:rPr>
              <w:t>1 541</w:t>
            </w:r>
          </w:p>
        </w:tc>
        <w:tc>
          <w:tcPr>
            <w:tcW w:w="855" w:type="dxa"/>
            <w:tcBorders>
              <w:bottom w:val="nil"/>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rPr>
                <w:color w:val="000000"/>
              </w:rPr>
            </w:pPr>
            <w:r w:rsidRPr="003005DF">
              <w:rPr>
                <w:color w:val="000000"/>
              </w:rPr>
              <w:t>1 877</w:t>
            </w:r>
          </w:p>
        </w:tc>
        <w:tc>
          <w:tcPr>
            <w:cnfStyle w:val="000010000000" w:firstRow="0" w:lastRow="0" w:firstColumn="0" w:lastColumn="0" w:oddVBand="1" w:evenVBand="0" w:oddHBand="0" w:evenHBand="0" w:firstRowFirstColumn="0" w:firstRowLastColumn="0" w:lastRowFirstColumn="0" w:lastRowLastColumn="0"/>
            <w:tcW w:w="856" w:type="dxa"/>
            <w:tcBorders>
              <w:bottom w:val="nil"/>
            </w:tcBorders>
          </w:tcPr>
          <w:p w:rsidR="00DF17E9" w:rsidRPr="003005DF" w:rsidRDefault="00DF17E9" w:rsidP="00044843">
            <w:pPr>
              <w:rPr>
                <w:color w:val="000000"/>
              </w:rPr>
            </w:pPr>
            <w:r w:rsidRPr="003005DF">
              <w:rPr>
                <w:color w:val="000000"/>
              </w:rPr>
              <w:t>1 661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bottom w:val="single" w:sz="6" w:space="0" w:color="auto"/>
            </w:tcBorders>
          </w:tcPr>
          <w:p w:rsidR="00DF17E9" w:rsidRPr="003005DF" w:rsidRDefault="00DF17E9" w:rsidP="00044843">
            <w:pPr>
              <w:rPr>
                <w:color w:val="000000"/>
                <w:vertAlign w:val="superscript"/>
              </w:rPr>
            </w:pPr>
            <w:r w:rsidRPr="003005DF">
              <w:rPr>
                <w:color w:val="000000"/>
              </w:rPr>
              <w:t xml:space="preserve">Net cash flows from investments in non-financial assets </w:t>
            </w:r>
            <w:r w:rsidRPr="003005DF">
              <w:rPr>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811" w:type="dxa"/>
            <w:tcBorders>
              <w:bottom w:val="single" w:sz="6" w:space="0" w:color="auto"/>
            </w:tcBorders>
          </w:tcPr>
          <w:p w:rsidR="00DF17E9" w:rsidRPr="003005DF" w:rsidRDefault="00DF17E9" w:rsidP="00044843">
            <w:r w:rsidRPr="003005DF">
              <w:rPr>
                <w:color w:val="000000"/>
              </w:rPr>
              <w:t>(1 769)</w:t>
            </w:r>
          </w:p>
        </w:tc>
        <w:tc>
          <w:tcPr>
            <w:tcW w:w="840"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(938)</w:t>
            </w:r>
          </w:p>
        </w:tc>
        <w:tc>
          <w:tcPr>
            <w:cnfStyle w:val="000010000000" w:firstRow="0" w:lastRow="0" w:firstColumn="0" w:lastColumn="0" w:oddVBand="1" w:evenVBand="0" w:oddHBand="0" w:evenHBand="0" w:firstRowFirstColumn="0" w:firstRowLastColumn="0" w:lastRowFirstColumn="0" w:lastRowLastColumn="0"/>
            <w:tcW w:w="800" w:type="dxa"/>
            <w:tcBorders>
              <w:bottom w:val="single" w:sz="6" w:space="0" w:color="auto"/>
            </w:tcBorders>
          </w:tcPr>
          <w:p w:rsidR="00DF17E9" w:rsidRPr="003005DF" w:rsidRDefault="00DF17E9" w:rsidP="00044843">
            <w:r w:rsidRPr="003005DF">
              <w:rPr>
                <w:color w:val="000000"/>
              </w:rPr>
              <w:t>(1 026)</w:t>
            </w:r>
          </w:p>
        </w:tc>
        <w:tc>
          <w:tcPr>
            <w:tcW w:w="855" w:type="dxa"/>
            <w:tcBorders>
              <w:bottom w:val="single" w:sz="6"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color w:val="000000"/>
              </w:rPr>
              <w:t>(925)</w:t>
            </w:r>
          </w:p>
        </w:tc>
        <w:tc>
          <w:tcPr>
            <w:cnfStyle w:val="000010000000" w:firstRow="0" w:lastRow="0" w:firstColumn="0" w:lastColumn="0" w:oddVBand="1" w:evenVBand="0" w:oddHBand="0" w:evenHBand="0" w:firstRowFirstColumn="0" w:firstRowLastColumn="0" w:lastRowFirstColumn="0" w:lastRowLastColumn="0"/>
            <w:tcW w:w="856" w:type="dxa"/>
            <w:tcBorders>
              <w:bottom w:val="single" w:sz="6" w:space="0" w:color="auto"/>
            </w:tcBorders>
          </w:tcPr>
          <w:p w:rsidR="00DF17E9" w:rsidRPr="003005DF" w:rsidRDefault="00DF17E9" w:rsidP="00044843">
            <w:r w:rsidRPr="003005DF">
              <w:rPr>
                <w:color w:val="000000"/>
              </w:rPr>
              <w:t>(1 341)</w:t>
            </w:r>
          </w:p>
        </w:tc>
      </w:tr>
      <w:tr w:rsidR="00DF17E9" w:rsidRPr="003005DF" w:rsidTr="00044843">
        <w:tc>
          <w:tcPr>
            <w:cnfStyle w:val="001000000000" w:firstRow="0" w:lastRow="0" w:firstColumn="1" w:lastColumn="0" w:oddVBand="0" w:evenVBand="0" w:oddHBand="0" w:evenHBand="0" w:firstRowFirstColumn="0" w:firstRowLastColumn="0" w:lastRowFirstColumn="0" w:lastRowLastColumn="0"/>
            <w:tcW w:w="5475" w:type="dxa"/>
            <w:tcBorders>
              <w:top w:val="single" w:sz="6" w:space="0" w:color="auto"/>
              <w:bottom w:val="single" w:sz="12" w:space="0" w:color="auto"/>
            </w:tcBorders>
          </w:tcPr>
          <w:p w:rsidR="00DF17E9" w:rsidRPr="003005DF" w:rsidRDefault="00DF17E9" w:rsidP="00044843">
            <w:pPr>
              <w:rPr>
                <w:b/>
                <w:color w:val="000000"/>
                <w:vertAlign w:val="superscript"/>
              </w:rPr>
            </w:pPr>
            <w:r w:rsidRPr="003005DF">
              <w:rPr>
                <w:b/>
                <w:color w:val="000000"/>
              </w:rPr>
              <w:t xml:space="preserve">Cash surplus/(deficit) </w:t>
            </w:r>
            <w:r w:rsidRPr="003005DF">
              <w:rPr>
                <w:b/>
                <w:color w:val="000000"/>
                <w:vertAlign w:val="superscript"/>
              </w:rPr>
              <w:t>(b)</w:t>
            </w:r>
          </w:p>
        </w:tc>
        <w:tc>
          <w:tcPr>
            <w:cnfStyle w:val="000010000000" w:firstRow="0" w:lastRow="0" w:firstColumn="0" w:lastColumn="0" w:oddVBand="1" w:evenVBand="0" w:oddHBand="0" w:evenHBand="0" w:firstRowFirstColumn="0" w:firstRowLastColumn="0" w:lastRowFirstColumn="0" w:lastRowLastColumn="0"/>
            <w:tcW w:w="811" w:type="dxa"/>
            <w:tcBorders>
              <w:top w:val="single" w:sz="6" w:space="0" w:color="auto"/>
              <w:bottom w:val="single" w:sz="12" w:space="0" w:color="auto"/>
            </w:tcBorders>
          </w:tcPr>
          <w:p w:rsidR="00DF17E9" w:rsidRPr="003005DF" w:rsidRDefault="00DF17E9" w:rsidP="00044843">
            <w:r w:rsidRPr="003005DF">
              <w:rPr>
                <w:b/>
                <w:color w:val="000000"/>
              </w:rPr>
              <w:t>(691)</w:t>
            </w:r>
          </w:p>
        </w:tc>
        <w:tc>
          <w:tcPr>
            <w:tcW w:w="840"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(658)</w:t>
            </w:r>
          </w:p>
        </w:tc>
        <w:tc>
          <w:tcPr>
            <w:cnfStyle w:val="000010000000" w:firstRow="0" w:lastRow="0" w:firstColumn="0" w:lastColumn="0" w:oddVBand="1" w:evenVBand="0" w:oddHBand="0" w:evenHBand="0" w:firstRowFirstColumn="0" w:firstRowLastColumn="0" w:lastRowFirstColumn="0" w:lastRowLastColumn="0"/>
            <w:tcW w:w="800" w:type="dxa"/>
            <w:tcBorders>
              <w:top w:val="single" w:sz="6" w:space="0" w:color="auto"/>
              <w:bottom w:val="single" w:sz="12" w:space="0" w:color="auto"/>
            </w:tcBorders>
          </w:tcPr>
          <w:p w:rsidR="00DF17E9" w:rsidRPr="003005DF" w:rsidRDefault="00DF17E9" w:rsidP="00044843">
            <w:r w:rsidRPr="003005DF">
              <w:rPr>
                <w:b/>
                <w:color w:val="000000"/>
              </w:rPr>
              <w:t>515</w:t>
            </w:r>
          </w:p>
        </w:tc>
        <w:tc>
          <w:tcPr>
            <w:tcW w:w="855" w:type="dxa"/>
            <w:tcBorders>
              <w:top w:val="single" w:sz="6" w:space="0" w:color="auto"/>
              <w:bottom w:val="single" w:sz="12" w:space="0" w:color="auto"/>
            </w:tcBorders>
          </w:tcPr>
          <w:p w:rsidR="00DF17E9" w:rsidRPr="003005DF" w:rsidRDefault="00DF17E9" w:rsidP="00044843">
            <w:pPr>
              <w:cnfStyle w:val="000000000000" w:firstRow="0" w:lastRow="0" w:firstColumn="0" w:lastColumn="0" w:oddVBand="0" w:evenVBand="0" w:oddHBand="0" w:evenHBand="0" w:firstRowFirstColumn="0" w:firstRowLastColumn="0" w:lastRowFirstColumn="0" w:lastRowLastColumn="0"/>
            </w:pPr>
            <w:r w:rsidRPr="003005DF">
              <w:rPr>
                <w:b/>
                <w:color w:val="000000"/>
              </w:rPr>
              <w:t>952</w:t>
            </w:r>
          </w:p>
        </w:tc>
        <w:tc>
          <w:tcPr>
            <w:cnfStyle w:val="000010000000" w:firstRow="0" w:lastRow="0" w:firstColumn="0" w:lastColumn="0" w:oddVBand="1" w:evenVBand="0" w:oddHBand="0" w:evenHBand="0" w:firstRowFirstColumn="0" w:firstRowLastColumn="0" w:lastRowFirstColumn="0" w:lastRowLastColumn="0"/>
            <w:tcW w:w="856" w:type="dxa"/>
            <w:tcBorders>
              <w:top w:val="single" w:sz="6" w:space="0" w:color="auto"/>
              <w:bottom w:val="single" w:sz="12" w:space="0" w:color="auto"/>
            </w:tcBorders>
          </w:tcPr>
          <w:p w:rsidR="00DF17E9" w:rsidRPr="003005DF" w:rsidRDefault="00DF17E9" w:rsidP="00044843">
            <w:r w:rsidRPr="003005DF">
              <w:rPr>
                <w:b/>
                <w:color w:val="000000"/>
              </w:rPr>
              <w:t>320</w:t>
            </w:r>
          </w:p>
        </w:tc>
      </w:tr>
    </w:tbl>
    <w:p w:rsidR="00DF17E9" w:rsidRPr="00E748F6" w:rsidRDefault="00DF17E9" w:rsidP="00044843">
      <w:pPr>
        <w:pStyle w:val="Note"/>
      </w:pPr>
      <w:r w:rsidRPr="00E748F6">
        <w:t>Note</w:t>
      </w:r>
      <w:r>
        <w:t>s</w:t>
      </w:r>
      <w:r w:rsidRPr="00E748F6">
        <w:t>:</w:t>
      </w:r>
    </w:p>
    <w:p w:rsidR="00DF17E9" w:rsidRPr="00E748F6" w:rsidRDefault="00DF17E9" w:rsidP="00044843">
      <w:pPr>
        <w:pStyle w:val="Note"/>
      </w:pPr>
      <w:r w:rsidRPr="00E748F6">
        <w:t xml:space="preserve">(a) </w:t>
      </w:r>
      <w:r w:rsidRPr="00E748F6">
        <w:tab/>
        <w:t>These items are inclusive of goods and services tax.</w:t>
      </w:r>
    </w:p>
    <w:p w:rsidR="00DF17E9" w:rsidRPr="00A34271" w:rsidRDefault="00DF17E9" w:rsidP="00044843">
      <w:pPr>
        <w:pStyle w:val="Note"/>
        <w:rPr>
          <w:rFonts w:cs="Helv"/>
          <w:iCs/>
          <w:color w:val="000000"/>
          <w:szCs w:val="16"/>
        </w:rPr>
      </w:pPr>
      <w:r>
        <w:t>(b)</w:t>
      </w:r>
      <w:r>
        <w:tab/>
      </w:r>
      <w:r w:rsidRPr="00A34271">
        <w:rPr>
          <w:rFonts w:cs="Helv"/>
          <w:iCs/>
          <w:color w:val="000000"/>
          <w:szCs w:val="16"/>
        </w:rPr>
        <w:t xml:space="preserve">June 2015 comparative figures have been restated to finalise the allocation of equity balances between </w:t>
      </w:r>
      <w:r>
        <w:rPr>
          <w:rFonts w:cs="Helv"/>
          <w:iCs/>
          <w:color w:val="000000"/>
          <w:szCs w:val="16"/>
        </w:rPr>
        <w:t xml:space="preserve">contributed capital and accumulated funds </w:t>
      </w:r>
      <w:r w:rsidRPr="00A34271">
        <w:rPr>
          <w:rFonts w:cs="Helv"/>
          <w:iCs/>
          <w:color w:val="000000"/>
          <w:szCs w:val="16"/>
        </w:rPr>
        <w:t>related to prior year machinery of government changes.</w:t>
      </w:r>
    </w:p>
    <w:p w:rsidR="00DF17E9" w:rsidRDefault="00DF17E9"/>
    <w:p w:rsidR="00061F46" w:rsidRDefault="00DF17E9">
      <w:r>
        <w:br w:type="page"/>
      </w:r>
      <w:r w:rsidR="00061F46">
        <w:lastRenderedPageBreak/>
        <w:br w:type="page"/>
      </w:r>
    </w:p>
    <w:p w:rsidR="00DF17E9" w:rsidRDefault="00DF17E9"/>
    <w:p w:rsidR="00DF17E9" w:rsidRDefault="00DF17E9" w:rsidP="00044843">
      <w:pPr>
        <w:sectPr w:rsidR="00DF17E9" w:rsidSect="00044843">
          <w:footerReference w:type="even" r:id="rId301"/>
          <w:footerReference w:type="default" r:id="rId302"/>
          <w:type w:val="continuous"/>
          <w:pgSz w:w="11906" w:h="16838" w:code="9"/>
          <w:pgMar w:top="1134" w:right="1134" w:bottom="1134" w:left="1134" w:header="624" w:footer="567" w:gutter="0"/>
          <w:cols w:space="708"/>
          <w:docGrid w:linePitch="360"/>
        </w:sectPr>
      </w:pPr>
    </w:p>
    <w:p w:rsidR="00DF17E9" w:rsidRPr="0066512E" w:rsidRDefault="00DF17E9" w:rsidP="00044843"/>
    <w:p w:rsidR="00DF17E9" w:rsidRPr="00567AB3" w:rsidRDefault="00DF17E9" w:rsidP="009F70BB">
      <w:pPr>
        <w:pStyle w:val="Chapterheading"/>
      </w:pPr>
      <w:bookmarkStart w:id="103" w:name="_Toc462865850"/>
      <w:r>
        <w:t xml:space="preserve">Appendix B – </w:t>
      </w:r>
      <w:r>
        <w:rPr>
          <w:i/>
        </w:rPr>
        <w:t>Financial Management Act </w:t>
      </w:r>
      <w:r w:rsidRPr="00C938FE">
        <w:rPr>
          <w:i/>
        </w:rPr>
        <w:t>1994</w:t>
      </w:r>
      <w:r w:rsidRPr="00C938FE">
        <w:t xml:space="preserve"> – </w:t>
      </w:r>
      <w:r w:rsidRPr="009F70BB">
        <w:t>Compliance</w:t>
      </w:r>
      <w:r w:rsidRPr="00C938FE">
        <w:t xml:space="preserve"> index</w:t>
      </w:r>
      <w:bookmarkEnd w:id="103"/>
    </w:p>
    <w:p w:rsidR="00DF17E9" w:rsidRPr="00B31535" w:rsidRDefault="00DF17E9" w:rsidP="00044843">
      <w:pPr>
        <w:rPr>
          <w:rFonts w:ascii="Garamond" w:eastAsia="Times New Roman" w:hAnsi="Garamond" w:cs="Times New Roman"/>
          <w:sz w:val="24"/>
          <w:szCs w:val="20"/>
        </w:rPr>
      </w:pPr>
      <w:r w:rsidRPr="00B31535">
        <w:rPr>
          <w:rFonts w:ascii="Garamond" w:eastAsia="Times New Roman" w:hAnsi="Garamond" w:cs="Times New Roman"/>
          <w:sz w:val="24"/>
          <w:szCs w:val="20"/>
        </w:rPr>
        <w:t xml:space="preserve">The </w:t>
      </w:r>
      <w:r w:rsidRPr="00B31535">
        <w:rPr>
          <w:rFonts w:ascii="Garamond" w:eastAsia="Times New Roman" w:hAnsi="Garamond" w:cs="Times New Roman"/>
          <w:i/>
          <w:sz w:val="24"/>
          <w:szCs w:val="20"/>
        </w:rPr>
        <w:t>Financial Management Act 1994</w:t>
      </w:r>
      <w:r w:rsidRPr="00B31535">
        <w:rPr>
          <w:rFonts w:ascii="Garamond" w:eastAsia="Times New Roman" w:hAnsi="Garamond" w:cs="Times New Roman"/>
          <w:sz w:val="24"/>
          <w:szCs w:val="20"/>
        </w:rPr>
        <w:t xml:space="preserve"> requires the Minister to prepare an audited annual financial report for tabling in Parliament. This report has been prepared in accordance with applicable Australian Accounting Standards and the </w:t>
      </w:r>
      <w:r w:rsidRPr="00B31535">
        <w:rPr>
          <w:rFonts w:ascii="Garamond" w:eastAsia="Times New Roman" w:hAnsi="Garamond" w:cs="Times New Roman"/>
          <w:i/>
          <w:sz w:val="24"/>
          <w:szCs w:val="20"/>
        </w:rPr>
        <w:t>Financial Management Act 1994</w:t>
      </w:r>
      <w:r w:rsidRPr="00B31535">
        <w:rPr>
          <w:rFonts w:ascii="Garamond" w:eastAsia="Times New Roman" w:hAnsi="Garamond" w:cs="Times New Roman"/>
          <w:sz w:val="24"/>
          <w:szCs w:val="20"/>
        </w:rPr>
        <w:t>.</w:t>
      </w:r>
    </w:p>
    <w:p w:rsidR="00DF17E9" w:rsidRPr="00B31535" w:rsidRDefault="00DF17E9" w:rsidP="00044843">
      <w:pPr>
        <w:rPr>
          <w:rFonts w:ascii="Garamond" w:eastAsia="Times New Roman" w:hAnsi="Garamond" w:cs="Times New Roman"/>
          <w:sz w:val="24"/>
          <w:szCs w:val="20"/>
        </w:rPr>
      </w:pPr>
      <w:r w:rsidRPr="00B31535">
        <w:rPr>
          <w:rFonts w:ascii="Garamond" w:eastAsia="Times New Roman" w:hAnsi="Garamond" w:cs="Times New Roman"/>
          <w:sz w:val="24"/>
          <w:szCs w:val="20"/>
        </w:rPr>
        <w:t xml:space="preserve">The </w:t>
      </w:r>
      <w:r w:rsidRPr="00B31535">
        <w:rPr>
          <w:rFonts w:ascii="Garamond" w:eastAsia="Times New Roman" w:hAnsi="Garamond" w:cs="Times New Roman"/>
          <w:i/>
          <w:sz w:val="24"/>
          <w:szCs w:val="20"/>
        </w:rPr>
        <w:t>Financial Management Act 1994</w:t>
      </w:r>
      <w:r w:rsidRPr="00B31535">
        <w:rPr>
          <w:rFonts w:ascii="Garamond" w:eastAsia="Times New Roman" w:hAnsi="Garamond" w:cs="Times New Roman"/>
          <w:sz w:val="24"/>
          <w:szCs w:val="20"/>
        </w:rPr>
        <w:t xml:space="preserve"> also requires the annual financial report to meet certain requirements. 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DF17E9" w:rsidRPr="00B31535" w:rsidTr="00044843">
        <w:trPr>
          <w:cantSplit/>
          <w:tblHeader/>
        </w:trPr>
        <w:tc>
          <w:tcPr>
            <w:tcW w:w="2250" w:type="dxa"/>
            <w:tcBorders>
              <w:top w:val="single" w:sz="4" w:space="0" w:color="auto"/>
              <w:bottom w:val="single" w:sz="4" w:space="0" w:color="auto"/>
            </w:tcBorders>
            <w:shd w:val="clear" w:color="auto" w:fill="000000"/>
          </w:tcPr>
          <w:p w:rsidR="00DF17E9" w:rsidRPr="00B31535" w:rsidRDefault="00DF17E9" w:rsidP="00044843">
            <w:pPr>
              <w:spacing w:after="0"/>
              <w:rPr>
                <w:rFonts w:ascii="Calibri" w:eastAsia="Times New Roman" w:hAnsi="Calibri" w:cs="Times New Roman"/>
                <w:i/>
                <w:szCs w:val="18"/>
              </w:rPr>
            </w:pPr>
            <w:r w:rsidRPr="00B31535">
              <w:rPr>
                <w:rFonts w:ascii="Calibri" w:eastAsia="Times New Roman" w:hAnsi="Calibri" w:cs="Times New Roman"/>
                <w:szCs w:val="18"/>
              </w:rPr>
              <w:t>Financial Management Act 1994</w:t>
            </w:r>
            <w:r w:rsidRPr="00B31535">
              <w:rPr>
                <w:rFonts w:ascii="Calibri" w:eastAsia="Times New Roman" w:hAnsi="Calibri" w:cs="Times New Roman"/>
                <w:i/>
                <w:szCs w:val="18"/>
              </w:rPr>
              <w:t xml:space="preserve"> reference</w:t>
            </w:r>
          </w:p>
        </w:tc>
        <w:tc>
          <w:tcPr>
            <w:tcW w:w="4183" w:type="dxa"/>
            <w:tcBorders>
              <w:top w:val="single" w:sz="4" w:space="0" w:color="auto"/>
              <w:bottom w:val="single" w:sz="4" w:space="0" w:color="auto"/>
            </w:tcBorders>
            <w:shd w:val="clear" w:color="auto" w:fill="000000"/>
            <w:vAlign w:val="bottom"/>
          </w:tcPr>
          <w:p w:rsidR="00DF17E9" w:rsidRPr="00B31535" w:rsidRDefault="00DF17E9" w:rsidP="00044843">
            <w:pPr>
              <w:spacing w:after="0"/>
              <w:rPr>
                <w:rFonts w:ascii="Calibri" w:eastAsia="Times New Roman" w:hAnsi="Calibri" w:cs="Times New Roman"/>
                <w:i/>
                <w:szCs w:val="18"/>
              </w:rPr>
            </w:pPr>
            <w:r w:rsidRPr="00B31535">
              <w:rPr>
                <w:rFonts w:ascii="Calibri" w:eastAsia="Times New Roman" w:hAnsi="Calibri" w:cs="Times New Roman"/>
                <w:i/>
                <w:szCs w:val="18"/>
              </w:rPr>
              <w:t>Requirement</w:t>
            </w:r>
          </w:p>
        </w:tc>
        <w:tc>
          <w:tcPr>
            <w:tcW w:w="3240" w:type="dxa"/>
            <w:tcBorders>
              <w:top w:val="single" w:sz="4" w:space="0" w:color="auto"/>
              <w:bottom w:val="single" w:sz="4" w:space="0" w:color="auto"/>
            </w:tcBorders>
            <w:shd w:val="clear" w:color="auto" w:fill="000000"/>
            <w:vAlign w:val="bottom"/>
          </w:tcPr>
          <w:p w:rsidR="00DF17E9" w:rsidRPr="00B31535" w:rsidRDefault="00DF17E9" w:rsidP="00044843">
            <w:pPr>
              <w:spacing w:after="0"/>
              <w:rPr>
                <w:rFonts w:ascii="Calibri" w:eastAsia="Times New Roman" w:hAnsi="Calibri" w:cs="Times New Roman"/>
                <w:i/>
                <w:szCs w:val="18"/>
              </w:rPr>
            </w:pPr>
            <w:r w:rsidRPr="00B31535">
              <w:rPr>
                <w:rFonts w:ascii="Calibri" w:eastAsia="Times New Roman" w:hAnsi="Calibri" w:cs="Times New Roman"/>
                <w:i/>
                <w:szCs w:val="18"/>
              </w:rPr>
              <w:t>Comments/reference</w:t>
            </w:r>
          </w:p>
        </w:tc>
      </w:tr>
      <w:tr w:rsidR="00DF17E9" w:rsidRPr="00B31535" w:rsidTr="00044843">
        <w:trPr>
          <w:cantSplit/>
        </w:trPr>
        <w:tc>
          <w:tcPr>
            <w:tcW w:w="2250" w:type="dxa"/>
            <w:tcBorders>
              <w:top w:val="single" w:sz="4" w:space="0" w:color="auto"/>
            </w:tcBorders>
            <w:shd w:val="clear" w:color="auto" w:fill="auto"/>
          </w:tcPr>
          <w:p w:rsidR="00DF17E9" w:rsidRPr="00B31535" w:rsidRDefault="00DF17E9" w:rsidP="00044843">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 xml:space="preserve">Section 24(1) </w:t>
            </w:r>
          </w:p>
        </w:tc>
        <w:tc>
          <w:tcPr>
            <w:tcW w:w="4183" w:type="dxa"/>
            <w:tcBorders>
              <w:top w:val="single" w:sz="4" w:space="0" w:color="auto"/>
            </w:tcBorders>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The Minister must prepare an annual financial report for each financial year.</w:t>
            </w:r>
          </w:p>
        </w:tc>
        <w:tc>
          <w:tcPr>
            <w:tcW w:w="3240" w:type="dxa"/>
            <w:tcBorders>
              <w:top w:val="single" w:sz="4" w:space="0" w:color="auto"/>
            </w:tcBorders>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Refer to Chapter 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24(2)</w:t>
            </w:r>
          </w:p>
        </w:tc>
        <w:tc>
          <w:tcPr>
            <w:tcW w:w="4183"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The annual financial report:</w:t>
            </w:r>
          </w:p>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must be prepared in the manner and form determined by the Minister, having regard to appropriate financial reporting frameworks;</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tabs>
                <w:tab w:val="left" w:pos="344"/>
              </w:tabs>
              <w:spacing w:after="40"/>
              <w:ind w:left="360" w:hanging="360"/>
              <w:rPr>
                <w:rFonts w:ascii="Calibri" w:eastAsia="Times New Roman" w:hAnsi="Calibri" w:cs="Times New Roman"/>
                <w:szCs w:val="18"/>
              </w:rPr>
            </w:pPr>
            <w:r w:rsidRPr="00B31535">
              <w:rPr>
                <w:rFonts w:ascii="Calibri" w:eastAsia="Times New Roman" w:hAnsi="Calibri" w:cs="Times New Roman"/>
                <w:szCs w:val="18"/>
              </w:rPr>
              <w:t>(b)</w:t>
            </w:r>
            <w:r w:rsidRPr="00B31535">
              <w:rPr>
                <w:rFonts w:ascii="Calibri" w:eastAsia="Times New Roman" w:hAnsi="Calibri" w:cs="Times New Roman"/>
                <w:szCs w:val="18"/>
              </w:rPr>
              <w:tab/>
              <w:t>must present fairly the financial position of the State and the Victorian general government sector at the end of the financial year; and</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Consolidated balance</w:t>
            </w:r>
            <w:r w:rsidR="003928D6">
              <w:rPr>
                <w:rFonts w:ascii="Calibri" w:eastAsia="Times New Roman" w:hAnsi="Calibri" w:cs="Times New Roman"/>
                <w:szCs w:val="18"/>
              </w:rPr>
              <w:t xml:space="preserve"> sheet, page 29</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the transactions of the Public Account;</w:t>
            </w:r>
          </w:p>
        </w:tc>
        <w:tc>
          <w:tcPr>
            <w:tcW w:w="3240" w:type="dxa"/>
            <w:shd w:val="clear" w:color="auto" w:fill="auto"/>
          </w:tcPr>
          <w:p w:rsidR="00DF17E9" w:rsidRPr="00B31535" w:rsidRDefault="00DF17E9" w:rsidP="003928D6">
            <w:pPr>
              <w:spacing w:after="40"/>
              <w:rPr>
                <w:rFonts w:ascii="Calibri" w:eastAsia="Times New Roman" w:hAnsi="Calibri" w:cs="Times New Roman"/>
                <w:szCs w:val="18"/>
              </w:rPr>
            </w:pPr>
            <w:r>
              <w:rPr>
                <w:rFonts w:ascii="Calibri" w:eastAsia="Times New Roman" w:hAnsi="Calibri" w:cs="Times New Roman"/>
                <w:szCs w:val="18"/>
              </w:rPr>
              <w:t>Refer Chapter 4, Note 8</w:t>
            </w:r>
            <w:r w:rsidRPr="00B31535">
              <w:rPr>
                <w:rFonts w:ascii="Calibri" w:eastAsia="Times New Roman" w:hAnsi="Calibri" w:cs="Times New Roman"/>
                <w:szCs w:val="18"/>
              </w:rPr>
              <w:t>.2 pages </w:t>
            </w:r>
            <w:r w:rsidR="003928D6">
              <w:rPr>
                <w:rFonts w:ascii="Calibri" w:eastAsia="Times New Roman" w:hAnsi="Calibri" w:cs="Times New Roman"/>
                <w:szCs w:val="18"/>
              </w:rPr>
              <w:t>121</w:t>
            </w:r>
            <w:r w:rsidRPr="00B31535">
              <w:rPr>
                <w:rFonts w:ascii="Calibri" w:eastAsia="Times New Roman" w:hAnsi="Calibri" w:cs="Times New Roman"/>
                <w:szCs w:val="18"/>
              </w:rPr>
              <w:t>-1</w:t>
            </w:r>
            <w:r w:rsidR="003928D6">
              <w:rPr>
                <w:rFonts w:ascii="Calibri" w:eastAsia="Times New Roman" w:hAnsi="Calibri" w:cs="Times New Roman"/>
                <w:szCs w:val="18"/>
              </w:rPr>
              <w:t>34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the transactions on the Victorian general government sector; and</w:t>
            </w:r>
          </w:p>
        </w:tc>
        <w:tc>
          <w:tcPr>
            <w:tcW w:w="3240" w:type="dxa"/>
            <w:shd w:val="clear" w:color="auto" w:fill="auto"/>
          </w:tcPr>
          <w:p w:rsidR="00DF17E9" w:rsidRPr="00B31535" w:rsidRDefault="00DF17E9" w:rsidP="003928D6">
            <w:pPr>
              <w:spacing w:after="40"/>
              <w:rPr>
                <w:rFonts w:ascii="Calibri" w:eastAsia="Times New Roman" w:hAnsi="Calibri" w:cs="Times New Roman"/>
                <w:szCs w:val="18"/>
              </w:rPr>
            </w:pPr>
            <w:r w:rsidRPr="00B31535">
              <w:rPr>
                <w:rFonts w:ascii="Calibri" w:eastAsia="Times New Roman" w:hAnsi="Calibri" w:cs="Times New Roman"/>
                <w:szCs w:val="18"/>
              </w:rPr>
              <w:t>Refer Chapter 4, consolidated comprehensive operating statement page </w:t>
            </w:r>
            <w:r w:rsidR="003928D6">
              <w:rPr>
                <w:rFonts w:ascii="Calibri" w:eastAsia="Times New Roman" w:hAnsi="Calibri" w:cs="Times New Roman"/>
                <w:szCs w:val="18"/>
              </w:rPr>
              <w:t>28</w:t>
            </w:r>
            <w:r w:rsidRPr="00B31535">
              <w:rPr>
                <w:rFonts w:ascii="Calibri" w:eastAsia="Times New Roman" w:hAnsi="Calibri" w:cs="Times New Roman"/>
                <w:szCs w:val="18"/>
              </w:rPr>
              <w:t>, consolidated cash flow statement page </w:t>
            </w:r>
            <w:r w:rsidR="003928D6">
              <w:rPr>
                <w:rFonts w:ascii="Calibri" w:eastAsia="Times New Roman" w:hAnsi="Calibri" w:cs="Times New Roman"/>
                <w:szCs w:val="18"/>
              </w:rPr>
              <w:t>30</w:t>
            </w:r>
            <w:r w:rsidRPr="00B31535">
              <w:rPr>
                <w:rFonts w:ascii="Calibri" w:eastAsia="Times New Roman" w:hAnsi="Calibri" w:cs="Times New Roman"/>
                <w:szCs w:val="18"/>
              </w:rPr>
              <w:t xml:space="preserve"> and selected notes</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other financial transactions of the State;</w:t>
            </w:r>
          </w:p>
        </w:tc>
        <w:tc>
          <w:tcPr>
            <w:tcW w:w="3240" w:type="dxa"/>
            <w:shd w:val="clear" w:color="auto" w:fill="auto"/>
          </w:tcPr>
          <w:p w:rsidR="00DF17E9" w:rsidRPr="00B31535" w:rsidRDefault="00DF17E9" w:rsidP="003928D6">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consolidated comprehensive operating statement page </w:t>
            </w:r>
            <w:r w:rsidR="003928D6">
              <w:rPr>
                <w:rFonts w:ascii="Calibri" w:eastAsia="Times New Roman" w:hAnsi="Calibri" w:cs="Times New Roman"/>
                <w:szCs w:val="18"/>
              </w:rPr>
              <w:t>28</w:t>
            </w:r>
            <w:r w:rsidRPr="00B31535">
              <w:rPr>
                <w:rFonts w:ascii="Calibri" w:eastAsia="Times New Roman" w:hAnsi="Calibri" w:cs="Times New Roman"/>
                <w:szCs w:val="18"/>
              </w:rPr>
              <w:t>, consolidated cash flow statement pa</w:t>
            </w:r>
            <w:r>
              <w:rPr>
                <w:rFonts w:ascii="Calibri" w:eastAsia="Times New Roman" w:hAnsi="Calibri" w:cs="Times New Roman"/>
                <w:szCs w:val="18"/>
              </w:rPr>
              <w:t xml:space="preserve">ge </w:t>
            </w:r>
            <w:r w:rsidR="003928D6">
              <w:rPr>
                <w:rFonts w:ascii="Calibri" w:eastAsia="Times New Roman" w:hAnsi="Calibri" w:cs="Times New Roman"/>
                <w:szCs w:val="18"/>
              </w:rPr>
              <w:t>30</w:t>
            </w:r>
            <w:r>
              <w:rPr>
                <w:rFonts w:ascii="Calibri" w:eastAsia="Times New Roman" w:hAnsi="Calibri" w:cs="Times New Roman"/>
                <w:szCs w:val="18"/>
              </w:rPr>
              <w:t xml:space="preserve"> and Notes 1-8, pages </w:t>
            </w:r>
            <w:r w:rsidR="003928D6">
              <w:rPr>
                <w:rFonts w:ascii="Calibri" w:eastAsia="Times New Roman" w:hAnsi="Calibri" w:cs="Times New Roman"/>
                <w:szCs w:val="18"/>
              </w:rPr>
              <w:t>3</w:t>
            </w:r>
            <w:r>
              <w:rPr>
                <w:rFonts w:ascii="Calibri" w:eastAsia="Times New Roman" w:hAnsi="Calibri" w:cs="Times New Roman"/>
                <w:szCs w:val="18"/>
              </w:rPr>
              <w:t>3-13</w:t>
            </w:r>
            <w:r w:rsidR="003928D6">
              <w:rPr>
                <w:rFonts w:ascii="Calibri" w:eastAsia="Times New Roman" w:hAnsi="Calibri" w:cs="Times New Roman"/>
                <w:szCs w:val="18"/>
              </w:rPr>
              <w:t>4</w:t>
            </w:r>
          </w:p>
        </w:tc>
      </w:tr>
      <w:tr w:rsidR="00DF17E9" w:rsidRPr="00B31535" w:rsidTr="00044843">
        <w:trPr>
          <w:cantSplit/>
        </w:trPr>
        <w:tc>
          <w:tcPr>
            <w:tcW w:w="2250" w:type="dxa"/>
            <w:shd w:val="clear" w:color="auto" w:fill="auto"/>
          </w:tcPr>
          <w:p w:rsidR="00DF17E9" w:rsidRPr="00B31535" w:rsidRDefault="00DF17E9" w:rsidP="00744C3A">
            <w:pPr>
              <w:spacing w:after="40"/>
              <w:ind w:left="187" w:hanging="187"/>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in respect of the financial year;</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must include details of amounts paid into working accounts under section 23;</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003928D6">
              <w:rPr>
                <w:rFonts w:ascii="Calibri" w:eastAsia="Times New Roman" w:hAnsi="Calibri" w:cs="Times New Roman"/>
                <w:szCs w:val="18"/>
              </w:rPr>
              <w:t>.2.9, page 129</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must include details of amounts allocated to departments during the financial year under section 28;</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Note </w:t>
            </w:r>
            <w:r>
              <w:rPr>
                <w:rFonts w:ascii="Calibri" w:eastAsia="Times New Roman" w:hAnsi="Calibri" w:cs="Times New Roman"/>
                <w:szCs w:val="18"/>
              </w:rPr>
              <w:t>8</w:t>
            </w:r>
            <w:r w:rsidRPr="00B31535">
              <w:rPr>
                <w:rFonts w:ascii="Calibri" w:eastAsia="Times New Roman" w:hAnsi="Calibri" w:cs="Times New Roman"/>
                <w:szCs w:val="18"/>
              </w:rPr>
              <w:t>.2.10, page</w:t>
            </w:r>
            <w:r>
              <w:rPr>
                <w:rFonts w:ascii="Calibri" w:eastAsia="Times New Roman" w:hAnsi="Calibri" w:cs="Times New Roman"/>
                <w:szCs w:val="18"/>
              </w:rPr>
              <w:t> </w:t>
            </w:r>
            <w:r w:rsidR="003928D6">
              <w:rPr>
                <w:rFonts w:ascii="Calibri" w:eastAsia="Times New Roman" w:hAnsi="Calibri" w:cs="Times New Roman"/>
                <w:szCs w:val="18"/>
              </w:rPr>
              <w:t>130</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(e)</w:t>
            </w:r>
            <w:r w:rsidRPr="00B31535">
              <w:rPr>
                <w:rFonts w:ascii="Calibri" w:eastAsia="Times New Roman" w:hAnsi="Calibri" w:cs="Times New Roman"/>
                <w:szCs w:val="20"/>
              </w:rPr>
              <w:tab/>
              <w:t>must include details of money credited under section 29 to an item in a schedule to an appropriation Act for that financial year;</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Pr="00B31535">
              <w:rPr>
                <w:rFonts w:ascii="Calibri" w:eastAsia="Times New Roman" w:hAnsi="Calibri" w:cs="Times New Roman"/>
                <w:szCs w:val="18"/>
              </w:rPr>
              <w:t>.2.12, page </w:t>
            </w:r>
            <w:r w:rsidR="003928D6">
              <w:rPr>
                <w:rFonts w:ascii="Calibri" w:eastAsia="Times New Roman" w:hAnsi="Calibri" w:cs="Times New Roman"/>
                <w:szCs w:val="18"/>
              </w:rPr>
              <w:t>130</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(f)</w:t>
            </w:r>
            <w:r w:rsidRPr="00B31535">
              <w:rPr>
                <w:rFonts w:ascii="Calibri" w:eastAsia="Times New Roman" w:hAnsi="Calibri" w:cs="Times New Roman"/>
                <w:szCs w:val="20"/>
              </w:rPr>
              <w:tab/>
              <w:t>must include particulars of amounts transferred in accordance with determinations under section 30 or 31;</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Pr="00B31535">
              <w:rPr>
                <w:rFonts w:ascii="Calibri" w:eastAsia="Times New Roman" w:hAnsi="Calibri" w:cs="Times New Roman"/>
                <w:szCs w:val="18"/>
              </w:rPr>
              <w:t>.2.11, page </w:t>
            </w:r>
            <w:r w:rsidR="003928D6">
              <w:rPr>
                <w:rFonts w:ascii="Calibri" w:eastAsia="Times New Roman" w:hAnsi="Calibri" w:cs="Times New Roman"/>
                <w:szCs w:val="18"/>
              </w:rPr>
              <w:t>130</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(g)</w:t>
            </w:r>
            <w:r w:rsidRPr="00B31535">
              <w:rPr>
                <w:rFonts w:ascii="Calibri" w:eastAsia="Times New Roman" w:hAnsi="Calibri" w:cs="Times New Roman"/>
                <w:szCs w:val="20"/>
              </w:rPr>
              <w:tab/>
              <w:t>must include details of;</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amounts appropriated in respect of the financial year as a result of a determination under section 32 in respect of unused appropriation for the preceding financial year;</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Pr="00B31535">
              <w:rPr>
                <w:rFonts w:ascii="Calibri" w:eastAsia="Times New Roman" w:hAnsi="Calibri" w:cs="Times New Roman"/>
                <w:szCs w:val="18"/>
              </w:rPr>
              <w:t>.2.13, page </w:t>
            </w:r>
            <w:r w:rsidR="003928D6">
              <w:rPr>
                <w:rFonts w:ascii="Calibri" w:eastAsia="Times New Roman" w:hAnsi="Calibri" w:cs="Times New Roman"/>
                <w:szCs w:val="18"/>
              </w:rPr>
              <w:t>131</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the application during the financial year of amounts referred to in subparagraph (i); and</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Note </w:t>
            </w:r>
            <w:r>
              <w:rPr>
                <w:rFonts w:ascii="Calibri" w:eastAsia="Times New Roman" w:hAnsi="Calibri" w:cs="Times New Roman"/>
                <w:szCs w:val="18"/>
              </w:rPr>
              <w:t>8</w:t>
            </w:r>
            <w:r w:rsidR="003928D6">
              <w:rPr>
                <w:rFonts w:ascii="Calibri" w:eastAsia="Times New Roman" w:hAnsi="Calibri" w:cs="Times New Roman"/>
                <w:szCs w:val="18"/>
              </w:rPr>
              <w:t>.2.13, page 131</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amounts appropriated in respect of the next financial year as a result of a determination under section 32 in respect of unused appropriation for the financial year;</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003928D6">
              <w:rPr>
                <w:rFonts w:ascii="Calibri" w:eastAsia="Times New Roman" w:hAnsi="Calibri" w:cs="Times New Roman"/>
                <w:szCs w:val="18"/>
              </w:rPr>
              <w:t>.2.13, page 131</w:t>
            </w:r>
          </w:p>
        </w:tc>
      </w:tr>
      <w:tr w:rsidR="00DF17E9" w:rsidRPr="00B31535" w:rsidTr="00044843">
        <w:trPr>
          <w:cantSplit/>
        </w:trPr>
        <w:tc>
          <w:tcPr>
            <w:tcW w:w="2250" w:type="dxa"/>
            <w:shd w:val="clear" w:color="auto" w:fill="auto"/>
          </w:tcPr>
          <w:p w:rsidR="00DF17E9" w:rsidRPr="00B31535" w:rsidRDefault="00DF17E9" w:rsidP="00044843">
            <w:pPr>
              <w:spacing w:after="40"/>
              <w:ind w:left="187" w:hanging="187"/>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(h)</w:t>
            </w:r>
            <w:r w:rsidRPr="00B31535">
              <w:rPr>
                <w:rFonts w:ascii="Calibri" w:eastAsia="Times New Roman" w:hAnsi="Calibri" w:cs="Times New Roman"/>
                <w:szCs w:val="20"/>
              </w:rPr>
              <w:tab/>
              <w:t>must include;</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details of expenses and obligations met from money advanced to the Minister under section 35(1) during the financial year; and</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003928D6">
              <w:rPr>
                <w:rFonts w:ascii="Calibri" w:eastAsia="Times New Roman" w:hAnsi="Calibri" w:cs="Times New Roman"/>
                <w:szCs w:val="18"/>
              </w:rPr>
              <w:t>.2.15, page 134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a statement of the reasons for carrying forward any part of an unused advance to the next financial year under section 35(4);</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003928D6">
              <w:rPr>
                <w:rFonts w:ascii="Calibri" w:eastAsia="Times New Roman" w:hAnsi="Calibri" w:cs="Times New Roman"/>
                <w:szCs w:val="18"/>
              </w:rPr>
              <w:t>.2.16, page 134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(i)</w:t>
            </w:r>
            <w:r w:rsidRPr="00B31535">
              <w:rPr>
                <w:rFonts w:ascii="Calibri" w:eastAsia="Times New Roman" w:hAnsi="Calibri" w:cs="Times New Roman"/>
                <w:szCs w:val="20"/>
              </w:rPr>
              <w:tab/>
              <w:t>must include details of payments made during the financial year out of money advanced to the Treasurer in an annual appropriation Act for that year to meet urgent claims;</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Refer Chapter 4, No</w:t>
            </w:r>
            <w:r>
              <w:rPr>
                <w:rFonts w:ascii="Calibri" w:eastAsia="Times New Roman" w:hAnsi="Calibri" w:cs="Times New Roman"/>
                <w:szCs w:val="18"/>
              </w:rPr>
              <w:t>te 8</w:t>
            </w:r>
            <w:r w:rsidR="003928D6">
              <w:rPr>
                <w:rFonts w:ascii="Calibri" w:eastAsia="Times New Roman" w:hAnsi="Calibri" w:cs="Times New Roman"/>
                <w:szCs w:val="18"/>
              </w:rPr>
              <w:t>.2.14, pages 132-133</w:t>
            </w:r>
          </w:p>
        </w:tc>
      </w:tr>
      <w:tr w:rsidR="00DF17E9" w:rsidRPr="00B31535" w:rsidTr="00044843">
        <w:trPr>
          <w:cantSplit/>
        </w:trPr>
        <w:tc>
          <w:tcPr>
            <w:tcW w:w="2250" w:type="dxa"/>
            <w:shd w:val="clear" w:color="auto" w:fill="auto"/>
          </w:tcPr>
          <w:p w:rsidR="00DF17E9" w:rsidRPr="00B31535" w:rsidRDefault="00DF17E9" w:rsidP="00744C3A">
            <w:pPr>
              <w:spacing w:after="0"/>
              <w:ind w:left="187" w:hanging="187"/>
              <w:rPr>
                <w:rFonts w:ascii="Calibri" w:eastAsia="Times New Roman" w:hAnsi="Calibri" w:cs="Times New Roman"/>
                <w:szCs w:val="18"/>
                <w:highlight w:val="yellow"/>
              </w:rPr>
            </w:pPr>
          </w:p>
        </w:tc>
        <w:tc>
          <w:tcPr>
            <w:tcW w:w="4183" w:type="dxa"/>
            <w:shd w:val="clear" w:color="auto" w:fill="auto"/>
          </w:tcPr>
          <w:p w:rsidR="00DF17E9" w:rsidRPr="00B31535" w:rsidRDefault="00DF17E9" w:rsidP="00744C3A">
            <w:pPr>
              <w:tabs>
                <w:tab w:val="left" w:pos="344"/>
              </w:tabs>
              <w:spacing w:after="0"/>
              <w:ind w:left="362" w:hanging="362"/>
              <w:rPr>
                <w:rFonts w:ascii="Calibri" w:eastAsia="Times New Roman" w:hAnsi="Calibri" w:cs="Times New Roman"/>
                <w:szCs w:val="18"/>
              </w:rPr>
            </w:pPr>
            <w:r w:rsidRPr="00B31535">
              <w:rPr>
                <w:rFonts w:ascii="Calibri" w:eastAsia="Times New Roman" w:hAnsi="Calibri" w:cs="Times New Roman"/>
                <w:szCs w:val="18"/>
              </w:rPr>
              <w:t>(j)</w:t>
            </w:r>
            <w:r w:rsidRPr="00B31535">
              <w:rPr>
                <w:rFonts w:ascii="Calibri" w:eastAsia="Times New Roman" w:hAnsi="Calibri" w:cs="Times New Roman"/>
                <w:szCs w:val="18"/>
              </w:rPr>
              <w:tab/>
              <w:t>must include details of;</w:t>
            </w:r>
          </w:p>
        </w:tc>
        <w:tc>
          <w:tcPr>
            <w:tcW w:w="3240" w:type="dxa"/>
            <w:shd w:val="clear" w:color="auto" w:fill="auto"/>
          </w:tcPr>
          <w:p w:rsidR="00DF17E9" w:rsidRPr="00B31535" w:rsidRDefault="00DF17E9" w:rsidP="00744C3A">
            <w:pPr>
              <w:spacing w:after="0"/>
              <w:rPr>
                <w:rFonts w:ascii="Calibri" w:eastAsia="Times New Roman" w:hAnsi="Calibri" w:cs="Times New Roman"/>
                <w:szCs w:val="18"/>
              </w:rPr>
            </w:pP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highlight w:val="yellow"/>
              </w:rPr>
            </w:pPr>
          </w:p>
        </w:tc>
        <w:tc>
          <w:tcPr>
            <w:tcW w:w="4183" w:type="dxa"/>
            <w:shd w:val="clear" w:color="auto" w:fill="auto"/>
          </w:tcPr>
          <w:p w:rsidR="00DF17E9" w:rsidRPr="00B31535" w:rsidRDefault="00DF17E9" w:rsidP="00044843">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payments made during the financial year in fulfilment of any guarantee by the Government under any Act; and</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003928D6">
              <w:rPr>
                <w:rFonts w:ascii="Calibri" w:eastAsia="Times New Roman" w:hAnsi="Calibri" w:cs="Times New Roman"/>
                <w:szCs w:val="18"/>
              </w:rPr>
              <w:t>.2.17, page 134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highlight w:val="yellow"/>
              </w:rPr>
            </w:pPr>
          </w:p>
        </w:tc>
        <w:tc>
          <w:tcPr>
            <w:tcW w:w="4183" w:type="dxa"/>
            <w:shd w:val="clear" w:color="auto" w:fill="auto"/>
          </w:tcPr>
          <w:p w:rsidR="00DF17E9" w:rsidRPr="00B31535" w:rsidRDefault="00DF17E9" w:rsidP="00044843">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money received or recovered by the Minister or Treasurer during the financial year in respect of any guarantee payments;</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 Note 8</w:t>
            </w:r>
            <w:r w:rsidR="003928D6">
              <w:rPr>
                <w:rFonts w:ascii="Calibri" w:eastAsia="Times New Roman" w:hAnsi="Calibri" w:cs="Times New Roman"/>
                <w:szCs w:val="18"/>
              </w:rPr>
              <w:t>.2.17, page 134</w:t>
            </w:r>
          </w:p>
        </w:tc>
      </w:tr>
      <w:tr w:rsidR="00DF17E9" w:rsidRPr="00B31535" w:rsidTr="00044843">
        <w:trPr>
          <w:cantSplit/>
        </w:trPr>
        <w:tc>
          <w:tcPr>
            <w:tcW w:w="2250" w:type="dxa"/>
            <w:shd w:val="clear" w:color="auto" w:fill="auto"/>
          </w:tcPr>
          <w:p w:rsidR="00DF17E9" w:rsidRPr="00B31535" w:rsidRDefault="00DF17E9" w:rsidP="00044843">
            <w:pPr>
              <w:spacing w:after="40"/>
              <w:ind w:left="187" w:hanging="187"/>
              <w:rPr>
                <w:rFonts w:ascii="Calibri" w:eastAsia="Times New Roman" w:hAnsi="Calibri" w:cs="Times New Roman"/>
                <w:szCs w:val="18"/>
                <w:highlight w:val="yellow"/>
              </w:rPr>
            </w:pPr>
            <w:r w:rsidRPr="00B31535">
              <w:rPr>
                <w:rFonts w:ascii="Calibri" w:eastAsia="Times New Roman" w:hAnsi="Calibri" w:cs="Times New Roman"/>
                <w:szCs w:val="18"/>
                <w:highlight w:val="yellow"/>
              </w:rPr>
              <w:br w:type="page"/>
            </w: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(k)</w:t>
            </w:r>
            <w:r w:rsidRPr="00B31535">
              <w:rPr>
                <w:rFonts w:ascii="Calibri" w:eastAsia="Times New Roman" w:hAnsi="Calibri" w:cs="Times New Roman"/>
                <w:szCs w:val="20"/>
              </w:rPr>
              <w:tab/>
              <w:t>must include details, as at the end of the financial year, of;</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highlight w:val="yellow"/>
              </w:rPr>
            </w:pPr>
          </w:p>
        </w:tc>
        <w:tc>
          <w:tcPr>
            <w:tcW w:w="4183" w:type="dxa"/>
            <w:shd w:val="clear" w:color="auto" w:fill="auto"/>
          </w:tcPr>
          <w:p w:rsidR="00DF17E9" w:rsidRPr="00B31535" w:rsidRDefault="00DF17E9" w:rsidP="00044843">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rsidR="00DF17E9" w:rsidRPr="00B31535" w:rsidRDefault="00DF17E9" w:rsidP="003928D6">
            <w:pPr>
              <w:spacing w:after="40"/>
              <w:rPr>
                <w:rFonts w:ascii="Calibri" w:eastAsia="Times New Roman" w:hAnsi="Calibri" w:cs="Times New Roman"/>
                <w:szCs w:val="18"/>
              </w:rPr>
            </w:pPr>
            <w:r>
              <w:rPr>
                <w:rFonts w:ascii="Calibri" w:eastAsia="Times New Roman" w:hAnsi="Calibri" w:cs="Times New Roman"/>
                <w:szCs w:val="18"/>
              </w:rPr>
              <w:t>Refer Chapter 4, Note 7.2 pages </w:t>
            </w:r>
            <w:r w:rsidR="003928D6">
              <w:rPr>
                <w:rFonts w:ascii="Calibri" w:eastAsia="Times New Roman" w:hAnsi="Calibri" w:cs="Times New Roman"/>
                <w:szCs w:val="18"/>
              </w:rPr>
              <w:t>93</w:t>
            </w:r>
            <w:r>
              <w:rPr>
                <w:rFonts w:ascii="Calibri" w:eastAsia="Times New Roman" w:hAnsi="Calibri" w:cs="Times New Roman"/>
                <w:szCs w:val="18"/>
              </w:rPr>
              <w:t>-</w:t>
            </w:r>
            <w:r w:rsidR="003928D6">
              <w:rPr>
                <w:rFonts w:ascii="Calibri" w:eastAsia="Times New Roman" w:hAnsi="Calibri" w:cs="Times New Roman"/>
                <w:szCs w:val="18"/>
              </w:rPr>
              <w:t>9</w:t>
            </w:r>
            <w:r>
              <w:rPr>
                <w:rFonts w:ascii="Calibri" w:eastAsia="Times New Roman" w:hAnsi="Calibri" w:cs="Times New Roman"/>
                <w:szCs w:val="18"/>
              </w:rPr>
              <w:t>7, Note 3.2 pages </w:t>
            </w:r>
            <w:r>
              <w:rPr>
                <w:rFonts w:ascii="Calibri" w:eastAsia="Times New Roman" w:hAnsi="Calibri" w:cs="Times New Roman"/>
                <w:szCs w:val="18"/>
              </w:rPr>
              <w:br/>
            </w:r>
            <w:r w:rsidR="003928D6">
              <w:rPr>
                <w:rFonts w:ascii="Calibri" w:eastAsia="Times New Roman" w:hAnsi="Calibri" w:cs="Times New Roman"/>
                <w:szCs w:val="18"/>
              </w:rPr>
              <w:t>42-43</w:t>
            </w:r>
            <w:r w:rsidRPr="00B31535">
              <w:rPr>
                <w:rFonts w:ascii="Calibri" w:eastAsia="Times New Roman" w:hAnsi="Calibri" w:cs="Times New Roman"/>
                <w:szCs w:val="18"/>
              </w:rPr>
              <w:t xml:space="preserve"> and c</w:t>
            </w:r>
            <w:r w:rsidR="003928D6">
              <w:rPr>
                <w:rFonts w:ascii="Calibri" w:eastAsia="Times New Roman" w:hAnsi="Calibri" w:cs="Times New Roman"/>
                <w:szCs w:val="18"/>
              </w:rPr>
              <w:t>onsolidated balance sheet page 29</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highlight w:val="yellow"/>
              </w:rPr>
            </w:pPr>
          </w:p>
        </w:tc>
        <w:tc>
          <w:tcPr>
            <w:tcW w:w="4183" w:type="dxa"/>
            <w:shd w:val="clear" w:color="auto" w:fill="auto"/>
          </w:tcPr>
          <w:p w:rsidR="00DF17E9" w:rsidRPr="00B31535" w:rsidRDefault="00DF17E9" w:rsidP="00044843">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prescribed assets and prescribed liabilities of prescribed bodies;</w:t>
            </w:r>
          </w:p>
        </w:tc>
        <w:tc>
          <w:tcPr>
            <w:tcW w:w="3240" w:type="dxa"/>
            <w:shd w:val="clear" w:color="auto" w:fill="auto"/>
          </w:tcPr>
          <w:p w:rsidR="00DF17E9" w:rsidRPr="00B31535" w:rsidRDefault="00DF17E9" w:rsidP="003928D6">
            <w:pPr>
              <w:spacing w:after="40"/>
              <w:rPr>
                <w:rFonts w:ascii="Calibri" w:eastAsia="Times New Roman" w:hAnsi="Calibri" w:cs="Times New Roman"/>
                <w:szCs w:val="18"/>
              </w:rPr>
            </w:pPr>
            <w:r w:rsidRPr="003928D6">
              <w:rPr>
                <w:rFonts w:ascii="Calibri" w:eastAsia="Times New Roman" w:hAnsi="Calibri" w:cs="Times New Roman"/>
                <w:szCs w:val="18"/>
              </w:rPr>
              <w:t>Refer Chapter 4, Note 9.1 pages </w:t>
            </w:r>
            <w:r w:rsidRPr="003928D6">
              <w:rPr>
                <w:rFonts w:ascii="Calibri" w:eastAsia="Times New Roman" w:hAnsi="Calibri" w:cs="Times New Roman"/>
                <w:szCs w:val="18"/>
              </w:rPr>
              <w:br/>
              <w:t>1</w:t>
            </w:r>
            <w:r w:rsidR="003928D6" w:rsidRPr="003928D6">
              <w:rPr>
                <w:rFonts w:ascii="Calibri" w:eastAsia="Times New Roman" w:hAnsi="Calibri" w:cs="Times New Roman"/>
                <w:szCs w:val="18"/>
              </w:rPr>
              <w:t>36</w:t>
            </w:r>
            <w:r w:rsidRPr="003928D6">
              <w:rPr>
                <w:rFonts w:ascii="Calibri" w:eastAsia="Times New Roman" w:hAnsi="Calibri" w:cs="Times New Roman"/>
                <w:szCs w:val="18"/>
              </w:rPr>
              <w:t>-1</w:t>
            </w:r>
            <w:r w:rsidR="003928D6" w:rsidRPr="003928D6">
              <w:rPr>
                <w:rFonts w:ascii="Calibri" w:eastAsia="Times New Roman" w:hAnsi="Calibri" w:cs="Times New Roman"/>
                <w:szCs w:val="18"/>
              </w:rPr>
              <w:t>43</w:t>
            </w:r>
            <w:r w:rsidRPr="003928D6">
              <w:rPr>
                <w:rFonts w:ascii="Calibri" w:eastAsia="Times New Roman" w:hAnsi="Calibri" w:cs="Times New Roman"/>
                <w:szCs w:val="18"/>
              </w:rPr>
              <w:t>, Refer Chapter 5, Table 5.2 page</w:t>
            </w:r>
            <w:r w:rsidR="003928D6" w:rsidRPr="003928D6">
              <w:rPr>
                <w:rFonts w:ascii="Calibri" w:eastAsia="Times New Roman" w:hAnsi="Calibri" w:cs="Times New Roman"/>
                <w:szCs w:val="18"/>
              </w:rPr>
              <w:t> 159</w:t>
            </w:r>
          </w:p>
        </w:tc>
      </w:tr>
      <w:tr w:rsidR="00DF17E9" w:rsidRPr="00B31535" w:rsidTr="00044843">
        <w:trPr>
          <w:cantSplit/>
        </w:trPr>
        <w:tc>
          <w:tcPr>
            <w:tcW w:w="2250" w:type="dxa"/>
            <w:shd w:val="clear" w:color="auto" w:fill="auto"/>
          </w:tcPr>
          <w:p w:rsidR="00DF17E9" w:rsidRPr="00B31535" w:rsidRDefault="00DF17E9" w:rsidP="00044843">
            <w:pPr>
              <w:spacing w:after="40"/>
              <w:ind w:left="187" w:hanging="187"/>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(m) must be audited by the Auditor</w:t>
            </w:r>
            <w:r w:rsidRPr="00B31535">
              <w:rPr>
                <w:rFonts w:ascii="Calibri" w:eastAsia="Times New Roman" w:hAnsi="Calibri" w:cs="Times New Roman"/>
                <w:szCs w:val="20"/>
              </w:rPr>
              <w:noBreakHyphen/>
              <w:t>General.</w:t>
            </w:r>
          </w:p>
        </w:tc>
        <w:tc>
          <w:tcPr>
            <w:tcW w:w="3240" w:type="dxa"/>
            <w:shd w:val="clear" w:color="auto" w:fill="auto"/>
          </w:tcPr>
          <w:p w:rsidR="00DF17E9" w:rsidRPr="00B31535" w:rsidRDefault="00DF17E9" w:rsidP="003928D6">
            <w:pPr>
              <w:spacing w:after="40"/>
              <w:rPr>
                <w:rFonts w:ascii="Calibri" w:eastAsia="Times New Roman" w:hAnsi="Calibri" w:cs="Times New Roman"/>
                <w:szCs w:val="18"/>
              </w:rPr>
            </w:pPr>
            <w:r w:rsidRPr="00B31535">
              <w:rPr>
                <w:rFonts w:ascii="Calibri" w:eastAsia="Times New Roman" w:hAnsi="Calibri" w:cs="Times New Roman"/>
                <w:szCs w:val="18"/>
              </w:rPr>
              <w:t>Refer Chapter 4, Report of the Auditor</w:t>
            </w:r>
            <w:r w:rsidRPr="00B31535">
              <w:rPr>
                <w:rFonts w:ascii="Calibri" w:eastAsia="Times New Roman" w:hAnsi="Calibri" w:cs="Times New Roman"/>
                <w:szCs w:val="18"/>
              </w:rPr>
              <w:noBreakHyphen/>
              <w:t>General, pages </w:t>
            </w:r>
            <w:r w:rsidR="003928D6">
              <w:rPr>
                <w:rFonts w:ascii="Calibri" w:eastAsia="Times New Roman" w:hAnsi="Calibri" w:cs="Times New Roman"/>
                <w:szCs w:val="18"/>
              </w:rPr>
              <w:t>25-26</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26(1)</w:t>
            </w:r>
          </w:p>
        </w:tc>
        <w:tc>
          <w:tcPr>
            <w:tcW w:w="4183"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 xml:space="preserve">The Minister must prepare a </w:t>
            </w:r>
            <w:r w:rsidRPr="00B31535">
              <w:rPr>
                <w:rFonts w:ascii="Calibri" w:eastAsia="Times New Roman" w:hAnsi="Calibri" w:cs="Times New Roman"/>
                <w:szCs w:val="24"/>
              </w:rPr>
              <w:t>quarterly</w:t>
            </w:r>
            <w:r w:rsidRPr="00B31535">
              <w:rPr>
                <w:rFonts w:ascii="Calibri" w:eastAsia="Times New Roman" w:hAnsi="Calibri" w:cs="Times New Roman"/>
                <w:szCs w:val="18"/>
              </w:rPr>
              <w:t xml:space="preserve"> financial report for each quarter of each financial year.</w:t>
            </w:r>
          </w:p>
        </w:tc>
        <w:tc>
          <w:tcPr>
            <w:tcW w:w="3240" w:type="dxa"/>
            <w:shd w:val="clear" w:color="auto" w:fill="auto"/>
          </w:tcPr>
          <w:p w:rsidR="00DF17E9" w:rsidRPr="00A17F72" w:rsidRDefault="00DF17E9" w:rsidP="00A17F72">
            <w:pPr>
              <w:spacing w:after="40"/>
              <w:rPr>
                <w:rFonts w:ascii="Calibri" w:eastAsia="Times New Roman" w:hAnsi="Calibri" w:cs="Times New Roman"/>
                <w:szCs w:val="18"/>
              </w:rPr>
            </w:pPr>
            <w:r w:rsidRPr="00A17F72">
              <w:rPr>
                <w:rFonts w:ascii="Calibri" w:eastAsia="Times New Roman" w:hAnsi="Calibri" w:cs="Times New Roman"/>
                <w:szCs w:val="18"/>
              </w:rPr>
              <w:t xml:space="preserve">Refer Appendix A, pages </w:t>
            </w:r>
            <w:r w:rsidRPr="00A17F72">
              <w:rPr>
                <w:rFonts w:ascii="Calibri" w:eastAsia="Times New Roman" w:hAnsi="Calibri" w:cs="Times New Roman"/>
                <w:szCs w:val="18"/>
              </w:rPr>
              <w:br/>
            </w:r>
            <w:r w:rsidR="00A17F72" w:rsidRPr="00A17F72">
              <w:rPr>
                <w:rFonts w:ascii="Calibri" w:eastAsia="Times New Roman" w:hAnsi="Calibri" w:cs="Times New Roman"/>
                <w:szCs w:val="18"/>
              </w:rPr>
              <w:t>167-169</w:t>
            </w:r>
          </w:p>
        </w:tc>
      </w:tr>
      <w:tr w:rsidR="00DF17E9" w:rsidRPr="00B31535" w:rsidTr="00044843">
        <w:trPr>
          <w:cantSplit/>
        </w:trPr>
        <w:tc>
          <w:tcPr>
            <w:tcW w:w="2250" w:type="dxa"/>
            <w:shd w:val="clear" w:color="auto" w:fill="auto"/>
          </w:tcPr>
          <w:p w:rsidR="00DF17E9" w:rsidRPr="00B31535" w:rsidRDefault="00DF17E9" w:rsidP="00044843">
            <w:pPr>
              <w:spacing w:after="0"/>
              <w:ind w:left="180" w:hanging="180"/>
              <w:rPr>
                <w:rFonts w:ascii="Calibri" w:eastAsia="Times New Roman" w:hAnsi="Calibri" w:cs="Times New Roman"/>
                <w:szCs w:val="18"/>
              </w:rPr>
            </w:pPr>
            <w:r w:rsidRPr="00B31535">
              <w:rPr>
                <w:rFonts w:ascii="Calibri" w:eastAsia="Times New Roman" w:hAnsi="Calibri" w:cs="Times New Roman"/>
                <w:szCs w:val="18"/>
              </w:rPr>
              <w:t>Section 26(2)</w:t>
            </w:r>
          </w:p>
        </w:tc>
        <w:tc>
          <w:tcPr>
            <w:tcW w:w="4183" w:type="dxa"/>
            <w:shd w:val="clear" w:color="auto" w:fill="auto"/>
          </w:tcPr>
          <w:p w:rsidR="00DF17E9" w:rsidRPr="00B31535" w:rsidRDefault="00DF17E9" w:rsidP="00044843">
            <w:pPr>
              <w:spacing w:after="0"/>
              <w:rPr>
                <w:rFonts w:ascii="Calibri" w:eastAsia="Times New Roman" w:hAnsi="Calibri" w:cs="Times New Roman"/>
                <w:szCs w:val="18"/>
              </w:rPr>
            </w:pPr>
            <w:r w:rsidRPr="00B31535">
              <w:rPr>
                <w:rFonts w:ascii="Calibri" w:eastAsia="Times New Roman" w:hAnsi="Calibri" w:cs="Times New Roman"/>
                <w:szCs w:val="18"/>
              </w:rPr>
              <w:t>A quarterly financial report comprises:</w:t>
            </w:r>
          </w:p>
        </w:tc>
        <w:tc>
          <w:tcPr>
            <w:tcW w:w="3240" w:type="dxa"/>
            <w:shd w:val="clear" w:color="auto" w:fill="auto"/>
          </w:tcPr>
          <w:p w:rsidR="00DF17E9" w:rsidRPr="00A17F72" w:rsidRDefault="00DF17E9" w:rsidP="00044843">
            <w:pPr>
              <w:spacing w:after="0"/>
              <w:rPr>
                <w:rFonts w:ascii="Calibri" w:eastAsia="Times New Roman" w:hAnsi="Calibri" w:cs="Times New Roman"/>
                <w:szCs w:val="18"/>
              </w:rPr>
            </w:pP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a statement of financial performance of the Victorian general government sector for the quarter;</w:t>
            </w:r>
          </w:p>
        </w:tc>
        <w:tc>
          <w:tcPr>
            <w:tcW w:w="3240" w:type="dxa"/>
            <w:shd w:val="clear" w:color="auto" w:fill="auto"/>
          </w:tcPr>
          <w:p w:rsidR="00DF17E9" w:rsidRPr="00A17F72" w:rsidRDefault="00DF17E9" w:rsidP="00A17F72">
            <w:pPr>
              <w:spacing w:after="40"/>
              <w:rPr>
                <w:rFonts w:ascii="Calibri" w:eastAsia="Times New Roman" w:hAnsi="Calibri" w:cs="Times New Roman"/>
                <w:szCs w:val="18"/>
              </w:rPr>
            </w:pPr>
            <w:r w:rsidRPr="00A17F72">
              <w:rPr>
                <w:rFonts w:ascii="Calibri" w:eastAsia="Times New Roman" w:hAnsi="Calibri" w:cs="Times New Roman"/>
                <w:szCs w:val="18"/>
              </w:rPr>
              <w:t>Refer Appendix A, pages</w:t>
            </w:r>
            <w:r w:rsidRPr="00A17F72">
              <w:rPr>
                <w:rFonts w:ascii="Calibri" w:eastAsia="Times New Roman" w:hAnsi="Calibri" w:cs="Times New Roman"/>
                <w:szCs w:val="18"/>
              </w:rPr>
              <w:br/>
            </w:r>
            <w:r w:rsidR="00A17F72" w:rsidRPr="00A17F72">
              <w:rPr>
                <w:rFonts w:ascii="Calibri" w:eastAsia="Times New Roman" w:hAnsi="Calibri" w:cs="Times New Roman"/>
                <w:szCs w:val="18"/>
              </w:rPr>
              <w:t>167</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(b)</w:t>
            </w:r>
            <w:r w:rsidRPr="00B31535">
              <w:rPr>
                <w:rFonts w:ascii="Calibri" w:eastAsia="Times New Roman" w:hAnsi="Calibri" w:cs="Times New Roman"/>
                <w:szCs w:val="20"/>
              </w:rPr>
              <w:tab/>
              <w:t>a statement of financial position of the Victorian general government sector at the end of the quarter;</w:t>
            </w:r>
          </w:p>
        </w:tc>
        <w:tc>
          <w:tcPr>
            <w:tcW w:w="3240" w:type="dxa"/>
            <w:shd w:val="clear" w:color="auto" w:fill="auto"/>
          </w:tcPr>
          <w:p w:rsidR="00DF17E9" w:rsidRPr="00A17F72" w:rsidRDefault="00DF17E9" w:rsidP="00A17F72">
            <w:pPr>
              <w:spacing w:after="40"/>
              <w:rPr>
                <w:rFonts w:ascii="Calibri" w:eastAsia="Times New Roman" w:hAnsi="Calibri" w:cs="Times New Roman"/>
                <w:szCs w:val="18"/>
              </w:rPr>
            </w:pPr>
            <w:r w:rsidRPr="00A17F72">
              <w:rPr>
                <w:rFonts w:ascii="Calibri" w:eastAsia="Times New Roman" w:hAnsi="Calibri" w:cs="Times New Roman"/>
                <w:szCs w:val="18"/>
              </w:rPr>
              <w:t xml:space="preserve">Refer Appendix A, page </w:t>
            </w:r>
            <w:r w:rsidR="00A17F72" w:rsidRPr="00A17F72">
              <w:rPr>
                <w:rFonts w:ascii="Calibri" w:eastAsia="Times New Roman" w:hAnsi="Calibri" w:cs="Times New Roman"/>
                <w:szCs w:val="18"/>
              </w:rPr>
              <w:t>168</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a statement of cash flows of the Victorian general government sector for the quarter; and</w:t>
            </w:r>
          </w:p>
        </w:tc>
        <w:tc>
          <w:tcPr>
            <w:tcW w:w="3240" w:type="dxa"/>
            <w:shd w:val="clear" w:color="auto" w:fill="auto"/>
          </w:tcPr>
          <w:p w:rsidR="00DF17E9" w:rsidRPr="00A17F72" w:rsidRDefault="00DF17E9" w:rsidP="00044843">
            <w:pPr>
              <w:spacing w:after="40"/>
              <w:rPr>
                <w:rFonts w:ascii="Calibri" w:eastAsia="Times New Roman" w:hAnsi="Calibri" w:cs="Times New Roman"/>
                <w:szCs w:val="18"/>
              </w:rPr>
            </w:pPr>
            <w:r w:rsidRPr="00A17F72">
              <w:rPr>
                <w:rFonts w:ascii="Calibri" w:eastAsia="Times New Roman" w:hAnsi="Calibri" w:cs="Times New Roman"/>
                <w:szCs w:val="18"/>
              </w:rPr>
              <w:t>Refer Appendix A, page </w:t>
            </w:r>
            <w:r w:rsidR="00A17F72" w:rsidRPr="00A17F72">
              <w:rPr>
                <w:rFonts w:ascii="Calibri" w:eastAsia="Times New Roman" w:hAnsi="Calibri" w:cs="Times New Roman"/>
                <w:szCs w:val="18"/>
              </w:rPr>
              <w:t>169</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p>
        </w:tc>
        <w:tc>
          <w:tcPr>
            <w:tcW w:w="4183" w:type="dxa"/>
            <w:shd w:val="clear" w:color="auto" w:fill="auto"/>
          </w:tcPr>
          <w:p w:rsidR="00DF17E9" w:rsidRPr="00B31535" w:rsidRDefault="00DF17E9" w:rsidP="00044843">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a statement of the accounting policies on which the statements required by paragraphs (a), (b) and (c) are based.</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rPr>
            </w:pPr>
            <w:r>
              <w:rPr>
                <w:rFonts w:ascii="Calibri" w:eastAsia="Times New Roman" w:hAnsi="Calibri" w:cs="Times New Roman"/>
                <w:szCs w:val="18"/>
              </w:rPr>
              <w:t>Refer Chapter 4</w:t>
            </w:r>
          </w:p>
        </w:tc>
      </w:tr>
      <w:tr w:rsidR="00DF17E9" w:rsidRPr="00B31535" w:rsidTr="00044843">
        <w:trPr>
          <w:cantSplit/>
        </w:trPr>
        <w:tc>
          <w:tcPr>
            <w:tcW w:w="2250" w:type="dxa"/>
            <w:shd w:val="clear" w:color="auto" w:fill="auto"/>
          </w:tcPr>
          <w:p w:rsidR="00DF17E9" w:rsidRPr="00B31535" w:rsidRDefault="00DF17E9" w:rsidP="00044843">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lastRenderedPageBreak/>
              <w:t>Section 26(2A)</w:t>
            </w:r>
          </w:p>
        </w:tc>
        <w:tc>
          <w:tcPr>
            <w:tcW w:w="4183" w:type="dxa"/>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A quarterly financial report must be prepared in the manner and form determined by the Minister, having regard to appropriate financial reporting frameworks.</w:t>
            </w:r>
          </w:p>
        </w:tc>
        <w:tc>
          <w:tcPr>
            <w:tcW w:w="3240" w:type="dxa"/>
            <w:shd w:val="clear" w:color="auto" w:fill="auto"/>
          </w:tcPr>
          <w:p w:rsidR="00DF17E9" w:rsidRPr="00B31535" w:rsidRDefault="00DF17E9" w:rsidP="00044843">
            <w:pPr>
              <w:spacing w:after="40"/>
              <w:rPr>
                <w:rFonts w:ascii="Calibri" w:eastAsia="Times New Roman" w:hAnsi="Calibri" w:cs="Times New Roman"/>
                <w:szCs w:val="18"/>
                <w:highlight w:val="yellow"/>
              </w:rPr>
            </w:pPr>
            <w:r w:rsidRPr="00A17F72">
              <w:rPr>
                <w:rFonts w:ascii="Calibri" w:eastAsia="Times New Roman" w:hAnsi="Calibri" w:cs="Times New Roman"/>
                <w:szCs w:val="18"/>
              </w:rPr>
              <w:t xml:space="preserve">Refer to Appendix A for agreed form, pages </w:t>
            </w:r>
            <w:r w:rsidR="00A17F72" w:rsidRPr="00A17F72">
              <w:rPr>
                <w:rFonts w:ascii="Calibri" w:eastAsia="Times New Roman" w:hAnsi="Calibri" w:cs="Times New Roman"/>
                <w:szCs w:val="18"/>
              </w:rPr>
              <w:t>167-169</w:t>
            </w:r>
          </w:p>
        </w:tc>
      </w:tr>
      <w:tr w:rsidR="00DF17E9" w:rsidRPr="00B31535" w:rsidTr="00044843">
        <w:trPr>
          <w:cantSplit/>
        </w:trPr>
        <w:tc>
          <w:tcPr>
            <w:tcW w:w="2250" w:type="dxa"/>
            <w:tcBorders>
              <w:bottom w:val="single" w:sz="12" w:space="0" w:color="auto"/>
            </w:tcBorders>
            <w:shd w:val="clear" w:color="auto" w:fill="auto"/>
          </w:tcPr>
          <w:p w:rsidR="00DF17E9" w:rsidRPr="00B31535" w:rsidRDefault="00DF17E9" w:rsidP="00044843">
            <w:pPr>
              <w:spacing w:after="40"/>
              <w:ind w:left="187" w:hanging="187"/>
              <w:rPr>
                <w:rFonts w:ascii="Calibri" w:eastAsia="Times New Roman" w:hAnsi="Calibri" w:cs="Times New Roman"/>
                <w:szCs w:val="18"/>
              </w:rPr>
            </w:pPr>
            <w:r w:rsidRPr="00B31535">
              <w:rPr>
                <w:rFonts w:ascii="Calibri" w:eastAsia="Times New Roman" w:hAnsi="Calibri" w:cs="Times New Roman"/>
                <w:szCs w:val="18"/>
              </w:rPr>
              <w:t>Section 26(3A)</w:t>
            </w:r>
          </w:p>
        </w:tc>
        <w:tc>
          <w:tcPr>
            <w:tcW w:w="4183" w:type="dxa"/>
            <w:tcBorders>
              <w:bottom w:val="single" w:sz="12" w:space="0" w:color="auto"/>
            </w:tcBorders>
            <w:shd w:val="clear" w:color="auto" w:fill="auto"/>
          </w:tcPr>
          <w:p w:rsidR="00DF17E9" w:rsidRPr="00B31535" w:rsidRDefault="00DF17E9" w:rsidP="00044843">
            <w:pPr>
              <w:spacing w:after="40"/>
              <w:rPr>
                <w:rFonts w:ascii="Calibri" w:eastAsia="Times New Roman" w:hAnsi="Calibri" w:cs="Times New Roman"/>
                <w:szCs w:val="18"/>
              </w:rPr>
            </w:pPr>
            <w:r w:rsidRPr="00B31535">
              <w:rPr>
                <w:rFonts w:ascii="Calibri" w:eastAsia="Times New Roman" w:hAnsi="Calibri" w:cs="Times New Roman"/>
                <w:szCs w:val="18"/>
              </w:rPr>
              <w:t>The quarterly financial report for the quarter ending on 30 June in a financial year must include, in addition to the statements referred to in sub</w:t>
            </w:r>
            <w:r w:rsidRPr="00B31535">
              <w:rPr>
                <w:rFonts w:ascii="Calibri" w:eastAsia="Times New Roman" w:hAnsi="Calibri" w:cs="Times New Roman"/>
                <w:szCs w:val="18"/>
              </w:rPr>
              <w:noBreakHyphen/>
              <w:t>section (2)(a) to (d) for that quarter, those statements for the period of 12 months ending on that 30 June.</w:t>
            </w:r>
          </w:p>
        </w:tc>
        <w:tc>
          <w:tcPr>
            <w:tcW w:w="3240" w:type="dxa"/>
            <w:tcBorders>
              <w:bottom w:val="single" w:sz="12" w:space="0" w:color="auto"/>
            </w:tcBorders>
            <w:shd w:val="clear" w:color="auto" w:fill="auto"/>
          </w:tcPr>
          <w:p w:rsidR="00DF17E9" w:rsidRPr="00B31535" w:rsidRDefault="00DF17E9" w:rsidP="00A17F72">
            <w:pPr>
              <w:spacing w:after="40"/>
              <w:rPr>
                <w:rFonts w:ascii="Calibri" w:eastAsia="Times New Roman" w:hAnsi="Calibri" w:cs="Times New Roman"/>
                <w:szCs w:val="18"/>
              </w:rPr>
            </w:pPr>
            <w:r w:rsidRPr="00B31535">
              <w:rPr>
                <w:rFonts w:ascii="Calibri" w:eastAsia="Times New Roman" w:hAnsi="Calibri" w:cs="Times New Roman"/>
                <w:szCs w:val="18"/>
              </w:rPr>
              <w:t>Refer to Chapter 4, consolidated comprehensive operating statement page </w:t>
            </w:r>
            <w:r w:rsidR="00A17F72">
              <w:rPr>
                <w:rFonts w:ascii="Calibri" w:eastAsia="Times New Roman" w:hAnsi="Calibri" w:cs="Times New Roman"/>
                <w:szCs w:val="18"/>
              </w:rPr>
              <w:t>28</w:t>
            </w:r>
            <w:r w:rsidRPr="00B31535">
              <w:rPr>
                <w:rFonts w:ascii="Calibri" w:eastAsia="Times New Roman" w:hAnsi="Calibri" w:cs="Times New Roman"/>
                <w:szCs w:val="18"/>
              </w:rPr>
              <w:t>, consolidated balance sheet page </w:t>
            </w:r>
            <w:r w:rsidR="00A17F72">
              <w:rPr>
                <w:rFonts w:ascii="Calibri" w:eastAsia="Times New Roman" w:hAnsi="Calibri" w:cs="Times New Roman"/>
                <w:szCs w:val="18"/>
              </w:rPr>
              <w:t>29</w:t>
            </w:r>
            <w:r w:rsidRPr="00B31535">
              <w:rPr>
                <w:rFonts w:ascii="Calibri" w:eastAsia="Times New Roman" w:hAnsi="Calibri" w:cs="Times New Roman"/>
                <w:szCs w:val="18"/>
              </w:rPr>
              <w:t xml:space="preserve">, consolidated cash flow statement page </w:t>
            </w:r>
            <w:r w:rsidR="00A17F72">
              <w:rPr>
                <w:rFonts w:ascii="Calibri" w:eastAsia="Times New Roman" w:hAnsi="Calibri" w:cs="Times New Roman"/>
                <w:szCs w:val="18"/>
              </w:rPr>
              <w:t>30</w:t>
            </w:r>
            <w:r w:rsidRPr="00B31535">
              <w:rPr>
                <w:rFonts w:ascii="Calibri" w:eastAsia="Times New Roman" w:hAnsi="Calibri" w:cs="Times New Roman"/>
                <w:szCs w:val="18"/>
              </w:rPr>
              <w:t xml:space="preserve"> and selected notes</w:t>
            </w:r>
          </w:p>
        </w:tc>
      </w:tr>
    </w:tbl>
    <w:p w:rsidR="00DF17E9" w:rsidRDefault="00DF17E9" w:rsidP="00044843"/>
    <w:p w:rsidR="00DF17E9" w:rsidRDefault="00DF17E9" w:rsidP="00044843">
      <w:pPr>
        <w:pStyle w:val="Heading2"/>
        <w:numPr>
          <w:ilvl w:val="0"/>
          <w:numId w:val="0"/>
        </w:numPr>
        <w:sectPr w:rsidR="00DF17E9" w:rsidSect="00044843">
          <w:footerReference w:type="even" r:id="rId303"/>
          <w:footerReference w:type="default" r:id="rId304"/>
          <w:type w:val="continuous"/>
          <w:pgSz w:w="11906" w:h="16838" w:code="9"/>
          <w:pgMar w:top="1134" w:right="1134" w:bottom="1134" w:left="1134" w:header="624" w:footer="567" w:gutter="0"/>
          <w:cols w:space="708"/>
          <w:docGrid w:linePitch="360"/>
        </w:sectPr>
      </w:pPr>
    </w:p>
    <w:p w:rsidR="00DF17E9" w:rsidRPr="0066512E" w:rsidRDefault="00DF17E9" w:rsidP="00044843">
      <w:pPr>
        <w:pStyle w:val="Heading2"/>
        <w:numPr>
          <w:ilvl w:val="0"/>
          <w:numId w:val="0"/>
        </w:numPr>
      </w:pPr>
    </w:p>
    <w:p w:rsidR="00DF17E9" w:rsidRDefault="00DF17E9" w:rsidP="001D40F4">
      <w:pPr>
        <w:sectPr w:rsidR="00DF17E9" w:rsidSect="00044843">
          <w:headerReference w:type="even" r:id="rId305"/>
          <w:headerReference w:type="default" r:id="rId306"/>
          <w:footerReference w:type="even" r:id="rId307"/>
          <w:footerReference w:type="default" r:id="rId308"/>
          <w:type w:val="continuous"/>
          <w:pgSz w:w="11906" w:h="16838" w:code="9"/>
          <w:pgMar w:top="1134" w:right="1134" w:bottom="1134" w:left="1134" w:header="624" w:footer="567" w:gutter="0"/>
          <w:cols w:space="708"/>
          <w:docGrid w:linePitch="360"/>
        </w:sectPr>
      </w:pPr>
    </w:p>
    <w:p w:rsidR="00DF17E9" w:rsidRPr="009F70BB" w:rsidRDefault="00DF17E9" w:rsidP="009F70BB">
      <w:pPr>
        <w:pStyle w:val="Chapterheading"/>
      </w:pPr>
      <w:bookmarkStart w:id="104" w:name="_Toc462865851"/>
      <w:r w:rsidRPr="009F70BB">
        <w:lastRenderedPageBreak/>
        <w:t>Style conventions</w:t>
      </w:r>
      <w:bookmarkEnd w:id="104"/>
    </w:p>
    <w:p w:rsidR="00DF17E9" w:rsidRPr="006E6031" w:rsidRDefault="00DF17E9" w:rsidP="00044843">
      <w:r w:rsidRPr="006E6031">
        <w:t>Figures in the tables and in the text have been rounded. Discrepancies in tables between totals and sums of components reflect rounding. Percentage variations in all tables are based on the underlying unrounded amounts.</w:t>
      </w:r>
    </w:p>
    <w:p w:rsidR="00DF17E9" w:rsidRPr="006E6031" w:rsidRDefault="00DF17E9" w:rsidP="00044843">
      <w:r w:rsidRPr="006E6031">
        <w:t>The notation used in the tables is as follows:</w:t>
      </w:r>
    </w:p>
    <w:p w:rsidR="00DF17E9" w:rsidRPr="006E6031" w:rsidRDefault="00DF17E9" w:rsidP="00044843">
      <w:pPr>
        <w:tabs>
          <w:tab w:val="left" w:pos="2694"/>
        </w:tabs>
        <w:ind w:left="851"/>
      </w:pPr>
      <w:r w:rsidRPr="006E6031">
        <w:t>n.a.</w:t>
      </w:r>
      <w:r w:rsidRPr="006E6031">
        <w:tab/>
        <w:t>not available or not applicable</w:t>
      </w:r>
    </w:p>
    <w:p w:rsidR="00DF17E9" w:rsidRPr="006E6031" w:rsidRDefault="00DF17E9" w:rsidP="00044843">
      <w:pPr>
        <w:tabs>
          <w:tab w:val="left" w:pos="2694"/>
        </w:tabs>
        <w:ind w:left="851"/>
      </w:pPr>
      <w:r w:rsidRPr="006E6031">
        <w:t>1</w:t>
      </w:r>
      <w:r>
        <w:t> billion</w:t>
      </w:r>
      <w:r w:rsidRPr="006E6031">
        <w:tab/>
        <w:t>1</w:t>
      </w:r>
      <w:r>
        <w:t> </w:t>
      </w:r>
      <w:r w:rsidRPr="006E6031">
        <w:t>000</w:t>
      </w:r>
      <w:r>
        <w:t> million</w:t>
      </w:r>
    </w:p>
    <w:p w:rsidR="00DF17E9" w:rsidRPr="006E6031" w:rsidRDefault="00DF17E9" w:rsidP="00044843">
      <w:pPr>
        <w:tabs>
          <w:tab w:val="left" w:pos="2694"/>
        </w:tabs>
        <w:ind w:left="851"/>
      </w:pPr>
      <w:r w:rsidRPr="006E6031">
        <w:t>1 basis point</w:t>
      </w:r>
      <w:r w:rsidRPr="006E6031">
        <w:tab/>
        <w:t>0.01</w:t>
      </w:r>
      <w:r>
        <w:t> per cent</w:t>
      </w:r>
    </w:p>
    <w:p w:rsidR="00DF17E9" w:rsidRPr="006E6031" w:rsidRDefault="00DF17E9" w:rsidP="00044843">
      <w:pPr>
        <w:tabs>
          <w:tab w:val="left" w:pos="2694"/>
        </w:tabs>
        <w:ind w:left="851"/>
      </w:pPr>
      <w:r w:rsidRPr="006E6031">
        <w:t>..</w:t>
      </w:r>
      <w:r w:rsidRPr="006E6031">
        <w:tab/>
        <w:t>zero, or rounded to zero</w:t>
      </w:r>
    </w:p>
    <w:p w:rsidR="00DF17E9" w:rsidRPr="006E6031" w:rsidRDefault="00DF17E9" w:rsidP="00044843">
      <w:pPr>
        <w:tabs>
          <w:tab w:val="left" w:pos="2694"/>
        </w:tabs>
        <w:ind w:left="851"/>
      </w:pPr>
      <w:r w:rsidRPr="006E6031">
        <w:t>(x xxx.x)</w:t>
      </w:r>
      <w:r w:rsidRPr="006E6031">
        <w:tab/>
      </w:r>
      <w:r>
        <w:t>negati</w:t>
      </w:r>
      <w:r w:rsidRPr="006E6031">
        <w:t>ve amount</w:t>
      </w:r>
    </w:p>
    <w:p w:rsidR="00DF17E9" w:rsidRPr="006E6031" w:rsidRDefault="00DF17E9" w:rsidP="00044843">
      <w:pPr>
        <w:tabs>
          <w:tab w:val="left" w:pos="2694"/>
        </w:tabs>
        <w:ind w:left="851"/>
      </w:pPr>
      <w:r w:rsidRPr="006E6031">
        <w:t>x xxx.0</w:t>
      </w:r>
      <w:r w:rsidRPr="006E6031">
        <w:tab/>
        <w:t>rounded amount</w:t>
      </w:r>
    </w:p>
    <w:p w:rsidR="00DF17E9" w:rsidRPr="006E6031" w:rsidRDefault="00DF17E9" w:rsidP="00044843">
      <w:pPr>
        <w:tabs>
          <w:tab w:val="left" w:pos="2694"/>
        </w:tabs>
        <w:ind w:left="851"/>
      </w:pPr>
      <w:r w:rsidRPr="006E6031">
        <w:t>20</w:t>
      </w:r>
      <w:r>
        <w:t>1</w:t>
      </w:r>
      <w:r w:rsidRPr="006E6031">
        <w:t>x</w:t>
      </w:r>
      <w:r w:rsidRPr="006E6031">
        <w:tab/>
      </w:r>
      <w:r>
        <w:t xml:space="preserve">financial </w:t>
      </w:r>
      <w:r w:rsidRPr="006E6031">
        <w:t>year</w:t>
      </w:r>
    </w:p>
    <w:p w:rsidR="00DF17E9" w:rsidRPr="006E6031" w:rsidRDefault="00DF17E9" w:rsidP="00044843">
      <w:pPr>
        <w:tabs>
          <w:tab w:val="left" w:pos="2694"/>
        </w:tabs>
        <w:ind w:left="851"/>
      </w:pPr>
    </w:p>
    <w:p w:rsidR="00DF17E9" w:rsidRPr="006E6031" w:rsidRDefault="00DF17E9" w:rsidP="00044843"/>
    <w:p w:rsidR="00DF17E9" w:rsidRPr="00C47FE8" w:rsidRDefault="00DF17E9" w:rsidP="00044843">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hyperlink r:id="rId309" w:history="1">
        <w:r w:rsidRPr="00C47FE8">
          <w:rPr>
            <w:rStyle w:val="Hyperlink"/>
            <w:color w:val="000000" w:themeColor="text1"/>
          </w:rPr>
          <w:t>dtf.vic.gov.au</w:t>
        </w:r>
      </w:hyperlink>
      <w:r w:rsidRPr="00C47FE8">
        <w:rPr>
          <w:color w:val="000000" w:themeColor="text1"/>
        </w:rPr>
        <w:t xml:space="preserve"> for additional terms and references.</w:t>
      </w:r>
    </w:p>
    <w:p w:rsidR="00DF17E9" w:rsidRDefault="00DF17E9" w:rsidP="00044843"/>
    <w:p w:rsidR="00DF17E9" w:rsidRDefault="00DF17E9" w:rsidP="00044843">
      <w:pPr>
        <w:sectPr w:rsidR="00DF17E9" w:rsidSect="00044843">
          <w:footerReference w:type="even" r:id="rId310"/>
          <w:footerReference w:type="default" r:id="rId311"/>
          <w:pgSz w:w="11906" w:h="16838" w:code="9"/>
          <w:pgMar w:top="1134" w:right="1134" w:bottom="1134" w:left="1134" w:header="624" w:footer="567" w:gutter="0"/>
          <w:cols w:space="708"/>
          <w:docGrid w:linePitch="360"/>
        </w:sectPr>
      </w:pPr>
      <w:r w:rsidRPr="00CE752E">
        <w:t>The Annual Financial Report</w:t>
      </w:r>
      <w:r w:rsidRPr="006E6031">
        <w:rPr>
          <w:i/>
        </w:rPr>
        <w:t xml:space="preserve"> </w:t>
      </w:r>
      <w:r w:rsidRPr="006E6031">
        <w:t>is based on the style set in the example of a general purpose financial report for a government in</w:t>
      </w:r>
      <w:r>
        <w:t xml:space="preserve"> illustrative example A of AASB </w:t>
      </w:r>
      <w:r w:rsidRPr="006E6031">
        <w:t xml:space="preserve">1049 </w:t>
      </w:r>
      <w:r w:rsidRPr="006E6031">
        <w:rPr>
          <w:i/>
        </w:rPr>
        <w:t>Whole of Government and General Government Sector Financial Reporting</w:t>
      </w:r>
      <w:r w:rsidRPr="006E6031">
        <w:t>. The styles used in other chapters of this document are generally consistent with those used in other publications relating to the annual budget papers.</w:t>
      </w:r>
    </w:p>
    <w:p w:rsidR="00DF17E9" w:rsidRDefault="00DF17E9" w:rsidP="001D40F4"/>
    <w:sectPr w:rsidR="00DF17E9" w:rsidSect="0081057F">
      <w:footerReference w:type="even" r:id="rId312"/>
      <w:footerReference w:type="default" r:id="rId313"/>
      <w:type w:val="continuous"/>
      <w:pgSz w:w="11906" w:h="16838"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04D" w:rsidRDefault="00E3704D">
      <w:pPr>
        <w:spacing w:after="0" w:line="240" w:lineRule="auto"/>
      </w:pPr>
      <w:r>
        <w:separator/>
      </w:r>
    </w:p>
  </w:endnote>
  <w:endnote w:type="continuationSeparator" w:id="0">
    <w:p w:rsidR="00E3704D" w:rsidRDefault="00E3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3</w:t>
    </w:r>
    <w:r w:rsidR="00E3704D" w:rsidRPr="00B862F0">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141</w:t>
    </w:r>
    <w:r w:rsidR="00E3704D" w:rsidRPr="00B862F0">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140</w:t>
    </w:r>
    <w:r w:rsidRPr="00B862F0">
      <w:fldChar w:fldCharType="end"/>
    </w:r>
    <w:r w:rsidRPr="00B862F0">
      <w:tab/>
    </w:r>
    <w:r>
      <w:t>Chapter 4</w:t>
    </w:r>
    <w:r w:rsidRPr="00B862F0">
      <w:tab/>
    </w:r>
    <w:fldSimple w:instr=" DOCPROPERTY  Title  \* MERGEFORMAT ">
      <w:r>
        <w:t>2015-16 Financial Report</w:t>
      </w:r>
    </w:fldSimple>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02272" behindDoc="0" locked="0" layoutInCell="1" allowOverlap="1" wp14:anchorId="67A3CB5F" wp14:editId="11BDF25A">
              <wp:simplePos x="0" y="0"/>
              <wp:positionH relativeFrom="column">
                <wp:posOffset>-377825</wp:posOffset>
              </wp:positionH>
              <wp:positionV relativeFrom="paragraph">
                <wp:posOffset>-6246495</wp:posOffset>
              </wp:positionV>
              <wp:extent cx="396000" cy="6192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142</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8" type="#_x0000_t202" style="position:absolute;margin-left:-29.75pt;margin-top:-491.85pt;width:31.2pt;height:48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MX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8JgSxWpg9CBaRy51SyBCfzaNHcPsvoGhayEHzr3cQujLbktT+y8KItCj09t9d300DuFxNopj&#10;aDhUoyQDeqH90Yt3Y6z7JHRN/CanBuiFprL13DpkAtPexF+m9KySMiAoFdkg6vFJHBz2GnhI5W1F&#10;4EIXBqfWYRvkSC7g9CNLhml8OcwGs9HZ6SCdpSeD7DQ+G8RJdonM0yy9nv300ZN0vKyKQqh5pUTP&#10;mST9O0x27O3QDqx5lbjVsip8VT43X+uVNGTNQN6FZPzZtx0lHVhFr9MJalTXf0OVkUewQyrs3FYK&#10;H1+qL6IE9gEwLwivTuyvZJwL5QLWoY+w9lYl0nuP487eu3YovMd57xFu1srtnetKaRPQfpN28dyn&#10;XHb2aMZB3X7r2kXbkX7YM3mhiy0IbjSIB5Lahs8q9H/OrLtjBjMBQsw5d4ullBps07sdJUttvv9J&#10;7u1z6ldKNpgxObXfVswISuRnhUecJWmKsC4c0pPTIQ7mULM41KhVfaXBhCRkF7be3sl+WxpdP2Ic&#10;Tv2tUDHFkVlOcXu3vXLd5MM45WI6DUYYQw1zc3XfcB/at9nz7qF9ZKbZPUQHRt3ofhqx8Zv32Nl6&#10;T6WnK6fLKjxW3+iuqzsAMMICL3fj1s/Iw3OwevkpTH4B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HoBjF+wCAABcBgAA&#10;DgAAAAAAAAAAAAAAAAAuAgAAZHJzL2Uyb0RvYy54bWxQSwECLQAUAAYACAAAACEAgdekht4AAAAJ&#10;AQAADwAAAAAAAAAAAAAAAABGBQAAZHJzL2Rvd25yZXYueG1sUEsFBgAAAAAEAAQA8wAAAFEGAAAA&#10;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142</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630C9A" w:rsidRDefault="00E3704D" w:rsidP="00630C9A">
    <w:r>
      <w:rPr>
        <w:noProof/>
        <w:lang w:eastAsia="en-AU"/>
      </w:rPr>
      <mc:AlternateContent>
        <mc:Choice Requires="wps">
          <w:drawing>
            <wp:anchor distT="0" distB="0" distL="114300" distR="114300" simplePos="0" relativeHeight="251716608" behindDoc="0" locked="0" layoutInCell="1" allowOverlap="1" wp14:anchorId="3F071D52" wp14:editId="0EFC963A">
              <wp:simplePos x="0" y="0"/>
              <wp:positionH relativeFrom="column">
                <wp:posOffset>-377825</wp:posOffset>
              </wp:positionH>
              <wp:positionV relativeFrom="paragraph">
                <wp:posOffset>-6246495</wp:posOffset>
              </wp:positionV>
              <wp:extent cx="396000" cy="6192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630C9A">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143</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9" type="#_x0000_t202" style="position:absolute;margin-left:-29.75pt;margin-top:-491.85pt;width:31.2pt;height:48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TY7QIAAFwGAAAOAAAAZHJzL2Uyb0RvYy54bWysVV1P2zAUfZ+0/2D5vSRpQyEVKSqgTpMq&#10;QIOJZ9dxaIRjZ7bbhk377zt2mlLYHsa0F8e+H8f33nN9c3be1pJshLGVVjlNjmJKhOK6qNRjTr/e&#10;zwenlFjHVMGkViKnz8LS8+nHD2fbZiKGeqVlIQwBiLKTbZPTlXPNJIosX4ma2SPdCAVlqU3NHI7m&#10;MSoM2wK9ltEwjsfRVpuiMZoLayG96pR0GvDLUnB3U5ZWOCJzithcWE1Yl36Npmds8mhYs6r4Lgz2&#10;D1HUrFK4dA91xRwja1P9BlVX3GirS3fEdR3psqy4CDkgmyR+k83dijUi5ILi2GZfJvv/YPn15taQ&#10;qsjpCOVRrAZH96J15EK3BCLUZ9vYCczuGhi6FnLw3MsthD7ttjS1/yIhAj2gnvfV9WgcwlE2jmNo&#10;OFTjJAN7AT568W6MdZ+Eronf5NSAvVBUtllYh0hg2pv4y5SeV1IGBqUiW6COjuPgsNfAQypvK0Iv&#10;dDA4tQ7bIEdwgacfWTJM44thNpiPT08G6Tw9HmQn8ekgTrILRJ5m6dX8p0dP0smqKgqhFpUSfc8k&#10;6d9xsuveju3QNa8Ct1pWhc/Kx+ZzvZSGbBiadykZf/JlR0oHVtHrcIIa2fXfkGXkGeyYCjv3LIXH&#10;l+qLKMF9IMwLwqsT+ysZ50K5wHWoI6y9VYnw3uO4s/euHQvvcd57hJu1cnvnulLaBLbfhF089SGX&#10;nT2KcZC337p22YamH476Tl7q4hkNbjQaD01qGz6vUP8Fs+6WGcwECDHn3A2WUmp0m97tKFlp8/1P&#10;cm+fU79SssWMyan9tmZGUCI/KzziLElTwLpwSI9PhjiYQ83yUKPW9aVGJyQhurD19k7229Lo+gHj&#10;cOZvhYopjshyitu77aXrJh/GKRezWTDCGGqYW6i7hntoX2bfd/ftAzPN7iE6dNS17qcRm7x5j52t&#10;91R6tna6rMJj9YXuqrojACMs9OVu3PoZeXgOVi8/hekvAAAA//8DAFBLAwQUAAYACAAAACEAgdek&#10;ht4AAAAJAQAADwAAAGRycy9kb3ducmV2LnhtbEyPy07DMBBF90j8gzVI7FqHVs2LOBWtlA2sKCB1&#10;6cYmiWqPI9ttwt8zrOhuHkd3zlTb2Rp21T4MDgU8LRNgGlunBuwEfH40ixxYiBKVNA61gB8dYFvf&#10;31WyVG7Cd309xI5RCIZSCuhjHEvOQ9trK8PSjRpp9+28lZFa33Hl5UTh1vBVkqTcygHpQi9Hve91&#10;ez5crICvDLNj2kyv5x1vj2/Zzqz9vhHi8WF+eQYW9Rz/YfjTJ3WoyenkLqgCMwIWm2JDKBVFvs6A&#10;EbIqgJ1okKfA64rfflD/AgAA//8DAFBLAQItABQABgAIAAAAIQC2gziS/gAAAOEBAAATAAAAAAAA&#10;AAAAAAAAAAAAAABbQ29udGVudF9UeXBlc10ueG1sUEsBAi0AFAAGAAgAAAAhADj9If/WAAAAlAEA&#10;AAsAAAAAAAAAAAAAAAAALwEAAF9yZWxzLy5yZWxzUEsBAi0AFAAGAAgAAAAhAN7CFNjtAgAAXAYA&#10;AA4AAAAAAAAAAAAAAAAALgIAAGRycy9lMm9Eb2MueG1sUEsBAi0AFAAGAAgAAAAhAIHXpIbeAAAA&#10;CQEAAA8AAAAAAAAAAAAAAAAARwUAAGRycy9kb3ducmV2LnhtbFBLBQYAAAAABAAEAPMAAABSBgAA&#10;AAA=&#10;" filled="f" stroked="f" strokeweight=".5pt">
              <v:textbox style="layout-flow:vertical">
                <w:txbxContent>
                  <w:p w:rsidR="00E3704D" w:rsidRDefault="00600DD6" w:rsidP="00630C9A">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143</w:t>
                    </w:r>
                    <w:r w:rsidR="00E3704D" w:rsidRPr="00B862F0">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144</w:t>
    </w:r>
    <w:r w:rsidRPr="00B862F0">
      <w:fldChar w:fldCharType="end"/>
    </w:r>
    <w:r w:rsidRPr="00B862F0">
      <w:tab/>
    </w:r>
    <w:r>
      <w:t>Chapter 4</w:t>
    </w:r>
    <w:r w:rsidRPr="00B862F0">
      <w:tab/>
    </w:r>
    <w:fldSimple w:instr=" DOCPROPERTY  Title  \* MERGEFORMAT ">
      <w:r>
        <w:t>2015-16 Financial Report</w:t>
      </w:r>
    </w:fldSimple>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146</w:t>
    </w:r>
    <w:r w:rsidRPr="00B862F0">
      <w:fldChar w:fldCharType="end"/>
    </w:r>
    <w:r w:rsidRPr="00B862F0">
      <w:tab/>
    </w:r>
    <w:r>
      <w:t>Chapter 4</w:t>
    </w:r>
    <w:r w:rsidRPr="00B862F0">
      <w:tab/>
    </w:r>
    <w:fldSimple w:instr=" DOCPROPERTY  Title  \* MERGEFORMAT ">
      <w:r>
        <w:t>2015-16 Financial Report</w:t>
      </w:r>
    </w:fldSimple>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145</w:t>
    </w:r>
    <w:r w:rsidR="00E3704D" w:rsidRPr="00B862F0">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04320" behindDoc="0" locked="0" layoutInCell="1" allowOverlap="1" wp14:anchorId="730BDD07" wp14:editId="292B5CCA">
              <wp:simplePos x="0" y="0"/>
              <wp:positionH relativeFrom="column">
                <wp:posOffset>-377825</wp:posOffset>
              </wp:positionH>
              <wp:positionV relativeFrom="paragraph">
                <wp:posOffset>-6246495</wp:posOffset>
              </wp:positionV>
              <wp:extent cx="396000" cy="6192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146</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52" type="#_x0000_t202" style="position:absolute;margin-left:-29.75pt;margin-top:-491.85pt;width:31.2pt;height:48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ER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KVEsRoYPYjWkUvdEojQn01jxzC7b2DoWsiBcy+3EPqy29LU/ouCCPTo9HbfXR+NQ3icjeIY&#10;Gg7VKMmAXmh/9OLdGOs+CV0Tv8mpAXqhqWw9tw6ZwLQ38ZcpPaukDAhKRTaIenwSB4e9Bh5SeVsR&#10;uNCFwal12AY5kgs4/ciSYRpfDrPBbHR2Okhn6ckgO43PBnGSXSLzNEuvZz999CQdL6uiEGpeKdFz&#10;Jkn/DpMdezu0A2teJW61rApflc/N13olDVkzkHchGX/2bUdJB1bR63SCGtX131Bl5BHskAo7t5XC&#10;x5fqiyiBfQDMC8KrE/srGedCuYB16COsvVWJ9N7juLP3rh0K73Hee4SbtXJ757pS2gS036RdPPcp&#10;l509mnFQt9+6dtF2pB/1TF7oYguCGw3igaS24bMK/Z8z6+6YwUyAEHPO3WIppQbb9G5HyVKb73+S&#10;e/uc+pWSDWZMTu23FTOCEvlZ4RFnSZoirAuH9OR0iIM51CwONWpVX2kwIQnZha23d7LflkbXjxiH&#10;U38rVExxZJZT3N5tr1w3+TBOuZhOgxHGUMPcXN033If2bfa8e2gfmWl2D9GBUTe6n0Zs/OY9drbe&#10;U+npyumyCo/VN7rr6g4AjLDAy9249TPy8BysXn4Kk18A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2drBEewCAABcBgAA&#10;DgAAAAAAAAAAAAAAAAAuAgAAZHJzL2Uyb0RvYy54bWxQSwECLQAUAAYACAAAACEAgdekht4AAAAJ&#10;AQAADwAAAAAAAAAAAAAAAABGBQAAZHJzL2Rvd25yZXYueG1sUEsFBgAAAAAEAAQA8wAAAFEGAAAA&#10;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146</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630C9A" w:rsidRDefault="00E3704D" w:rsidP="00630C9A">
    <w:r>
      <w:rPr>
        <w:noProof/>
        <w:lang w:eastAsia="en-AU"/>
      </w:rPr>
      <mc:AlternateContent>
        <mc:Choice Requires="wps">
          <w:drawing>
            <wp:anchor distT="0" distB="0" distL="114300" distR="114300" simplePos="0" relativeHeight="251718656" behindDoc="0" locked="0" layoutInCell="1" allowOverlap="1" wp14:anchorId="7F9385F9" wp14:editId="5987A46E">
              <wp:simplePos x="0" y="0"/>
              <wp:positionH relativeFrom="column">
                <wp:posOffset>-377825</wp:posOffset>
              </wp:positionH>
              <wp:positionV relativeFrom="paragraph">
                <wp:posOffset>-6246495</wp:posOffset>
              </wp:positionV>
              <wp:extent cx="396000" cy="6192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630C9A">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147</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53" type="#_x0000_t202" style="position:absolute;margin-left:-29.75pt;margin-top:-491.85pt;width:31.2pt;height:48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GQ7g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UK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INpB+e9kxe6GILghsN4oGktuGzCv2fM+vumMFMgBBzzt1iKaUG2/RuR8lSm+9/&#10;knv7nPqVkg1mTE7ttxUzghL5WeERZ0maIqwLh/TkdIiDOdQsDjVqVV9pMAHvFNmFrbd3st+WRteP&#10;GIdTfytUTHFkllPc3m2vXDf5ME65mE6DEcZQw9xc3Tfch/Zt9rx7aB+ZaXYP0YFRN7qfRmz85j12&#10;tt5T6enK6bIKj9U3uuvqDgCMsMDL3bj1M/LwHKxefgqTXwAAAP//AwBQSwMEFAAGAAgAAAAhAIHX&#10;pIbeAAAACQEAAA8AAABkcnMvZG93bnJldi54bWxMj8tOwzAQRfdI/IM1SOxah1bNizgVrZQNrCgg&#10;denGJolqjyPbbcLfM6zobh5Hd85U29kadtU+DA4FPC0TYBpbpwbsBHx+NIscWIgSlTQOtYAfHWBb&#10;399VslRuwnd9PcSOUQiGUgroYxxLzkPbayvD0o0aafftvJWRWt9x5eVE4dbwVZKk3MoB6UIvR73v&#10;dXs+XKyArwyzY9pMr+cdb49v2c6s/b4R4vFhfnkGFvUc/2H40yd1qMnp5C6oAjMCFptiQygVRb7O&#10;gBGyKoCdaJCnwOuK335Q/wIAAP//AwBQSwECLQAUAAYACAAAACEAtoM4kv4AAADhAQAAEwAAAAAA&#10;AAAAAAAAAAAAAAAAW0NvbnRlbnRfVHlwZXNdLnhtbFBLAQItABQABgAIAAAAIQA4/SH/1gAAAJQB&#10;AAALAAAAAAAAAAAAAAAAAC8BAABfcmVscy8ucmVsc1BLAQItABQABgAIAAAAIQDFgSGQ7gIAAFwG&#10;AAAOAAAAAAAAAAAAAAAAAC4CAABkcnMvZTJvRG9jLnhtbFBLAQItABQABgAIAAAAIQCB16SG3gAA&#10;AAkBAAAPAAAAAAAAAAAAAAAAAEgFAABkcnMvZG93bnJldi54bWxQSwUGAAAAAAQABADzAAAAUwYA&#10;AAAA&#10;" filled="f" stroked="f" strokeweight=".5pt">
              <v:textbox style="layout-flow:vertical">
                <w:txbxContent>
                  <w:p w:rsidR="00E3704D" w:rsidRDefault="00600DD6" w:rsidP="00630C9A">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147</w:t>
                    </w:r>
                    <w:r w:rsidR="00E3704D" w:rsidRPr="00B862F0">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150</w:t>
    </w:r>
    <w:r w:rsidRPr="00B862F0">
      <w:fldChar w:fldCharType="end"/>
    </w:r>
    <w:r w:rsidRPr="00B862F0">
      <w:tab/>
    </w:r>
    <w:r>
      <w:t>Chapter 4</w:t>
    </w:r>
    <w:r w:rsidRPr="00B862F0">
      <w:tab/>
    </w:r>
    <w:fldSimple w:instr=" DOCPROPERTY  Title  \* MERGEFORMAT ">
      <w:r>
        <w:t>2015-16 Financial Report</w:t>
      </w:r>
    </w:fldSimple>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2</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151</w:t>
    </w:r>
    <w:r w:rsidR="00E3704D" w:rsidRPr="00B862F0">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Pr>
        <w:noProof/>
      </w:rPr>
      <w:t>152</w:t>
    </w:r>
    <w:r w:rsidRPr="00B862F0">
      <w:fldChar w:fldCharType="end"/>
    </w:r>
    <w:r w:rsidRPr="00B862F0">
      <w:tab/>
    </w:r>
    <w:r>
      <w:t>Chapter 4</w:t>
    </w:r>
    <w:r w:rsidRPr="00B862F0">
      <w:tab/>
    </w:r>
    <w:fldSimple w:instr=" DOCPROPERTY  Title  \* MERGEFORMAT ">
      <w:r>
        <w:t>2015-16 Financial Report</w:t>
      </w:r>
    </w:fldSimple>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Pr>
        <w:noProof/>
      </w:rPr>
      <w:t>152</w:t>
    </w:r>
    <w:r w:rsidRPr="00B862F0">
      <w:fldChar w:fldCharType="end"/>
    </w:r>
    <w:r w:rsidRPr="00B862F0">
      <w:tab/>
    </w:r>
    <w:r>
      <w:t>Chapter 4</w:t>
    </w:r>
    <w:r w:rsidRPr="00B862F0">
      <w:tab/>
    </w:r>
    <w:fldSimple w:instr=" DOCPROPERTY  Title  \* MERGEFORMAT ">
      <w:r>
        <w:t>2015-16 Financial Report</w:t>
      </w:r>
    </w:fldSimple>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155</w:t>
    </w:r>
    <w:r w:rsidR="00E3704D" w:rsidRPr="00B862F0">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156</w:t>
    </w:r>
    <w:r w:rsidRPr="00B862F0">
      <w:fldChar w:fldCharType="end"/>
    </w:r>
    <w:r w:rsidRPr="00B862F0">
      <w:tab/>
    </w:r>
    <w:r>
      <w:t>Chapter 4</w:t>
    </w:r>
    <w:r w:rsidRPr="00B862F0">
      <w:tab/>
    </w:r>
    <w:fldSimple w:instr=" DOCPROPERTY  Title  \* MERGEFORMAT ">
      <w:r>
        <w:t>2015-16 Financial Report</w:t>
      </w:r>
    </w:fldSimple>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138</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138</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158</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rsidRPr="009F70BB">
      <w:t>Chapter</w:t>
    </w:r>
    <w:r w:rsidR="00E3704D">
      <w:t xml:space="preserve"> 5</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157</w:t>
    </w:r>
    <w:r w:rsidR="00E3704D" w:rsidRPr="00B862F0">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rsidRPr="009F70BB">
      <w:t>Chapter</w:t>
    </w:r>
    <w:r w:rsidR="00E3704D">
      <w:t xml:space="preserve"> 2</w:t>
    </w:r>
    <w:r w:rsidR="00E3704D" w:rsidRPr="00B862F0">
      <w:tab/>
    </w:r>
    <w:r w:rsidR="00E3704D">
      <w:fldChar w:fldCharType="begin"/>
    </w:r>
    <w:r w:rsidR="00E3704D">
      <w:instrText xml:space="preserve"> PAGE  \* Arabic  \* MERGEFORMAT </w:instrText>
    </w:r>
    <w:r w:rsidR="00E3704D">
      <w:fldChar w:fldCharType="separate"/>
    </w:r>
    <w:r w:rsidR="003A3C3D">
      <w:rPr>
        <w:noProof/>
      </w:rPr>
      <w:t>3</w:t>
    </w:r>
    <w:r w:rsidR="00E3704D">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160</w:t>
    </w:r>
    <w:r w:rsidRPr="00B862F0">
      <w:fldChar w:fldCharType="end"/>
    </w:r>
    <w:r w:rsidRPr="00B862F0">
      <w:tab/>
    </w:r>
    <w:r>
      <w:t>Chapter 5</w:t>
    </w:r>
    <w:r w:rsidRPr="00B862F0">
      <w:tab/>
    </w:r>
    <w:fldSimple w:instr=" DOCPROPERTY  Title  \* MERGEFORMAT ">
      <w:r>
        <w:t>2015-16 Financial Report</w:t>
      </w:r>
    </w:fldSimple>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Chapter 5</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159</w:t>
    </w:r>
    <w:r w:rsidR="00E3704D" w:rsidRPr="00B862F0">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371AE9" w:rsidRDefault="00E3704D" w:rsidP="00044843">
    <w:r>
      <w:rPr>
        <w:noProof/>
        <w:lang w:eastAsia="en-AU"/>
      </w:rPr>
      <mc:AlternateContent>
        <mc:Choice Requires="wps">
          <w:drawing>
            <wp:anchor distT="0" distB="0" distL="114300" distR="114300" simplePos="0" relativeHeight="251663360" behindDoc="0" locked="0" layoutInCell="1" allowOverlap="1" wp14:anchorId="1F3808D0" wp14:editId="43B6DA38">
              <wp:simplePos x="0" y="0"/>
              <wp:positionH relativeFrom="column">
                <wp:posOffset>-377825</wp:posOffset>
              </wp:positionH>
              <wp:positionV relativeFrom="paragraph">
                <wp:posOffset>-6246495</wp:posOffset>
              </wp:positionV>
              <wp:extent cx="396000"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F71BE6">
                          <w:pPr>
                            <w:pStyle w:val="Footer"/>
                          </w:pPr>
                          <w:fldSimple w:instr=" DOCPROPERTY  Title  \* MERGEFORMAT ">
                            <w:r w:rsidR="00E3704D">
                              <w:t>2015-16 Financial Report</w:t>
                            </w:r>
                          </w:fldSimple>
                          <w:r w:rsidR="00E3704D">
                            <w:tab/>
                          </w:r>
                          <w:r w:rsidR="00E3704D" w:rsidRPr="004A4F70">
                            <w:t>Chapter</w:t>
                          </w:r>
                          <w:r w:rsidR="00E3704D">
                            <w:t xml:space="preserve"> 5</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161</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54" type="#_x0000_t202" style="position:absolute;margin-left:-29.75pt;margin-top:-491.85pt;width:31.2pt;height:4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0dz7QIAAFwGAAAOAAAAZHJzL2Uyb0RvYy54bWysVVFP2zAQfp+0/2D5vSQpaWkrUlRAnSZV&#10;gAYTz67j0AjHzmy3TTftv++z05TC9jCmvTj23Xfnu/vOl/OLppJkI4wttcpochJTIhTXeameMvr1&#10;Yd4bUWIdUzmTWomM7oSlF9OPH8639UT09UrLXBgCJ8pOtnVGV87VkyiyfCUqZk90LRSUhTYVczia&#10;pyg3bAvvlYz6cTyMttrktdFcWAvpdauk0+C/KAR3t0VhhSMyo4jNhdWEdenXaHrOJk+G1auS78Ng&#10;/xBFxUqFSw+urpljZG3K31xVJTfa6sKdcF1FuihKLkIOyCaJ32Rzv2K1CLmgOLY+lMn+P7f8ZnNn&#10;SJmDuwElilXg6EE0jlzqhkCE+mxrOwHsvgbQNZAD28kthD7tpjCV/yIhAj0qvTtU13vjEJ6Oh3EM&#10;DYdqmIzBXih/9GJdG+s+CV0Rv8moAXuhqGyzsA6RANpB/GVKz0spA4NSkS28ng7iYHDQwEIqjxWh&#10;F1o3ODUO2yBHcIGnH+Okn8aX/XFvPhyd9dJ5OuiNz+JRL07Gl4g8HafX85/ee5JOVmWeC7Uoleh6&#10;Jkn/jpN997Zsh655FbjVssx9Vj42n+uVNGTD0LxLyfizLztSOkJFr8MJamTXfUOWkWewZSrs3E4K&#10;71+qL6IA94EwLwivThyuZJwL5QLXoY5Ae1SB8N5juMd705aF9xgfLMLNWrmDcVUqbQLbb8LOn7uQ&#10;ixaPYhzl7beuWTah6fujrpOXOt+hwY1G46FJbc3nJeq/YNbdMYOZACHmnLvFUkiNbtP7HSUrbb7/&#10;Se7xGfUrJVvMmIzab2tmBCXys8IjHidpCrcuHNLBWR8Hc6xZHmvUurrS6IQkRBe2Hu9kty2Mrh4x&#10;Dmf+VqiY4ogso7i93V65dvJhnHIxmwUQxlDN3ELd19y79mX2fffQPDJT7x+iQ0fd6G4ascmb99hi&#10;vaXSs7XTRRkeqy90W9U9ARhhoS/349bPyONzQL38FKa/AAAA//8DAFBLAwQUAAYACAAAACEAgdek&#10;ht4AAAAJAQAADwAAAGRycy9kb3ducmV2LnhtbEyPy07DMBBF90j8gzVI7FqHVs2LOBWtlA2sKCB1&#10;6cYmiWqPI9ttwt8zrOhuHkd3zlTb2Rp21T4MDgU8LRNgGlunBuwEfH40ixxYiBKVNA61gB8dYFvf&#10;31WyVG7Cd309xI5RCIZSCuhjHEvOQ9trK8PSjRpp9+28lZFa33Hl5UTh1vBVkqTcygHpQi9Hve91&#10;ez5crICvDLNj2kyv5x1vj2/Zzqz9vhHi8WF+eQYW9Rz/YfjTJ3WoyenkLqgCMwIWm2JDKBVFvs6A&#10;EbIqgJ1okKfA64rfflD/AgAA//8DAFBLAQItABQABgAIAAAAIQC2gziS/gAAAOEBAAATAAAAAAAA&#10;AAAAAAAAAAAAAABbQ29udGVudF9UeXBlc10ueG1sUEsBAi0AFAAGAAgAAAAhADj9If/WAAAAlAEA&#10;AAsAAAAAAAAAAAAAAAAALwEAAF9yZWxzLy5yZWxzUEsBAi0AFAAGAAgAAAAhADPzR3PtAgAAXAYA&#10;AA4AAAAAAAAAAAAAAAAALgIAAGRycy9lMm9Eb2MueG1sUEsBAi0AFAAGAAgAAAAhAIHXpIbeAAAA&#10;CQEAAA8AAAAAAAAAAAAAAAAARwUAAGRycy9kb3ducmV2LnhtbFBLBQYAAAAABAAEAPMAAABSBgAA&#10;AAA=&#10;" filled="f" stroked="f" strokeweight=".5pt">
              <v:textbox style="layout-flow:vertical">
                <w:txbxContent>
                  <w:p w:rsidR="00E3704D" w:rsidRDefault="00600DD6" w:rsidP="00F71BE6">
                    <w:pPr>
                      <w:pStyle w:val="Footer"/>
                    </w:pPr>
                    <w:fldSimple w:instr=" DOCPROPERTY  Title  \* MERGEFORMAT ">
                      <w:r w:rsidR="00E3704D">
                        <w:t>2015-16 Financial Report</w:t>
                      </w:r>
                    </w:fldSimple>
                    <w:r w:rsidR="00E3704D">
                      <w:tab/>
                    </w:r>
                    <w:r w:rsidR="00E3704D" w:rsidRPr="004A4F70">
                      <w:t>Chapter</w:t>
                    </w:r>
                    <w:r w:rsidR="00E3704D">
                      <w:t xml:space="preserve"> 5</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161</w:t>
                    </w:r>
                    <w:r w:rsidR="00E3704D" w:rsidRPr="00B862F0">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166</w:t>
    </w:r>
    <w:r w:rsidRPr="00B862F0">
      <w:fldChar w:fldCharType="end"/>
    </w:r>
    <w:r w:rsidRPr="00B862F0">
      <w:tab/>
    </w:r>
    <w:r>
      <w:t>Chapter 5</w:t>
    </w:r>
    <w:r w:rsidRPr="00B862F0">
      <w:tab/>
    </w:r>
    <w:fldSimple w:instr=" DOCPROPERTY  Title  \* MERGEFORMAT ">
      <w:r>
        <w:t>2015-16 Financial Report</w:t>
      </w:r>
    </w:fldSimple>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Chapter 5</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165</w:t>
    </w:r>
    <w:r w:rsidR="00E3704D" w:rsidRPr="00B862F0">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170</w:t>
    </w:r>
    <w:r w:rsidRPr="00B862F0">
      <w:fldChar w:fldCharType="end"/>
    </w:r>
    <w:r w:rsidRPr="00B862F0">
      <w:tab/>
    </w:r>
    <w:r>
      <w:t>Appendix A</w:t>
    </w:r>
    <w:r w:rsidRPr="00B862F0">
      <w:tab/>
    </w:r>
    <w:fldSimple w:instr=" DOCPROPERTY  Title  \* MERGEFORMAT ">
      <w:r>
        <w:t>2015-16 Financial Report</w:t>
      </w:r>
    </w:fldSimple>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Appendix A</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171</w:t>
    </w:r>
    <w:r w:rsidR="00E3704D" w:rsidRPr="00B862F0">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174</w:t>
    </w:r>
    <w:r w:rsidRPr="00B862F0">
      <w:fldChar w:fldCharType="end"/>
    </w:r>
    <w:r w:rsidRPr="00B862F0">
      <w:tab/>
    </w:r>
    <w:r>
      <w:t>Appendix B</w:t>
    </w:r>
    <w:r w:rsidRPr="00B862F0">
      <w:tab/>
    </w:r>
    <w:fldSimple w:instr=" DOCPROPERTY  Title  \* MERGEFORMAT ">
      <w:r>
        <w:t>2015-16 Financial Report</w:t>
      </w:r>
    </w:fldSimple>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Appendix B</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173</w:t>
    </w:r>
    <w:r w:rsidR="00E3704D" w:rsidRPr="00B862F0">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Pr>
        <w:noProof/>
      </w:rPr>
      <w:t>170</w:t>
    </w:r>
    <w:r w:rsidRPr="00B862F0">
      <w:fldChar w:fldCharType="end"/>
    </w:r>
    <w:r w:rsidRPr="00B862F0">
      <w:tab/>
    </w:r>
    <w:r>
      <w:t>Chapter 5</w:t>
    </w:r>
    <w:r w:rsidRPr="00B862F0">
      <w:tab/>
    </w:r>
    <w:fldSimple w:instr=" DOCPROPERTY  Title  \* MERGEFORMAT ">
      <w:r>
        <w:t>2015-16 Financial Report</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167</w:t>
    </w:r>
    <w:r w:rsidR="00E3704D" w:rsidRPr="00B862F0">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Pr>
        <w:noProof/>
      </w:rPr>
      <w:t>176</w:t>
    </w:r>
    <w:r w:rsidRPr="00B862F0">
      <w:fldChar w:fldCharType="end"/>
    </w:r>
    <w:r w:rsidRPr="00B862F0">
      <w:tab/>
    </w:r>
    <w:r>
      <w:t>Style Conventions</w:t>
    </w:r>
    <w:r w:rsidRPr="00B862F0">
      <w:tab/>
    </w:r>
    <w:fldSimple w:instr=" DOCPROPERTY  Title  \* MERGEFORMAT ">
      <w:r>
        <w:t>2015-16 Financial Report</w:t>
      </w:r>
    </w:fldSimple>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E069A" w:rsidRDefault="00600DD6" w:rsidP="00BE069A">
    <w:pPr>
      <w:pStyle w:val="Footer"/>
    </w:pPr>
    <w:fldSimple w:instr=" DOCPROPERTY  Title  \* MERGEFORMAT ">
      <w:r w:rsidR="00E3704D">
        <w:t>2015-16 Financial Report</w:t>
      </w:r>
    </w:fldSimple>
    <w:r w:rsidR="00E3704D" w:rsidRPr="00B862F0">
      <w:tab/>
    </w:r>
    <w:r w:rsidR="00E3704D">
      <w:t>Style conventions</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175</w:t>
    </w:r>
    <w:r w:rsidR="00E3704D" w:rsidRPr="00B862F0">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Pr>
        <w:noProof/>
      </w:rPr>
      <w:t>176</w:t>
    </w:r>
    <w:r w:rsidRPr="00B862F0">
      <w:fldChar w:fldCharType="end"/>
    </w:r>
    <w:r w:rsidRPr="00B862F0">
      <w:tab/>
    </w:r>
    <w:r>
      <w:t>Style Conventions</w:t>
    </w:r>
    <w:r w:rsidRPr="00B862F0">
      <w:tab/>
    </w:r>
    <w:fldSimple w:instr=" DOCPROPERTY  Title  \* MERGEFORMAT ">
      <w:r>
        <w:t>2015-16 Financial Report</w:t>
      </w:r>
    </w:fldSimple>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E069A" w:rsidRDefault="00600DD6" w:rsidP="00BE069A">
    <w:pPr>
      <w:pStyle w:val="Footer"/>
    </w:pPr>
    <w:fldSimple w:instr=" DOCPROPERTY  Title  \* MERGEFORMAT ">
      <w:r w:rsidR="00E3704D">
        <w:t>2015-16 Financial Report</w:t>
      </w:r>
    </w:fldSimple>
    <w:r w:rsidR="00E3704D" w:rsidRPr="00B862F0">
      <w:tab/>
    </w:r>
    <w:r w:rsidR="00E3704D">
      <w:t>Style conventions</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175</w:t>
    </w:r>
    <w:r w:rsidR="00E3704D" w:rsidRPr="00B862F0">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8</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2</w:t>
    </w:r>
    <w:r w:rsidR="00E3704D" w:rsidRPr="00B862F0">
      <w:tab/>
    </w:r>
    <w:r w:rsidR="00E3704D">
      <w:fldChar w:fldCharType="begin"/>
    </w:r>
    <w:r w:rsidR="00E3704D">
      <w:instrText xml:space="preserve"> PAGE  \* Arabic  \* MERGEFORMAT </w:instrText>
    </w:r>
    <w:r w:rsidR="00E3704D">
      <w:fldChar w:fldCharType="separate"/>
    </w:r>
    <w:r w:rsidR="003A3C3D">
      <w:rPr>
        <w:noProof/>
      </w:rPr>
      <w:t>11</w:t>
    </w:r>
    <w:r w:rsidR="00E3704D">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10</w:t>
    </w:r>
    <w:r w:rsidRPr="00B862F0">
      <w:fldChar w:fldCharType="end"/>
    </w:r>
    <w:r w:rsidRPr="00B862F0">
      <w:tab/>
    </w:r>
    <w:r>
      <w:t>Chapter 2</w:t>
    </w:r>
    <w:r w:rsidRPr="00B862F0">
      <w:tab/>
    </w:r>
    <w:fldSimple w:instr=" DOCPROPERTY  Title  \* MERGEFORMAT ">
      <w:r>
        <w:t>2015-16 Financial Report</w:t>
      </w:r>
    </w:fldSimple>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71BE6">
    <w:pPr>
      <w:pStyle w:val="FooterEvenpage"/>
    </w:pPr>
    <w:r w:rsidRPr="00B862F0">
      <w:fldChar w:fldCharType="begin"/>
    </w:r>
    <w:r w:rsidRPr="00B862F0">
      <w:instrText xml:space="preserve"> PAGE  \* Arabic  \* MERGEFORMAT </w:instrText>
    </w:r>
    <w:r w:rsidRPr="00B862F0">
      <w:fldChar w:fldCharType="separate"/>
    </w:r>
    <w:r w:rsidR="003A3C3D">
      <w:rPr>
        <w:noProof/>
      </w:rPr>
      <w:t>12</w:t>
    </w:r>
    <w:r w:rsidRPr="00B862F0">
      <w:fldChar w:fldCharType="end"/>
    </w:r>
    <w:r w:rsidRPr="00B862F0">
      <w:tab/>
    </w:r>
    <w:r>
      <w:t>Chapter 2</w:t>
    </w:r>
    <w:r w:rsidRPr="00B862F0">
      <w:tab/>
    </w:r>
    <w:fldSimple w:instr=" DOCPROPERTY  Title  \* MERGEFORMAT ">
      <w:r>
        <w:t>2015-16 Financial Report</w:t>
      </w:r>
    </w:fldSimple>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13</w:t>
    </w:r>
    <w:r w:rsidR="00E3704D" w:rsidRPr="00B862F0">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14</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3</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13</w:t>
    </w:r>
    <w:r w:rsidR="00E3704D" w:rsidRPr="00B862F0">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18</w:t>
    </w:r>
    <w:r w:rsidRPr="00B862F0">
      <w:fldChar w:fldCharType="end"/>
    </w:r>
    <w:r w:rsidRPr="00B862F0">
      <w:tab/>
    </w:r>
    <w:r>
      <w:t>Chapter 3</w:t>
    </w:r>
    <w:r w:rsidRPr="00B862F0">
      <w:tab/>
    </w:r>
    <w:fldSimple w:instr=" DOCPROPERTY  Title  \* MERGEFORMAT ">
      <w:r>
        <w:t>2015-16 Financial Report</w:t>
      </w:r>
    </w:fldSimple>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rsidRPr="004C6925">
      <w:t>Chapter</w:t>
    </w:r>
    <w:r w:rsidR="00E3704D">
      <w:t xml:space="preserve"> 3</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19</w:t>
    </w:r>
    <w:r w:rsidR="00E3704D" w:rsidRPr="00B862F0">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20</w:t>
    </w:r>
    <w:r w:rsidRPr="00B862F0">
      <w:fldChar w:fldCharType="end"/>
    </w:r>
    <w:r w:rsidRPr="00B862F0">
      <w:tab/>
    </w:r>
    <w:r>
      <w:t>Chapter 3</w:t>
    </w:r>
    <w:r w:rsidRPr="00B862F0">
      <w:tab/>
    </w:r>
    <w:fldSimple w:instr=" DOCPROPERTY  Title  \* MERGEFORMAT ">
      <w:r>
        <w:t>2015-16 Financial Report</w:t>
      </w:r>
    </w:fldSimple>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3</w:t>
    </w:r>
    <w:r w:rsidR="00E3704D" w:rsidRPr="00B862F0">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30</w:t>
    </w:r>
    <w:r w:rsidRPr="00B862F0">
      <w:fldChar w:fldCharType="end"/>
    </w:r>
    <w:r w:rsidRPr="00B862F0">
      <w:tab/>
    </w:r>
    <w:r>
      <w:t>Chapter 4</w:t>
    </w:r>
    <w:r w:rsidRPr="00B862F0">
      <w:tab/>
    </w:r>
    <w:fldSimple w:instr=" DOCPROPERTY  Title  \* MERGEFORMAT ">
      <w:r>
        <w:t>2015-16 Financial Report</w:t>
      </w:r>
    </w:fldSimple>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31</w:t>
    </w:r>
    <w:r w:rsidR="00E3704D" w:rsidRPr="00B862F0">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692032" behindDoc="0" locked="0" layoutInCell="1" allowOverlap="1" wp14:anchorId="7857E7CF" wp14:editId="5F64E83C">
              <wp:simplePos x="0" y="0"/>
              <wp:positionH relativeFrom="column">
                <wp:posOffset>-377825</wp:posOffset>
              </wp:positionH>
              <wp:positionV relativeFrom="paragraph">
                <wp:posOffset>-6246495</wp:posOffset>
              </wp:positionV>
              <wp:extent cx="396000" cy="6192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32</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29.75pt;margin-top:-491.85pt;width:31.2pt;height:48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rf6gIAAFs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HZhSrAZHD6J15FK3BCLUZ9PYMWD3DYCuhRzYXm4h9Gm3pan9FwkR6FHp7b663huH8DgbxTE0&#10;HKpRkoG9UP7oxbox1n0SuiZ+k1MD9kJR2XpuHSIBtIf4y5SeVVIGBqUiG3g9PomDwV4DC6k8VoRe&#10;6Nzg1DpsgxzBBZ5+ZMkwjS+H2WA2OjsdpLP0ZJCdxmeDOMkuEXmapdezn957ko6XVVEINa+U6Hsm&#10;Sf+Ok133dmyHrnkVuNWyKnxWPjaf65U0ZM3QvAvJ+LMvO1I6QEWvwwlqZNd/Q5aRZ7BjKuzcVgrv&#10;X6ovogT3gTAvCK9O7K9knAvlAtehjkB7VInw3mO4w3vTjoX3GO8tws1aub1xXSltAttvwi6e+5DL&#10;Do9iHOTtt65dtF3T94280MUW/W00+g49ahs+q1D+ObPujhmMBAgx5twtllJqNJve7ShZavP9T3KP&#10;z6lfKdlgxOTUflsxIyiRnxXecJakKdy6cEhPToc4mEPN4lCjVvWVRiMkIbqw9Xgn+21pdP2IaTj1&#10;t0LFFEdkOcXt3fbKdYMP05SL6TSAMIUa5ubqvuHeta+yb7uH9pGZZvcOHRrqRvfDiI3fPMcO6y2V&#10;nq6cLqvwVn2du6ru6o8JFtpyN239iDw8B9TLP2HyCwAA//8DAFBLAwQUAAYACAAAACEAgdekht4A&#10;AAAJAQAADwAAAGRycy9kb3ducmV2LnhtbEyPy07DMBBF90j8gzVI7FqHVs2LOBWtlA2sKCB16cYm&#10;iWqPI9ttwt8zrOhuHkd3zlTb2Rp21T4MDgU8LRNgGlunBuwEfH40ixxYiBKVNA61gB8dYFvf31Wy&#10;VG7Cd309xI5RCIZSCuhjHEvOQ9trK8PSjRpp9+28lZFa33Hl5UTh1vBVkqTcygHpQi9Hve91ez5c&#10;rICvDLNj2kyv5x1vj2/Zzqz9vhHi8WF+eQYW9Rz/YfjTJ3WoyenkLqgCMwIWm2JDKBVFvs6AEbIq&#10;gJ1okKfA64rfflD/AgAA//8DAFBLAQItABQABgAIAAAAIQC2gziS/gAAAOEBAAATAAAAAAAAAAAA&#10;AAAAAAAAAABbQ29udGVudF9UeXBlc10ueG1sUEsBAi0AFAAGAAgAAAAhADj9If/WAAAAlAEAAAsA&#10;AAAAAAAAAAAAAAAALwEAAF9yZWxzLy5yZWxzUEsBAi0AFAAGAAgAAAAhACl8qt/qAgAAWwYAAA4A&#10;AAAAAAAAAAAAAAAALgIAAGRycy9lMm9Eb2MueG1sUEsBAi0AFAAGAAgAAAAhAIHXpIbeAAAACQEA&#10;AA8AAAAAAAAAAAAAAAAARAUAAGRycy9kb3ducmV2LnhtbFBLBQYAAAAABAAEAPMAAABPBgAAA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32</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024B3"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40</w:t>
    </w:r>
    <w:r w:rsidRPr="00B862F0">
      <w:fldChar w:fldCharType="end"/>
    </w:r>
    <w:r w:rsidRPr="00B862F0">
      <w:tab/>
    </w:r>
    <w:r>
      <w:t>Chapter 4</w:t>
    </w:r>
    <w:r w:rsidRPr="00B862F0">
      <w:tab/>
    </w:r>
    <w:fldSimple w:instr=" DOCPROPERTY  Title  \* MERGEFORMAT ">
      <w:r>
        <w:t>2015-16 Financial Report</w:t>
      </w:r>
    </w:fldSimple>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024B3" w:rsidRDefault="00600DD6" w:rsidP="009F70BB">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39</w:t>
    </w:r>
    <w:r w:rsidR="00E3704D" w:rsidRPr="00B862F0">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42</w:t>
    </w:r>
    <w:r w:rsidRPr="00B862F0">
      <w:fldChar w:fldCharType="end"/>
    </w:r>
    <w:r w:rsidRPr="00B862F0">
      <w:tab/>
    </w:r>
    <w:r>
      <w:t>Chapter 4</w:t>
    </w:r>
    <w:r w:rsidRPr="00B862F0">
      <w:tab/>
    </w:r>
    <w:fldSimple w:instr=" DOCPROPERTY  Title  \* MERGEFORMAT ">
      <w:r>
        <w:t>2015-16 Financial Report</w:t>
      </w:r>
    </w:fldSimple>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41</w:t>
    </w:r>
    <w:r w:rsidR="00E3704D" w:rsidRPr="00B862F0">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44</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43</w:t>
    </w:r>
    <w:r w:rsidR="00E3704D" w:rsidRPr="00B862F0">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44</w:t>
    </w:r>
    <w:r w:rsidRPr="00B862F0">
      <w:fldChar w:fldCharType="end"/>
    </w:r>
    <w:r w:rsidRPr="00B862F0">
      <w:tab/>
    </w:r>
    <w:r>
      <w:t>Chapter 4</w:t>
    </w:r>
    <w:r w:rsidRPr="00B862F0">
      <w:tab/>
    </w:r>
    <w:fldSimple w:instr=" DOCPROPERTY  Title  \* MERGEFORMAT ">
      <w:r>
        <w:t>2015-16 Financial Report</w:t>
      </w:r>
    </w:fldSimple>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45</w:t>
    </w:r>
    <w:r w:rsidR="00E3704D" w:rsidRPr="00B862F0">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46</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4</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45</w:t>
    </w:r>
    <w:r w:rsidR="00E3704D" w:rsidRPr="00B862F0">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46</w:t>
    </w:r>
    <w:r w:rsidRPr="00B862F0">
      <w:fldChar w:fldCharType="end"/>
    </w:r>
    <w:r w:rsidRPr="00B862F0">
      <w:tab/>
    </w:r>
    <w:r>
      <w:t>Chapter 4</w:t>
    </w:r>
    <w:r w:rsidRPr="00B862F0">
      <w:tab/>
    </w:r>
    <w:fldSimple w:instr=" DOCPROPERTY  Title  \* MERGEFORMAT ">
      <w:r>
        <w:t>2015-16 Financial Report</w:t>
      </w:r>
    </w:fldSimple>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rsidRPr="009F70BB">
      <w:t>Chapter</w:t>
    </w:r>
    <w:r w:rsidR="00E3704D">
      <w:t xml:space="preserve">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47</w:t>
    </w:r>
    <w:r w:rsidR="00E3704D" w:rsidRPr="00B862F0">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48</w:t>
    </w:r>
    <w:r w:rsidRPr="00B862F0">
      <w:fldChar w:fldCharType="end"/>
    </w:r>
    <w:r w:rsidRPr="00B862F0">
      <w:tab/>
    </w:r>
    <w:r>
      <w:t>Chapter 4</w:t>
    </w:r>
    <w:r w:rsidRPr="00B862F0">
      <w:tab/>
    </w:r>
    <w:fldSimple w:instr=" DOCPROPERTY  Title  \* MERGEFORMAT ">
      <w:r>
        <w:t>2015-16 Financial Report</w:t>
      </w:r>
    </w:fldSimple>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49</w:t>
    </w:r>
    <w:r w:rsidR="00E3704D" w:rsidRPr="00B862F0">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16</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27</w:t>
    </w:r>
    <w:r w:rsidR="00E3704D" w:rsidRPr="00B862F0">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50</w:t>
    </w:r>
    <w:r w:rsidRPr="00B862F0">
      <w:fldChar w:fldCharType="end"/>
    </w:r>
    <w:r w:rsidRPr="00B862F0">
      <w:tab/>
    </w:r>
    <w:r>
      <w:t>Chapter 4</w:t>
    </w:r>
    <w:r w:rsidRPr="00B862F0">
      <w:tab/>
    </w:r>
    <w:fldSimple w:instr=" DOCPROPERTY  Title  \* MERGEFORMAT ">
      <w:r>
        <w:t>2015-16 Financial Report</w:t>
      </w:r>
    </w:fldSimple>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51</w:t>
    </w:r>
    <w:r w:rsidR="00E3704D" w:rsidRPr="00B862F0">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9F70BB">
    <w:pPr>
      <w:pStyle w:val="Footer"/>
    </w:pPr>
    <w:fldSimple w:instr=" DOCPROPERTY  Title  \* MERGEFORMAT ">
      <w:r w:rsidR="00E3704D">
        <w:t>2015-16 Financial Report</w:t>
      </w:r>
    </w:fldSimple>
    <w:r w:rsidR="00E3704D" w:rsidRPr="00B862F0">
      <w:tab/>
    </w:r>
    <w:r w:rsidR="00E3704D" w:rsidRPr="009F70BB">
      <w:t>Chapter</w:t>
    </w:r>
    <w:r w:rsidR="00E3704D">
      <w:t xml:space="preserve"> 1</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w:t>
    </w:r>
    <w:r w:rsidR="00E3704D" w:rsidRPr="00B862F0">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52</w:t>
    </w:r>
    <w:r w:rsidRPr="00B862F0">
      <w:fldChar w:fldCharType="end"/>
    </w:r>
    <w:r w:rsidRPr="00B862F0">
      <w:tab/>
    </w:r>
    <w:r w:rsidRPr="009F70BB">
      <w:t>Chapter</w:t>
    </w:r>
    <w:r>
      <w:t xml:space="preserve"> 4</w:t>
    </w:r>
    <w:r w:rsidRPr="00B862F0">
      <w:tab/>
    </w:r>
    <w:fldSimple w:instr=" DOCPROPERTY  Title  \* MERGEFORMAT ">
      <w:r>
        <w:t>2015-16 Financial Report</w:t>
      </w:r>
    </w:fldSimple>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53</w:t>
    </w:r>
    <w:r w:rsidR="00E3704D" w:rsidRPr="00B862F0">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694080" behindDoc="0" locked="0" layoutInCell="1" allowOverlap="1" wp14:anchorId="7FB1590E" wp14:editId="51B26F43">
              <wp:simplePos x="0" y="0"/>
              <wp:positionH relativeFrom="column">
                <wp:posOffset>-377825</wp:posOffset>
              </wp:positionH>
              <wp:positionV relativeFrom="paragraph">
                <wp:posOffset>-6246495</wp:posOffset>
              </wp:positionV>
              <wp:extent cx="396000" cy="619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54</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29.75pt;margin-top:-491.85pt;width:31.2pt;height:48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LR6wIAAFs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XUaJYjU4ehCtI5e6JRChPpvGjgG7bwB0LeTA9nILoU+7LU3tv0iIQI9Kb/fV9d44hMfZKI6h&#10;4VCNkgzshfJHL9aNse6T0DXxm5wasBeKytZz6xAJoD3EX6b0rJIyMCgV2cDr8UkcDPYaWEjlsSL0&#10;QucGp9ZhG+QILvD0I0uGaXw5zAaz0dnpIJ2lJ4PsND4bxEl2icjTLL2e/fTek3S8rIpCqHmlRN8z&#10;Sfp3nOy6t2M7dM2rwK2WVeGz8rH5XK+kIWuG5l1Ixp992ZHSASp6HU5QI7v+G7KMPIMdU2HntlJ4&#10;/1J9ESW4D4R5QXh1Yn8l41woF7gOdQTao0qE9x7DHd6bdiy8x3hvEW7Wyu2N60ppE9h+E3bx3Idc&#10;dngU4yBvv3Xtog1Nn/aNvNDFFv1tNPoOPWobPqtQ/jmz7o4ZjAQIMebcLZZSajSb3u0oWWrz/U9y&#10;j8+pXynZYMTk1H5bMSMokZ8V3nCWpCncunBIT06HOJhDzeJQo1b1lUYjJCG6sPV4J/ttaXT9iGk4&#10;9bdCxRRHZDnF7d32ynWDD9OUi+k0gDCFGubm6r7h3rWvsm+7h/aRmWb3Dh0a6kb3w4iN3zzHDust&#10;lZ6unC6r8FZ9nbuq7uqPCRbacjdt/Yg8PAfUyz9h8gsAAP//AwBQSwMEFAAGAAgAAAAhAIHXpIbe&#10;AAAACQEAAA8AAABkcnMvZG93bnJldi54bWxMj8tOwzAQRfdI/IM1SOxah1bNizgVrZQNrCggdenG&#10;JolqjyPbbcLfM6zobh5Hd85U29kadtU+DA4FPC0TYBpbpwbsBHx+NIscWIgSlTQOtYAfHWBb399V&#10;slRuwnd9PcSOUQiGUgroYxxLzkPbayvD0o0aafftvJWRWt9x5eVE4dbwVZKk3MoB6UIvR73vdXs+&#10;XKyArwyzY9pMr+cdb49v2c6s/b4R4vFhfnkGFvUc/2H40yd1qMnp5C6oAjMCFptiQygVRb7OgBGy&#10;KoCdaJCnwOuK335Q/wIAAP//AwBQSwECLQAUAAYACAAAACEAtoM4kv4AAADhAQAAEwAAAAAAAAAA&#10;AAAAAAAAAAAAW0NvbnRlbnRfVHlwZXNdLnhtbFBLAQItABQABgAIAAAAIQA4/SH/1gAAAJQBAAAL&#10;AAAAAAAAAAAAAAAAAC8BAABfcmVscy8ucmVsc1BLAQItABQABgAIAAAAIQAHN4LR6wIAAFsGAAAO&#10;AAAAAAAAAAAAAAAAAC4CAABkcnMvZTJvRG9jLnhtbFBLAQItABQABgAIAAAAIQCB16SG3gAAAAkB&#10;AAAPAAAAAAAAAAAAAAAAAEUFAABkcnMvZG93bnJldi54bWxQSwUGAAAAAAQABADzAAAAUAYAAA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54</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06368" behindDoc="0" locked="0" layoutInCell="1" allowOverlap="1" wp14:anchorId="45633CE0" wp14:editId="0B23278F">
              <wp:simplePos x="0" y="0"/>
              <wp:positionH relativeFrom="column">
                <wp:posOffset>-377825</wp:posOffset>
              </wp:positionH>
              <wp:positionV relativeFrom="paragraph">
                <wp:posOffset>-6246495</wp:posOffset>
              </wp:positionV>
              <wp:extent cx="396000" cy="6192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55</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1" type="#_x0000_t202" style="position:absolute;margin-left:-29.75pt;margin-top:-491.85pt;width:31.2pt;height:48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Lf6wIAAFsGAAAOAAAAZHJzL2Uyb0RvYy54bWysVV1P2zAUfZ+0/2D5vSQpaSEVKSqgTpMq&#10;QIOJZ9dxaIRjZ7bbhk377zt22lDYHsa0F8e+X773nuObs/O2lmQjjK20ymlyFFMiFNdFpR5z+vV+&#10;PjilxDqmCia1Ejl9FpaeTz9+ONs2EzHUKy0LYQiCKDvZNjldOddMosjylaiZPdKNUFCW2tTM4Wge&#10;o8KwLaLXMhrG8TjaalM0RnNhLaRXnZJOQ/yyFNzdlKUVjsicIjcXVhPWpV+j6RmbPBrWrCq+S4P9&#10;QxY1qxQu7UNdMcfI2lS/haorbrTVpTviuo50WVZchBpQTRK/qeZuxRoRakFzbNO3yf6/sPx6c2tI&#10;VeR0OKJEsRoY3YvWkQvdEojQn21jJzC7a2DoWsiB815uIfRlt6Wp/RcFEejR6ee+uz4ah/A4G8cx&#10;NByqcZIBvdD+6MW7MdZ9EromfpNTA/RCU9lmYR0ygenexF+m9LySMiAoFdki6vEoDg69Bh5SeVsR&#10;uNCFwal12AY5kgs4/ciSYRpfDLPBfHx6Mkjn6WiQncSngzjJLpB5mqVX858+epJOVlVRCLWolNhz&#10;Jkn/DpMdezu0A2teJW61rApflc/N13opDdkwkHcpGX/ybUdJB1bR63SCGtXtv6HKyCPYIRV27lkK&#10;H1+qL6IE9gEwLwivTvRXMs6FcgHr0EdYe6sS6b3HcWfvXTsU3uPce4SbtXK9c10pbQLab9IunvYp&#10;l509mnFQt9+6dtkG0vcEX+riGfw2GrwDR23D5xXav2DW3TKDkQAhxpy7wVJKDbLp3Y6SlTbf/yT3&#10;9jn1KyVbjJic2m9rZgQl8rPCG86SNEVYFw7p6GSIgznULA81al1fahAhCdmFrbd3cr8tja4fMA1n&#10;/laomOLILKe4vdteum7wYZpyMZsFI0yhhrmFumu4D+277Gl33z4w0+zeoQOhrvV+GLHJm+fY2XpP&#10;pWdrp8sqvFXf566ru/5jggVa7qatH5GH52D18k+Y/gIAAP//AwBQSwMEFAAGAAgAAAAhAIHXpIbe&#10;AAAACQEAAA8AAABkcnMvZG93bnJldi54bWxMj8tOwzAQRfdI/IM1SOxah1bNizgVrZQNrCggdenG&#10;JolqjyPbbcLfM6zobh5Hd85U29kadtU+DA4FPC0TYBpbpwbsBHx+NIscWIgSlTQOtYAfHWBb399V&#10;slRuwnd9PcSOUQiGUgroYxxLzkPbayvD0o0aafftvJWRWt9x5eVE4dbwVZKk3MoB6UIvR73vdXs+&#10;XKyArwyzY9pMr+cdb49v2c6s/b4R4vFhfnkGFvUc/2H40yd1qMnp5C6oAjMCFptiQygVRb7OgBGy&#10;KoCdaJCnwOuK335Q/wIAAP//AwBQSwECLQAUAAYACAAAACEAtoM4kv4AAADhAQAAEwAAAAAAAAAA&#10;AAAAAAAAAAAAW0NvbnRlbnRfVHlwZXNdLnhtbFBLAQItABQABgAIAAAAIQA4/SH/1gAAAJQBAAAL&#10;AAAAAAAAAAAAAAAAAC8BAABfcmVscy8ucmVsc1BLAQItABQABgAIAAAAIQATHsLf6wIAAFsGAAAO&#10;AAAAAAAAAAAAAAAAAC4CAABkcnMvZTJvRG9jLnhtbFBLAQItABQABgAIAAAAIQCB16SG3gAAAAkB&#10;AAAPAAAAAAAAAAAAAAAAAEUFAABkcnMvZG93bnJldi54bWxQSwUGAAAAAAQABADzAAAAUAYAAAAA&#10;" filled="f" stroked="f" strokeweight=".5pt">
              <v:textbox style="layout-flow:vertical">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55</w:t>
                    </w:r>
                    <w:r w:rsidR="00E3704D" w:rsidRPr="00B862F0">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56</w:t>
    </w:r>
    <w:r w:rsidRPr="00B862F0">
      <w:fldChar w:fldCharType="end"/>
    </w:r>
    <w:r w:rsidRPr="00B862F0">
      <w:tab/>
    </w:r>
    <w:r>
      <w:t>Chapter 4</w:t>
    </w:r>
    <w:r w:rsidRPr="00B862F0">
      <w:tab/>
    </w:r>
    <w:fldSimple w:instr=" DOCPROPERTY  Title  \* MERGEFORMAT ">
      <w:r>
        <w:t>2015-16 Financial Report</w:t>
      </w:r>
    </w:fldSimple>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57</w:t>
    </w:r>
    <w:r w:rsidR="00E3704D" w:rsidRPr="00B862F0">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58</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65</w:t>
    </w:r>
    <w:r w:rsidR="00E3704D" w:rsidRPr="00B862F0">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64</w:t>
    </w:r>
    <w:r w:rsidRPr="00B862F0">
      <w:fldChar w:fldCharType="end"/>
    </w:r>
    <w:r w:rsidRPr="00B862F0">
      <w:tab/>
    </w:r>
    <w:r>
      <w:t>Chapter 4</w:t>
    </w:r>
    <w:r w:rsidRPr="00B862F0">
      <w:tab/>
    </w:r>
    <w:fldSimple w:instr=" DOCPROPERTY  Title  \* MERGEFORMAT ">
      <w:r>
        <w:t>2015-16 Financial Report</w:t>
      </w:r>
    </w:fldSimple>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696128" behindDoc="0" locked="0" layoutInCell="1" allowOverlap="1" wp14:anchorId="0679C8A0" wp14:editId="091263B1">
              <wp:simplePos x="0" y="0"/>
              <wp:positionH relativeFrom="column">
                <wp:posOffset>-377825</wp:posOffset>
              </wp:positionH>
              <wp:positionV relativeFrom="paragraph">
                <wp:posOffset>-6246495</wp:posOffset>
              </wp:positionV>
              <wp:extent cx="396000" cy="619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66</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margin-left:-29.75pt;margin-top:-491.85pt;width:31.2pt;height:48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4v7AIAAFsGAAAOAAAAZHJzL2Uyb0RvYy54bWysVV1P2zAUfZ+0/2D5vSQpoTQVKSqgTpMq&#10;QIOJZ9dxaIRjZ7bbhk377zt2mlLYHsa0F/fmfhzfj+Pbs/O2lmQjjK20ymlyFFMiFNdFpR5z+vV+&#10;PhhTYh1TBZNaiZw+C0vPpx8/nG2biRjqlZaFMAQgyk62TU5XzjWTKLJ8JWpmj3QjFIylNjVz+DSP&#10;UWHYFui1jIZxPIq22hSN0VxYC+1VZ6TTgF+WgrubsrTCEZlT5ObCacK59Gc0PWOTR8OaVcV3abB/&#10;yKJmlcKle6gr5hhZm+o3qLriRltduiOu60iXZcVFqAHVJPGbau5WrBGhFjTHNvs22f8Hy683t4ZU&#10;RU6HaI9iNWZ0L1pHLnRLoEJ/to2dwO2ugaNrocece72F0pfdlqb2vyiIwA6o5313PRqH8jgbxTEs&#10;HKZRkmF6AT56iW6MdZ+ErokXcmowvdBUtllYh0zg2rv4y5SeV1KGCUpFtkA9PolDwN6CCKm8rwhc&#10;6GDw1TqIQY/kwpx+ZMkwjS+G2WA+Gp8O0nl6MshO4/EgTrILZJ5m6dX8p0dP0smqKgqhFpUSPWeS&#10;9O9msmNvN+3AmleJWy2rwlflc/O1XkpDNgzkXUrGn3zbUdKBV/Q6nWBGdf1vqDLyE+wmFST3LIXH&#10;l+qLKDH7MDCvCK9O7K9knAvlwqxDH+HtvUqk957Anb8P7abwnuB9RLhZK7cPriulTZj2m7SLpz7l&#10;svNHMw7q9qJrl20g/bgn8lIXz+C30eAdOGobPq/Q/gWz7pYZrAQosebcDY5SapBN7yRKVtp8/5Pe&#10;++fUn5RssWJyar+tmRGUyM8KbzhL0hSwLnykJ6d4bsQcWpaHFrWuLzWIkITsguj9nezF0uj6Adtw&#10;5m+FiSmOzHKK2zvx0nWLD9uUi9ksOGELNcwt1F3DPbTvsqfdffvATLN7hw6Eutb9MmKTN8+x8/WR&#10;Ss/WTpdVeKu+z11Xd/3HBgu03G1bvyIPv4PXy3/C9BcA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PCnOL+wCAABbBgAA&#10;DgAAAAAAAAAAAAAAAAAuAgAAZHJzL2Uyb0RvYy54bWxQSwECLQAUAAYACAAAACEAgdekht4AAAAJ&#10;AQAADwAAAAAAAAAAAAAAAABGBQAAZHJzL2Rvd25yZXYueG1sUEsFBgAAAAAEAAQA8wAAAFEGAAAA&#10;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66</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08416" behindDoc="0" locked="0" layoutInCell="1" allowOverlap="1" wp14:anchorId="21872E4E" wp14:editId="5A08383B">
              <wp:simplePos x="0" y="0"/>
              <wp:positionH relativeFrom="column">
                <wp:posOffset>-377825</wp:posOffset>
              </wp:positionH>
              <wp:positionV relativeFrom="paragraph">
                <wp:posOffset>-6246495</wp:posOffset>
              </wp:positionV>
              <wp:extent cx="396000" cy="619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67</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margin-left:-29.75pt;margin-top:-491.85pt;width:31.2pt;height:48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tp7AIAAFs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ES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INpM96Ii90sQW/jQbvwFHb8FmF9s+ZdXfMYCRAiDHnbrGUUoNserejZKnN9z/J&#10;vX1O/UrJBiMmp/bbihlBifys8IazJE0R1oVDenI6xMEcahaHGrWqrzSIkITswtbbO9lvS6PrR0zD&#10;qb8VKqY4Msspbu+2V64bfJimXEynwQhTqGFuru4b7kP7LnvaPbSPzDS7d+hAqBvdDyM2fvMcO1vv&#10;qfR05XRZhbfq+9x1ddd/TLBAy9209SPy8BysXv4Jk18A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oRMbaewCAABbBgAA&#10;DgAAAAAAAAAAAAAAAAAuAgAAZHJzL2Uyb0RvYy54bWxQSwECLQAUAAYACAAAACEAgdekht4AAAAJ&#10;AQAADwAAAAAAAAAAAAAAAABGBQAAZHJzL2Rvd25yZXYueG1sUEsFBgAAAAAEAAQA8wAAAFEGAAAA&#10;AA==&#10;" filled="f" stroked="f" strokeweight=".5pt">
              <v:textbox style="layout-flow:vertical">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67</w:t>
                    </w:r>
                    <w:r w:rsidR="00E3704D" w:rsidRPr="00B862F0">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68</w:t>
    </w:r>
    <w:r w:rsidRPr="00B862F0">
      <w:fldChar w:fldCharType="end"/>
    </w:r>
    <w:r w:rsidRPr="00B862F0">
      <w:tab/>
    </w:r>
    <w:r>
      <w:t>Chapter 4</w:t>
    </w:r>
    <w:r w:rsidRPr="00B862F0">
      <w:tab/>
    </w:r>
    <w:fldSimple w:instr=" DOCPROPERTY  Title  \* MERGEFORMAT ">
      <w:r>
        <w:t>2015-16 Financial Report</w:t>
      </w:r>
    </w:fldSimple>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69</w:t>
    </w:r>
    <w:r w:rsidR="00E3704D" w:rsidRPr="00B862F0">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46</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47</w:t>
    </w:r>
    <w:r w:rsidR="00E3704D" w:rsidRPr="00B862F0">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72</w:t>
    </w:r>
    <w:r w:rsidRPr="00B862F0">
      <w:fldChar w:fldCharType="end"/>
    </w:r>
    <w:r w:rsidRPr="00B862F0">
      <w:tab/>
    </w:r>
    <w:r>
      <w:t>Chapter 4</w:t>
    </w:r>
    <w:r w:rsidRPr="00B862F0">
      <w:tab/>
    </w:r>
    <w:fldSimple w:instr=" DOCPROPERTY  Title  \* MERGEFORMAT ">
      <w:r>
        <w:t>2015-16 Financial Report</w:t>
      </w:r>
    </w:fldSimple>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73</w:t>
    </w:r>
    <w:r w:rsidR="00E3704D" w:rsidRPr="00B862F0">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78</w:t>
    </w:r>
    <w:r w:rsidRPr="00B862F0">
      <w:fldChar w:fldCharType="end"/>
    </w:r>
    <w:r w:rsidRPr="00B862F0">
      <w:tab/>
    </w:r>
    <w:r>
      <w:t>Chapter 4</w:t>
    </w:r>
    <w:r w:rsidRPr="00B862F0">
      <w:tab/>
    </w:r>
    <w:fldSimple w:instr=" DOCPROPERTY  Title  \* MERGEFORMAT ">
      <w:r>
        <w:t>2015-16 Financial Report</w:t>
      </w:r>
    </w:fldSimple>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77</w:t>
    </w:r>
    <w:r w:rsidR="00E3704D" w:rsidRPr="00B862F0">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80</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9F70BB">
    <w:pPr>
      <w:pStyle w:val="FooterEvenpage"/>
    </w:pPr>
    <w:r w:rsidRPr="00B862F0">
      <w:fldChar w:fldCharType="begin"/>
    </w:r>
    <w:r w:rsidRPr="00B862F0">
      <w:instrText xml:space="preserve"> PAGE  \* Arabic  \* MERGEFORMAT </w:instrText>
    </w:r>
    <w:r w:rsidRPr="00B862F0">
      <w:fldChar w:fldCharType="separate"/>
    </w:r>
    <w:r w:rsidR="003A3C3D">
      <w:rPr>
        <w:noProof/>
      </w:rPr>
      <w:t>2</w:t>
    </w:r>
    <w:r w:rsidRPr="00B862F0">
      <w:fldChar w:fldCharType="end"/>
    </w:r>
    <w:r w:rsidRPr="00B862F0">
      <w:tab/>
    </w:r>
    <w:r w:rsidRPr="009F70BB">
      <w:t>Chapter</w:t>
    </w:r>
    <w:r>
      <w:t xml:space="preserve"> 1</w:t>
    </w:r>
    <w:r w:rsidRPr="00B862F0">
      <w:tab/>
    </w:r>
    <w:fldSimple w:instr=" DOCPROPERTY  Title  \* MERGEFORMAT ">
      <w:r>
        <w:t>2015-16 Financial Report</w:t>
      </w:r>
    </w:fldSimple>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79</w:t>
    </w:r>
    <w:r w:rsidR="00E3704D" w:rsidRPr="00B862F0">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10464" behindDoc="0" locked="0" layoutInCell="1" allowOverlap="1" wp14:anchorId="1B561C05" wp14:editId="517DA091">
              <wp:simplePos x="0" y="0"/>
              <wp:positionH relativeFrom="column">
                <wp:posOffset>-377825</wp:posOffset>
              </wp:positionH>
              <wp:positionV relativeFrom="paragraph">
                <wp:posOffset>-6246495</wp:posOffset>
              </wp:positionV>
              <wp:extent cx="396000" cy="6192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79</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7" type="#_x0000_t202" style="position:absolute;margin-left:-29.75pt;margin-top:-491.85pt;width:31.2pt;height:48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fq7AIAAFw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I6PKVEsRoYPYjWkUvdEojQn01jxzC7b2DoWsiB815uIfRlt6Wp/RcFEejR6W3fXR+NQ3icjeIY&#10;Gg7VKMmAXmh/9OLdGOs+CV0Tv8mpAXqhqWw9tw6ZwHRv4i9TelZJGRCUimwQ9fgkDg69Bh5SeVsR&#10;uNCFwal12AY5kgs4/ciSYRpfDrPBbHR2Okhn6ckgO43PBnGSXSLzNEuvZz999CQdL6uiEGpeKbHn&#10;TJL+HSY79nZoB9a8StxqWRW+Kp+br/VKGrJmIO9CMv7s246SDqyi1+kENarbf0OVkUewQyrs3FYK&#10;H1+qL6IE9gEwLwivTvRXMs6FcgHr0EdYe6sS6b3HcWfvXTsU3uPce4SbtXK9c10pbQLab9Iunvcp&#10;l509mnFQt9+6dtEG0ic9kxe62ILgRoN4IKlt+KxC/+fMujtmMBMgxJxzt1hKqcE2vdtRstTm+5/k&#10;3j6nfqVkgxmTU/ttxYygRH5WeMRZkqYI68IhPTkd4mAONYtDjVrVVxpMSEJ2YevtndxvS6PrR4zD&#10;qb8VKqY4Msspbu+2V66bfBinXEynwQhjqGFuru4b7kP7NnvePbSPzDS7h+jAqBu9n0Zs/OY9drbe&#10;U+npyumyCo/VN7rr6g4AjLDAy9249TPy8BysXn4Kk18A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6SA36uwCAABcBgAA&#10;DgAAAAAAAAAAAAAAAAAuAgAAZHJzL2Uyb0RvYy54bWxQSwECLQAUAAYACAAAACEAgdekht4AAAAJ&#10;AQAADwAAAAAAAAAAAAAAAABGBQAAZHJzL2Rvd25yZXYueG1sUEsFBgAAAAAEAAQA8wAAAFEGAAAA&#10;AA==&#10;" filled="f" stroked="f" strokeweight=".5pt">
              <v:textbox style="layout-flow:vertical">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79</w:t>
                    </w:r>
                    <w:r w:rsidR="00E3704D" w:rsidRPr="00B862F0">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80</w:t>
    </w:r>
    <w:r w:rsidRPr="00B862F0">
      <w:fldChar w:fldCharType="end"/>
    </w:r>
    <w:r w:rsidRPr="00B862F0">
      <w:tab/>
    </w:r>
    <w:r>
      <w:t>Chapter 4</w:t>
    </w:r>
    <w:r w:rsidRPr="00B862F0">
      <w:tab/>
    </w:r>
    <w:fldSimple w:instr=" DOCPROPERTY  Title  \* MERGEFORMAT ">
      <w:r>
        <w:t>2015-16 Financial Report</w:t>
      </w:r>
    </w:fldSimple>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81</w:t>
    </w:r>
    <w:r w:rsidR="00E3704D" w:rsidRPr="00B862F0">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82</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81</w:t>
    </w:r>
    <w:r w:rsidR="00E3704D" w:rsidRPr="00B862F0">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17220" w:rsidRDefault="00E3704D" w:rsidP="00A1722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14</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15</w:t>
    </w:r>
    <w:r w:rsidR="00E3704D" w:rsidRPr="00B862F0">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17220"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84</w:t>
    </w:r>
    <w:r w:rsidRPr="00B862F0">
      <w:fldChar w:fldCharType="end"/>
    </w:r>
    <w:r w:rsidRPr="00B862F0">
      <w:tab/>
    </w:r>
    <w:r>
      <w:t>Chapter 4</w:t>
    </w:r>
    <w:r w:rsidRPr="00B862F0">
      <w:tab/>
    </w:r>
    <w:fldSimple w:instr=" DOCPROPERTY  Title  \* MERGEFORMAT ">
      <w:r>
        <w:t>2015-16 Financial Report</w:t>
      </w:r>
    </w:fldSimple>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83</w:t>
    </w:r>
    <w:r w:rsidR="00E3704D" w:rsidRPr="00B862F0">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3</w:t>
    </w:r>
    <w:r w:rsidR="00E3704D" w:rsidRPr="00B862F0">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12512" behindDoc="0" locked="0" layoutInCell="1" allowOverlap="1" wp14:anchorId="5E162B88" wp14:editId="1390DEF9">
              <wp:simplePos x="0" y="0"/>
              <wp:positionH relativeFrom="column">
                <wp:posOffset>-377825</wp:posOffset>
              </wp:positionH>
              <wp:positionV relativeFrom="paragraph">
                <wp:posOffset>-6246495</wp:posOffset>
              </wp:positionV>
              <wp:extent cx="396000"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85</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9" type="#_x0000_t202" style="position:absolute;margin-left:-29.75pt;margin-top:-491.85pt;width:31.2pt;height:48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h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EEgpVgOjB9E6cqlbAhH6s2nsGGb3DQxdCzlw7uUWQl92W5raf1EQgR6d3u6766NxCI+zURxD&#10;w6EaJRnQC+2PXrwbY90noWviNzk1QC80la3n1iETmPYm/jKlZ5WUAUGpyAZRj0/i4LDXwEMqbysC&#10;F7owOLUO2yBHcgGnH1kyTOPLYTaYjc5OB+ksPRlkp/HZIE6yS2SeZun17KePnqTjZVUUQs0rJXrO&#10;JOnfYbJjb4d2YM2rxK2WVeGr8rn5Wq+kIWsG8i4k48++7SjpwCp6nU5Qo7r+G6qMPIIdUmHntlL4&#10;+FJ9ESWwD4B5QXh1Yn8l41woF7AOfYS1tyqR3nscd/betUPhPc57j3CzVm7vXFdKm4D2m7SL5z7l&#10;srNHMw7q9lvXLtpA+uS4Z/JCF1sQ3GgQDyS1DZ9V6P+cWXfHDGYChJhz7hZLKTXYpnc7SpbafP+T&#10;3Nvn1K+UbDBjcmq/rZgRlMjPCo84S9IUYV04pCenQxzMoWZxqFGr+kqDCUnILmy9vZP9tjS6fsQ4&#10;nPpboWKKI7Oc4vZue+W6yYdxysV0Gowwhhrm5uq+4T60b7Pn3UP7yEyze4gOjLrR/TRi4zfvsbP1&#10;nkpPV06XVXisvtFdV3cAYIQFXu7GrZ+Rh+dg9fJTmPwC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AP28IewCAABcBgAA&#10;DgAAAAAAAAAAAAAAAAAuAgAAZHJzL2Uyb0RvYy54bWxQSwECLQAUAAYACAAAACEAgdekht4AAAAJ&#10;AQAADwAAAAAAAAAAAAAAAABGBQAAZHJzL2Rvd25yZXYueG1sUEsFBgAAAAAEAAQA8wAAAFEGAAAA&#10;AA==&#10;" filled="f" stroked="f" strokeweight=".5pt">
              <v:textbox style="layout-flow:vertical">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85</w:t>
                    </w:r>
                    <w:r w:rsidR="00E3704D" w:rsidRPr="00B862F0">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17220"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98</w:t>
    </w:r>
    <w:r w:rsidRPr="00B862F0">
      <w:fldChar w:fldCharType="end"/>
    </w:r>
    <w:r w:rsidRPr="00B862F0">
      <w:tab/>
    </w:r>
    <w:r>
      <w:t>Chapter 4</w:t>
    </w:r>
    <w:r w:rsidRPr="00B862F0">
      <w:tab/>
    </w:r>
    <w:fldSimple w:instr=" DOCPROPERTY  Title  \* MERGEFORMAT ">
      <w:r>
        <w:t>2015-16 Financial Report</w:t>
      </w:r>
    </w:fldSimple>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97</w:t>
    </w:r>
    <w:r w:rsidR="00E3704D" w:rsidRPr="00B862F0">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102</w:t>
    </w:r>
    <w:r w:rsidRPr="00B862F0">
      <w:fldChar w:fldCharType="end"/>
    </w:r>
    <w:r w:rsidRPr="00B862F0">
      <w:tab/>
    </w:r>
    <w:r>
      <w:t>Chapter 4</w:t>
    </w:r>
    <w:r w:rsidRPr="00B862F0">
      <w:tab/>
    </w:r>
    <w:fldSimple w:instr=" DOCPROPERTY  Title  \* MERGEFORMAT ">
      <w:r>
        <w:t>2015-16 Financial Report</w:t>
      </w:r>
    </w:fldSimple>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103</w:t>
    </w:r>
    <w:r w:rsidR="00E3704D" w:rsidRPr="00B862F0">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698176" behindDoc="0" locked="0" layoutInCell="1" allowOverlap="1" wp14:anchorId="749B02B7" wp14:editId="79C40E67">
              <wp:simplePos x="0" y="0"/>
              <wp:positionH relativeFrom="column">
                <wp:posOffset>-377825</wp:posOffset>
              </wp:positionH>
              <wp:positionV relativeFrom="paragraph">
                <wp:posOffset>-6246495</wp:posOffset>
              </wp:positionV>
              <wp:extent cx="396000" cy="6192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104</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2" type="#_x0000_t202" style="position:absolute;margin-left:-29.75pt;margin-top:-491.85pt;width:31.2pt;height:48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3j7Q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KFEsRoYPYjWkUvdEojQn01jxzC7b2DoWsiBcy+3EPqy29LU/ouCCPTo9HbfXR+NQ3icjeIY&#10;Gg7VKMmAXmh/9OLdGOs+CV0Tv8mpAXqhqWw9tw6ZwLQ38ZcpPaukDAhKRTaIenwSB4e9Bh5SeVsR&#10;uNCFwal12AY5kgs4/ciSYRpfDrPBbHR2Okhn6ckgO43PBnGSXSLzNEuvZz999CQdL6uiEGpeKdFz&#10;Jkn/DpMdezu0A2teJW61rApflc/N13olDVkzkHchGX/2bUdJB1bR63SCGtX131Bl5BHskAo7t5XC&#10;x5fqiyiBfQDMC8KrE/srGedCuYB16COsvVWJ9N7juLP3rh0K73Hee4SbtXJ757pS2gS036RdPPcp&#10;l509mnFQt9+6dtEG0iejnskLXWxBcKNBPJDUNnxWof9zZt0dM5gJEGLOuVsspdRgm97tKFlq8/1P&#10;cm+fU79SssGMyan9tmJGUCI/KzziLElThHXhkJ6cDnEwh5rFoUat6isNJuCdIruw9fZO9tvS6PoR&#10;43Dqb4WKKY7Mcorbu+2V6yYfxikX02kwwhhqmJur+4b70L7NnncP7SMzze4hOjDqRvfTiI3fvMfO&#10;1nsqPV05XVbhsfpGd13dAYARFni5G7d+Rh6eg9XLT2HyCwAA//8DAFBLAwQUAAYACAAAACEAgdek&#10;ht4AAAAJAQAADwAAAGRycy9kb3ducmV2LnhtbEyPy07DMBBF90j8gzVI7FqHVs2LOBWtlA2sKCB1&#10;6cYmiWqPI9ttwt8zrOhuHkd3zlTb2Rp21T4MDgU8LRNgGlunBuwEfH40ixxYiBKVNA61gB8dYFvf&#10;31WyVG7Cd309xI5RCIZSCuhjHEvOQ9trK8PSjRpp9+28lZFa33Hl5UTh1vBVkqTcygHpQi9Hve91&#10;ez5crICvDLNj2kyv5x1vj2/Zzqz9vhHi8WF+eQYW9Rz/YfjTJ3WoyenkLqgCMwIWm2JDKBVFvs6A&#10;EbIqgJ1okKfA64rfflD/AgAA//8DAFBLAQItABQABgAIAAAAIQC2gziS/gAAAOEBAAATAAAAAAAA&#10;AAAAAAAAAAAAAABbQ29udGVudF9UeXBlc10ueG1sUEsBAi0AFAAGAAgAAAAhADj9If/WAAAAlAEA&#10;AAsAAAAAAAAAAAAAAAAALwEAAF9yZWxzLy5yZWxzUEsBAi0AFAAGAAgAAAAhAIss3ePtAgAAXAYA&#10;AA4AAAAAAAAAAAAAAAAALgIAAGRycy9lMm9Eb2MueG1sUEsBAi0AFAAGAAgAAAAhAIHXpIbeAAAA&#10;CQEAAA8AAAAAAAAAAAAAAAAARwUAAGRycy9kb3ducmV2LnhtbFBLBQYAAAAABAAEAPMAAABSBgAA&#10;A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104</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14560" behindDoc="0" locked="0" layoutInCell="1" allowOverlap="1" wp14:anchorId="71698338" wp14:editId="77DBFAA5">
              <wp:simplePos x="0" y="0"/>
              <wp:positionH relativeFrom="column">
                <wp:posOffset>-377825</wp:posOffset>
              </wp:positionH>
              <wp:positionV relativeFrom="paragraph">
                <wp:posOffset>-6246495</wp:posOffset>
              </wp:positionV>
              <wp:extent cx="396000" cy="6192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105</w:t>
                          </w:r>
                          <w:r w:rsidR="00E3704D" w:rsidRPr="00B862F0">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43" type="#_x0000_t202" style="position:absolute;margin-left:-29.75pt;margin-top:-491.85pt;width:31.2pt;height:48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lp7Q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KNEsRoYPYjWkUvdEojQn01jxzC7b2DoWsiBcy+3EPqy29LU/ouCCPTo9HbfXR+NQ3icjeIY&#10;Gg7VKMmAXmh/9OLdGOs+CV0Tv8mpAXqhqWw9tw6ZwLQ38ZcpPaukDAhKRTaIenwSB4e9Bh5SeVsR&#10;uNCFwal12AY5kgs4/ciSYRpfDrPBbHR2Okhn6ckgO43PBnGSXSLzNEuvZz999CQdL6uiEGpeKdFz&#10;Jkn/DpMdezu0A2teJW61rApflc/N13olDVkzkHchGX/2bUdJB1bR63SCGtX131Bl5BHskAo7t5XC&#10;x5fqiyiBfQDMC8KrE/srGedCuYB16COsvVWJ9N7juLP3rh0K73Hee4SbtXJ757pS2gS036RdPPcp&#10;l509mnFQt9+6dtEG0ienPZMXutiC4EaDeCCpbfisQv/nzLo7ZjATIMScc7dYSqnBNr3bUbLU5vuf&#10;5N4+p36lZIMZk1P7bcWMoER+VnjEWZKmCOvCIT05HeJgDjWLQ41a1VcaTEhCdmHr7Z3st6XR9SPG&#10;4dTfChVTHJnlFLd32yvXTT6MUy6m02CEMdQwN1f3DfehfZs97x7aR2aa3UN0YNSN7qcRG795j52t&#10;91R6unK6rMJj9Y3uuroDACMs8HI3bv2MPDwHq5efwuQXAAAA//8DAFBLAwQUAAYACAAAACEAgdek&#10;ht4AAAAJAQAADwAAAGRycy9kb3ducmV2LnhtbEyPy07DMBBF90j8gzVI7FqHVs2LOBWtlA2sKCB1&#10;6cYmiWqPI9ttwt8zrOhuHkd3zlTb2Rp21T4MDgU8LRNgGlunBuwEfH40ixxYiBKVNA61gB8dYFvf&#10;31WyVG7Cd309xI5RCIZSCuhjHEvOQ9trK8PSjRpp9+28lZFa33Hl5UTh1vBVkqTcygHpQi9Hve91&#10;ez5crICvDLNj2kyv5x1vj2/Zzqz9vhHi8WF+eQYW9Rz/YfjTJ3WoyenkLqgCMwIWm2JDKBVFvs6A&#10;EbIqgJ1okKfA64rfflD/AgAA//8DAFBLAQItABQABgAIAAAAIQC2gziS/gAAAOEBAAATAAAAAAAA&#10;AAAAAAAAAAAAAABbQ29udGVudF9UeXBlc10ueG1sUEsBAi0AFAAGAAgAAAAhADj9If/WAAAAlAEA&#10;AAsAAAAAAAAAAAAAAAAALwEAAF9yZWxzLy5yZWxzUEsBAi0AFAAGAAgAAAAhABu+iWntAgAAXAYA&#10;AA4AAAAAAAAAAAAAAAAALgIAAGRycy9lMm9Eb2MueG1sUEsBAi0AFAAGAAgAAAAhAIHXpIbeAAAA&#10;CQEAAA8AAAAAAAAAAAAAAAAARwUAAGRycy9kb3ducmV2LnhtbFBLBQYAAAAABAAEAPMAAABSBgAA&#10;AAA=&#10;" filled="f" stroked="f" strokeweight=".5pt">
              <v:textbox style="layout-flow:vertical">
                <w:txbxContent>
                  <w:p w:rsidR="00E3704D" w:rsidRDefault="00600DD6" w:rsidP="00406FD0">
                    <w:pPr>
                      <w:pStyle w:val="Footer"/>
                    </w:pPr>
                    <w:fldSimple w:instr=" DOCPROPERTY  Title  \* MERGEFORMAT ">
                      <w:r w:rsidR="00E3704D">
                        <w:t>2015-16 Financial Report</w:t>
                      </w:r>
                    </w:fldSimple>
                    <w:r w:rsidR="00E3704D">
                      <w:tab/>
                    </w:r>
                    <w:r w:rsidR="00E3704D" w:rsidRPr="004A4F70">
                      <w:t>Chapter</w:t>
                    </w:r>
                    <w:r w:rsidR="00E3704D">
                      <w:t xml:space="preserve"> 4</w:t>
                    </w:r>
                    <w:r w:rsidR="00E3704D">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105</w:t>
                    </w:r>
                    <w:r w:rsidR="00E3704D" w:rsidRPr="00B862F0">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sidR="003A3C3D">
      <w:rPr>
        <w:noProof/>
      </w:rPr>
      <w:t>106</w:t>
    </w:r>
    <w:r w:rsidRPr="00B862F0">
      <w:fldChar w:fldCharType="end"/>
    </w:r>
    <w:r w:rsidRPr="00B862F0">
      <w:tab/>
    </w:r>
    <w:r>
      <w:t>Chapter 4</w:t>
    </w:r>
    <w:r w:rsidRPr="00B862F0">
      <w:tab/>
    </w:r>
    <w:fldSimple w:instr=" DOCPROPERTY  Title  \* MERGEFORMAT ">
      <w:r>
        <w:t>2015-16 Financial Report</w:t>
      </w:r>
    </w:fldSimple>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111</w:t>
    </w:r>
    <w:r w:rsidR="00E3704D" w:rsidRPr="00B862F0">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110</w:t>
    </w:r>
    <w:r w:rsidRPr="00B862F0">
      <w:fldChar w:fldCharType="end"/>
    </w:r>
    <w:r w:rsidRPr="00B862F0">
      <w:tab/>
    </w:r>
    <w:r>
      <w:t>Chapter 4</w:t>
    </w:r>
    <w:r w:rsidRPr="00B862F0">
      <w:tab/>
    </w:r>
    <w:fldSimple w:instr=" DOCPROPERTY  Title  \* MERGEFORMAT ">
      <w:r>
        <w:t>2015-16 Financial Report</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4</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Pr>
        <w:noProof/>
      </w:rPr>
      <w:t>44</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FB2A00">
    <w:pPr>
      <w:pStyle w:val="Footer"/>
      <w:tabs>
        <w:tab w:val="center" w:pos="6464"/>
      </w:tabs>
    </w:pPr>
    <w:fldSimple w:instr=" DOCPROPERTY  Title  \* MERGEFORMAT ">
      <w:r w:rsidR="00E3704D">
        <w:t>2015-16 Financial Report</w:t>
      </w:r>
    </w:fldSimple>
    <w:r w:rsidR="00E3704D" w:rsidRPr="00B862F0">
      <w:tab/>
    </w:r>
    <w:fldSimple w:instr=" DOCPROPERTY  Subject  \* MERGEFORMAT ">
      <w:r w:rsidR="00E3704D">
        <w:t>Chapter 4</w:t>
      </w:r>
    </w:fldSimple>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45</w:t>
    </w:r>
    <w:r w:rsidR="00E3704D" w:rsidRPr="00B862F0">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FB2A00">
    <w:pPr>
      <w:pStyle w:val="Footer"/>
      <w:tabs>
        <w:tab w:val="center" w:pos="3119"/>
      </w:tabs>
    </w:pPr>
    <w:r w:rsidRPr="00B862F0">
      <w:fldChar w:fldCharType="begin"/>
    </w:r>
    <w:r w:rsidRPr="00B862F0">
      <w:instrText xml:space="preserve"> PAGE  \* Arabic  \* MERGEFORMAT </w:instrText>
    </w:r>
    <w:r w:rsidRPr="00B862F0">
      <w:fldChar w:fldCharType="separate"/>
    </w:r>
    <w:r w:rsidR="003A3C3D">
      <w:rPr>
        <w:noProof/>
      </w:rPr>
      <w:t>112</w:t>
    </w:r>
    <w:r w:rsidRPr="00B862F0">
      <w:fldChar w:fldCharType="end"/>
    </w:r>
    <w:r w:rsidRPr="00B862F0">
      <w:tab/>
    </w:r>
    <w:fldSimple w:instr=" DOCPROPERTY  Subject  \* MERGEFORMAT ">
      <w:r>
        <w:t>Chapter 4</w:t>
      </w:r>
    </w:fldSimple>
    <w:r w:rsidRPr="00B862F0">
      <w:tab/>
    </w:r>
    <w:fldSimple w:instr=" DOCPROPERTY  Title  \* MERGEFORMAT ">
      <w:r>
        <w:t>2015-16 Financial Report</w:t>
      </w:r>
    </w:fldSimple>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E3704D">
      <w:rPr>
        <w:noProof/>
      </w:rPr>
      <w:t>113</w:t>
    </w:r>
    <w:r w:rsidR="00E3704D" w:rsidRPr="00B862F0">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118</w:t>
    </w:r>
    <w:r w:rsidRPr="00B862F0">
      <w:fldChar w:fldCharType="end"/>
    </w:r>
    <w:r w:rsidRPr="00B862F0">
      <w:tab/>
    </w:r>
    <w:r>
      <w:t>Chapter 4</w:t>
    </w:r>
    <w:r w:rsidRPr="00B862F0">
      <w:tab/>
    </w:r>
    <w:fldSimple w:instr=" DOCPROPERTY  Title  \* MERGEFORMAT ">
      <w:r>
        <w:t>2015-16 Financial Report</w:t>
      </w:r>
    </w:fldSimple>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044843">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119</w:t>
    </w:r>
    <w:r w:rsidR="00E3704D" w:rsidRPr="00B862F0">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406FD0" w:rsidRDefault="00E3704D" w:rsidP="00406FD0">
    <w:r>
      <w:rPr>
        <w:noProof/>
        <w:lang w:eastAsia="en-AU"/>
      </w:rPr>
      <mc:AlternateContent>
        <mc:Choice Requires="wps">
          <w:drawing>
            <wp:anchor distT="0" distB="0" distL="114300" distR="114300" simplePos="0" relativeHeight="251700224" behindDoc="0" locked="0" layoutInCell="1" allowOverlap="1" wp14:anchorId="49070E9C" wp14:editId="2EC854A2">
              <wp:simplePos x="0" y="0"/>
              <wp:positionH relativeFrom="column">
                <wp:posOffset>-377825</wp:posOffset>
              </wp:positionH>
              <wp:positionV relativeFrom="paragraph">
                <wp:posOffset>-6246495</wp:posOffset>
              </wp:positionV>
              <wp:extent cx="396000" cy="6192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120</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margin-left:-29.75pt;margin-top:-491.85pt;width:31.2pt;height:48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Of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Ei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INpE+ynskLXWxBcKNBPJDUNnxWof9zZt0dM5gJEGLOuVsspdRgm97tKFlq8/1P&#10;cm+fU79SssGMyan9tmJGUCI/KzziLElThHXhkJ6cDnEwh5rFoUat6isNJiQhu7D19k7229Lo+hHj&#10;cOpvhYopjsxyitu77ZXrJh/GKRfTaTDCGGqYm6v7hvvQvs2edw/tIzPN7iE6MOpG99OIjd+8x87W&#10;eyo9XTldVuGx+kZ3Xd0BgBEWeLkbt35GHp6D1ctPYfILAAD//wMAUEsDBBQABgAIAAAAIQCB16SG&#10;3gAAAAkBAAAPAAAAZHJzL2Rvd25yZXYueG1sTI/LTsMwEEX3SPyDNUjsWodWzYs4Fa2UDawoIHXp&#10;xiaJao8j223C3zOs6G4eR3fOVNvZGnbVPgwOBTwtE2AaW6cG7AR8fjSLHFiIEpU0DrWAHx1gW9/f&#10;VbJUbsJ3fT3EjlEIhlIK6GMcS85D22srw9KNGmn37byVkVrfceXlROHW8FWSpNzKAelCL0e973V7&#10;PlysgK8Ms2PaTK/nHW+Pb9nOrP2+EeLxYX55Bhb1HP9h+NMndajJ6eQuqAIzAhabYkMoFUW+zoAR&#10;siqAnWiQp8Drit9+UP8CAAD//wMAUEsBAi0AFAAGAAgAAAAhALaDOJL+AAAA4QEAABMAAAAAAAAA&#10;AAAAAAAAAAAAAFtDb250ZW50X1R5cGVzXS54bWxQSwECLQAUAAYACAAAACEAOP0h/9YAAACUAQAA&#10;CwAAAAAAAAAAAAAAAAAvAQAAX3JlbHMvLnJlbHNQSwECLQAUAAYACAAAACEAZjkjn+wCAABcBgAA&#10;DgAAAAAAAAAAAAAAAAAuAgAAZHJzL2Uyb0RvYy54bWxQSwECLQAUAAYACAAAACEAgdekht4AAAAJ&#10;AQAADwAAAAAAAAAAAAAAAABGBQAAZHJzL2Rvd25yZXYueG1sUEsFBgAAAAAEAAQA8wAAAFEGAAAA&#10;AA==&#10;" filled="f" stroked="f" strokeweight=".5pt">
              <v:textbox style="layout-flow:vertical">
                <w:txbxContent>
                  <w:p w:rsidR="00E3704D" w:rsidRPr="00DE38D7" w:rsidRDefault="00E3704D" w:rsidP="00406FD0">
                    <w:pPr>
                      <w:pStyle w:val="FooterEvenpage"/>
                    </w:pPr>
                    <w:r w:rsidRPr="00B862F0">
                      <w:fldChar w:fldCharType="begin"/>
                    </w:r>
                    <w:r w:rsidRPr="00B862F0">
                      <w:instrText xml:space="preserve"> PAGE  \* Arabic  \* MERGEFORMAT </w:instrText>
                    </w:r>
                    <w:r w:rsidRPr="00B862F0">
                      <w:fldChar w:fldCharType="separate"/>
                    </w:r>
                    <w:r w:rsidR="003A3C3D">
                      <w:rPr>
                        <w:noProof/>
                      </w:rPr>
                      <w:t>120</w:t>
                    </w:r>
                    <w:r w:rsidRPr="00B862F0">
                      <w:fldChar w:fldCharType="end"/>
                    </w:r>
                    <w:r>
                      <w:tab/>
                      <w:t>Chapter 4</w:t>
                    </w:r>
                    <w:r w:rsidRPr="00B862F0">
                      <w:tab/>
                    </w:r>
                    <w:fldSimple w:instr=" DOCPROPERTY  Title  \* MERGEFORMAT ">
                      <w:r>
                        <w:t>2015-16 Financial Report</w:t>
                      </w:r>
                    </w:fldSimple>
                  </w:p>
                  <w:p w:rsidR="00E3704D" w:rsidRDefault="00E3704D" w:rsidP="00406FD0">
                    <w:pPr>
                      <w:pStyle w:val="FooterEvenpage"/>
                    </w:pP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E38D7" w:rsidRDefault="00E3704D" w:rsidP="00044843">
    <w:pPr>
      <w:pStyle w:val="FooterEvenpage"/>
    </w:pPr>
    <w:r w:rsidRPr="00B862F0">
      <w:fldChar w:fldCharType="begin"/>
    </w:r>
    <w:r w:rsidRPr="00B862F0">
      <w:instrText xml:space="preserve"> PAGE  \* Arabic  \* MERGEFORMAT </w:instrText>
    </w:r>
    <w:r w:rsidRPr="00B862F0">
      <w:fldChar w:fldCharType="separate"/>
    </w:r>
    <w:r w:rsidR="003A3C3D">
      <w:rPr>
        <w:noProof/>
      </w:rPr>
      <w:t>134</w:t>
    </w:r>
    <w:r w:rsidRPr="00B862F0">
      <w:fldChar w:fldCharType="end"/>
    </w:r>
    <w:r w:rsidRPr="00B862F0">
      <w:tab/>
    </w:r>
    <w:r>
      <w:t>Chapter 4</w:t>
    </w:r>
    <w:r w:rsidRPr="00B862F0">
      <w:tab/>
    </w:r>
    <w:fldSimple w:instr=" DOCPROPERTY  Title  \* MERGEFORMAT ">
      <w:r>
        <w:t>2015-16 Financial Report</w:t>
      </w:r>
    </w:fldSimple>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862F0" w:rsidRDefault="00600DD6" w:rsidP="007422A6">
    <w:pPr>
      <w:pStyle w:val="Footer"/>
    </w:pPr>
    <w:fldSimple w:instr=" DOCPROPERTY  Title  \* MERGEFORMAT ">
      <w:r w:rsidR="00E3704D">
        <w:t>2015-16 Financial Report</w:t>
      </w:r>
    </w:fldSimple>
    <w:r w:rsidR="00E3704D" w:rsidRPr="00B862F0">
      <w:tab/>
    </w:r>
    <w:r w:rsidR="00E3704D">
      <w:t>Chapter 4</w:t>
    </w:r>
    <w:r w:rsidR="00E3704D" w:rsidRPr="00B862F0">
      <w:tab/>
    </w:r>
    <w:r w:rsidR="00E3704D" w:rsidRPr="00B862F0">
      <w:fldChar w:fldCharType="begin"/>
    </w:r>
    <w:r w:rsidR="00E3704D" w:rsidRPr="00B862F0">
      <w:instrText xml:space="preserve"> PAGE  \* Arabic  \* MERGEFORMAT </w:instrText>
    </w:r>
    <w:r w:rsidR="00E3704D" w:rsidRPr="00B862F0">
      <w:fldChar w:fldCharType="separate"/>
    </w:r>
    <w:r w:rsidR="003A3C3D">
      <w:rPr>
        <w:noProof/>
      </w:rPr>
      <w:t>121</w:t>
    </w:r>
    <w:r w:rsidR="00E3704D" w:rsidRPr="00B862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04D" w:rsidRDefault="00E3704D">
      <w:pPr>
        <w:spacing w:after="0" w:line="240" w:lineRule="auto"/>
      </w:pPr>
      <w:r>
        <w:separator/>
      </w:r>
    </w:p>
  </w:footnote>
  <w:footnote w:type="continuationSeparator" w:id="0">
    <w:p w:rsidR="00E3704D" w:rsidRDefault="00E3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21019" w:rsidRDefault="00E3704D" w:rsidP="00044843">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E3704D" w:rsidP="00574728">
    <w:pPr>
      <w:pStyle w:val="Header"/>
      <w:jc w:val="right"/>
    </w:pPr>
    <w:r>
      <w:rPr>
        <w:noProof/>
        <w:lang w:eastAsia="en-AU"/>
      </w:rPr>
      <mc:AlternateContent>
        <mc:Choice Requires="wps">
          <w:drawing>
            <wp:anchor distT="0" distB="0" distL="114300" distR="114300" simplePos="0" relativeHeight="251673600" behindDoc="0" locked="0" layoutInCell="1" allowOverlap="1" wp14:anchorId="32BCE375" wp14:editId="136EC3B1">
              <wp:simplePos x="0" y="0"/>
              <wp:positionH relativeFrom="column">
                <wp:posOffset>9253220</wp:posOffset>
              </wp:positionH>
              <wp:positionV relativeFrom="paragraph">
                <wp:posOffset>288290</wp:posOffset>
              </wp:positionV>
              <wp:extent cx="396000" cy="6192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jc w:val="right"/>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p w:rsidR="00E3704D" w:rsidRDefault="00E3704D" w:rsidP="001324C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left:0;text-align:left;margin-left:728.6pt;margin-top:22.7pt;width:31.2pt;height:48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VG6gIAAFoGAAAOAAAAZHJzL2Uyb0RvYy54bWysVd9P2zAQfp+0/8Hye0lSQmkqUlRAnSZV&#10;gFYmnl3HphaOndlum27a/77zpS2F7WFMe3Hs++W7+z5fLi7bWpO1cF5ZU9LsJKVEGG4rZZ5K+vVh&#10;2htS4gMzFdPWiJJuhaeX448fLjbNSPTt0upKOAJBjB9tmpIuQ2hGSeL5UtTMn9hGGFBK62oW4Oie&#10;ksqxDUSvddJP00Gysa5qnOXCe5DedEo6xvhSCh7upPQiEF1SyC3g6nBdxDUZX7DRk2PNUvFdGuwf&#10;sqiZMnDpIdQNC4ysnPotVK24s97KcMJtnVgpFRdYA1STpW+qmS9ZI7AWaI5vDm3y/y8sv13fO6Kq&#10;kgJQhtUA0YNoA7myLRnG7mwaPwKjeQNmoQUxoLyXexDGolvp6viFcgjooc/bQ29jMA7C02KQpqDh&#10;oBpkBWCHzU9evBvnwydhaxI3JXWAHbaUrWc+QCZgujeJlxk7VVojftqQDUQ9PUvR4aABD22irUAm&#10;dGHg1AbYohySQ5R+FFk/T6/6RW86GJ738ml+1ivO02EvzYoryDwv8pvpzxg9y0dLVVXCzJQRe8Zk&#10;+d8hsuNuhzVy5lXi3mpVxapibrHWa+3ImgF1F5rx59h2KOnIKnmdDqqhuv0Xq0wigh1SuAtbLWJ8&#10;bb4ICcgjYFGAb04crmScCxMQa+wjWEcrCem9x3FnH107FN7jfPDAm60JB+daGesQ7TdpV8/7lGVn&#10;D804qjtuQ7tokfIZUjCKFrbaAsGdBeIBSX3Dpwr6P2M+3DMHEwGEMOXCHSxSW2Cb3e0oWVr3/U/y&#10;aF/SuFKygQlTUv9txZygRH828ISLLM8hbMBDfnbeh4M71iyONWZVX1tgQobZ4TbaB73fSmfrRxiG&#10;k3grqJjhkFlJ4fZuex26uQfDlIvJBI1gCDUszMy84TF0bHPk3UP7yFyze4gBGHVr97OIjd68x842&#10;eho7WQUrFT7Wl67uAIABhrzcDds4IY/PaPXySxj/AgAA//8DAFBLAwQUAAYACAAAACEATdQcdeEA&#10;AAANAQAADwAAAGRycy9kb3ducmV2LnhtbEyPy07DMBBF90j8gzVI7KjdkEcb4lS0UjawooDUpRub&#10;JKo9jmy3CX+Pu6K7uZqjO2eqzWw0uSjnB4sclgsGRGFr5YAdh6/P5mkFxAeBUmiLisOv8rCp7+8q&#10;UUo74Ye67ENHYgn6UnDoQxhLSn3bKyP8wo4K4+7HOiNCjK6j0okplhtNE8ZyasSA8UIvRrXrVXva&#10;nw2H7wKLQ95Mb6ctbQ/vxVY/u13D+ePD/PoCJKg5/MNw1Y/qUEenoz2j9ETHnGZFElkOaZYCuRLZ&#10;cp0DOcaJJSwDWlf09ov6DwAA//8DAFBLAQItABQABgAIAAAAIQC2gziS/gAAAOEBAAATAAAAAAAA&#10;AAAAAAAAAAAAAABbQ29udGVudF9UeXBlc10ueG1sUEsBAi0AFAAGAAgAAAAhADj9If/WAAAAlAEA&#10;AAsAAAAAAAAAAAAAAAAALwEAAF9yZWxzLy5yZWxzUEsBAi0AFAAGAAgAAAAhABwKZUbqAgAAWgYA&#10;AA4AAAAAAAAAAAAAAAAALgIAAGRycy9lMm9Eb2MueG1sUEsBAi0AFAAGAAgAAAAhAE3UHHXhAAAA&#10;DQEAAA8AAAAAAAAAAAAAAAAARAUAAGRycy9kb3ducmV2LnhtbFBLBQYAAAAABAAEAPMAAABSBgAA&#10;AAA=&#10;" filled="f" stroked="f" strokeweight=".5pt">
              <v:textbox style="layout-flow:vertical">
                <w:txbxContent>
                  <w:p w:rsidR="00E3704D" w:rsidRPr="00255A9A" w:rsidRDefault="00600DD6" w:rsidP="001324C2">
                    <w:pPr>
                      <w:pStyle w:val="Header"/>
                      <w:jc w:val="right"/>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p w:rsidR="00E3704D" w:rsidRDefault="00E3704D" w:rsidP="001324C2">
                    <w:pPr>
                      <w:pStyle w:val="Header"/>
                      <w:jc w:val="right"/>
                    </w:pP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6</w:t>
      </w:r>
    </w:fldSimple>
    <w:r w:rsidR="00E3704D">
      <w:t xml:space="preserve">. </w:t>
    </w:r>
    <w:fldSimple w:instr=" STYLEREF  &quot;Heading 1&quot;  \* MERGEFORMAT ">
      <w:r w:rsidR="00E3704D">
        <w:rPr>
          <w:noProof/>
        </w:rPr>
        <w:t>Other assets and liabilities</w:t>
      </w:r>
    </w:fldSimple>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E3704D" w:rsidP="00790E40">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E3704D" w:rsidP="00AB724F">
    <w:pPr>
      <w:pStyle w:val="BodyTex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790E40">
    <w:pPr>
      <w:pStyle w:val="Header"/>
    </w:pPr>
    <w:fldSimple w:instr=" STYLEREF  &quot;Heading 1&quot; \n  \* MERGEFORMAT ">
      <w:r w:rsidR="00E3704D">
        <w:rPr>
          <w:noProof/>
        </w:rPr>
        <w:t>7</w:t>
      </w:r>
    </w:fldSimple>
    <w:r w:rsidR="00E3704D">
      <w:t xml:space="preserve">. </w:t>
    </w:r>
    <w:fldSimple w:instr=" STYLEREF  &quot;Heading 1&quot;  \* MERGEFORMAT ">
      <w:r w:rsidR="00E3704D">
        <w:rPr>
          <w:noProof/>
        </w:rPr>
        <w:t>Risks, contingencies and valuation judgements</w:t>
      </w:r>
    </w:fldSimple>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E3704D">
        <w:rPr>
          <w:noProof/>
        </w:rPr>
        <w:t>7</w:t>
      </w:r>
    </w:fldSimple>
    <w:r w:rsidR="00E3704D">
      <w:t xml:space="preserve">. </w:t>
    </w:r>
    <w:fldSimple w:instr=" STYLEREF  &quot;Heading 1&quot;  \* MERGEFORMAT ">
      <w:r w:rsidR="00E3704D">
        <w:rPr>
          <w:noProof/>
        </w:rPr>
        <w:t>Risks, contingencies and valuation judgements</w:t>
      </w:r>
    </w:fldSimple>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790E40">
    <w:pPr>
      <w:pStyle w:val="Header"/>
    </w:pPr>
    <w:fldSimple w:instr=" STYLEREF  &quot;Heading 1&quot; \n  \* MERGEFORMAT ">
      <w:r w:rsidR="00E3704D">
        <w:rPr>
          <w:noProof/>
        </w:rPr>
        <w:t>7</w:t>
      </w:r>
    </w:fldSimple>
    <w:r w:rsidR="00E3704D">
      <w:t xml:space="preserve">. </w:t>
    </w:r>
    <w:fldSimple w:instr=" STYLEREF  &quot;Heading 1&quot;  \* MERGEFORMAT ">
      <w:r w:rsidR="00E3704D">
        <w:rPr>
          <w:noProof/>
        </w:rPr>
        <w:t>Risks, contingencies and valuation judgements</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044843">
    <w:pPr>
      <w:pStyle w:val="Header"/>
    </w:pPr>
    <w:fldSimple w:instr=" STYLEREF  &quot;Heading 1&quot; \n  \* MERGEFORMAT ">
      <w:r w:rsidR="00E3704D">
        <w:rPr>
          <w:noProof/>
        </w:rPr>
        <w:t>7</w:t>
      </w:r>
    </w:fldSimple>
    <w:r w:rsidR="00E3704D">
      <w:t xml:space="preserve">. </w:t>
    </w:r>
    <w:fldSimple w:instr=" STYLEREF  &quot;Heading 1&quot;  \* MERGEFORMAT ">
      <w:r w:rsidR="00E3704D">
        <w:rPr>
          <w:noProof/>
        </w:rPr>
        <w:t>Risks, contingencies and valuation judgements</w:t>
      </w:r>
    </w:fldSimple>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044843">
    <w:pPr>
      <w:pStyle w:val="Header"/>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75648" behindDoc="0" locked="0" layoutInCell="1" allowOverlap="1" wp14:anchorId="5F1D5417" wp14:editId="032FDBF6">
              <wp:simplePos x="0" y="0"/>
              <wp:positionH relativeFrom="column">
                <wp:posOffset>9253220</wp:posOffset>
              </wp:positionH>
              <wp:positionV relativeFrom="paragraph">
                <wp:posOffset>288290</wp:posOffset>
              </wp:positionV>
              <wp:extent cx="396000" cy="6192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p w:rsidR="00E3704D" w:rsidRDefault="00E3704D" w:rsidP="001324C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728.6pt;margin-top:22.7pt;width:31.2pt;height:48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R86wIAAFoGAAAOAAAAZHJzL2Uyb0RvYy54bWysVd9P2zAQfp+0/8Hye0lSQiEVKSqgTpMq&#10;QIOJZ9exaYRje7bbppv2v+98aUphexjTXhz7fvnuvs+X84u2UWQtnK+NLml2lFIiNDdVrZ9K+vVh&#10;NjijxAemK6aMFiXdCk8vJh8/nG/sWAzN0qhKOAJBtB9vbEmXIdhxkni+FA3zR8YKDUppXMMCHN1T&#10;Ujm2geiNSoZpOko2xlXWGS68B+l1p6QTjC+l4OFWSi8CUSWF3AKuDtdFXJPJORs/OWaXNd+lwf4h&#10;i4bVGi7dh7pmgZGVq38L1dTcGW9kOOKmSYyUNRdYA1STpW+quV8yK7AWaI63+zb5/xeW36zvHKmr&#10;khaUaNYARA+iDeTStKSI3dlYPwajewtmoQUxoNzLPQhj0a10TfxCOQT00OftvrcxGAfhcTFKU9Bw&#10;UI2yArDD5icv3tb58EmYhsRNSR1ghy1l67kPkAmY9ibxMm1mtVKIn9JkA1GPT1J02GvAQ+loK5AJ&#10;XRg4tQG2KIfkEKUfRTbM08thMZiNzk4H+Sw/GRSn6dkgzYpLyDwv8uvZzxg9y8fLuqqEntda9IzJ&#10;8r9DZMfdDmvkzKvEvVF1FauKucVar5QjawbUXSjGn2PboaQDq+R1OqiG6vovVplEBDukcBe2SsT4&#10;Sn8REpBHwKIA35zYX8k4Fzog1thHsI5WEtJ7j+POPrp2KLzHee+BNxsd9s5NrY1DtN+kXT33KcvO&#10;HppxUHfchnbRIuWzYc/kham2QHBngHhAUm/5rIb+z5kPd8zBRAAhTLlwC4tUBthmdjtKlsZ9/5M8&#10;2pc0rpRsYMKU1H9bMScoUZ81POEiy3MIG/CQn5wO4eAONYtDjV41VwaYkGF2uI32QfVb6UzzCMNw&#10;Gm8FFdMcMisp3N5tr0I392CYcjGdohEMIcvCXN9bHkPHNkfePbSPzNndQwzAqBvTzyI2fvMeO9vo&#10;qc10FYys8bHGRndd3QEAAwx5uRu2cUIentHq5Zcw+QUAAP//AwBQSwMEFAAGAAgAAAAhAE3UHHXh&#10;AAAADQEAAA8AAABkcnMvZG93bnJldi54bWxMj8tOwzAQRfdI/IM1SOyo3ZBHG+JUtFI2sKKA1KUb&#10;mySqPY5stwl/j7uiu7maoztnqs1sNLko5weLHJYLBkRha+WAHYevz+ZpBcQHgVJoi4rDr/Kwqe/v&#10;KlFKO+GHuuxDR2IJ+lJw6EMYS0p92ysj/MKOCuPuxzojQoyuo9KJKZYbTRPGcmrEgPFCL0a161V7&#10;2p8Nh+8Ci0PeTG+nLW0P78VWP7tdw/njw/z6AiSoOfzDcNWP6lBHp6M9o/REx5xmRRJZDmmWArkS&#10;2XKdAznGiSUsA1pX9PaL+g8AAP//AwBQSwECLQAUAAYACAAAACEAtoM4kv4AAADhAQAAEwAAAAAA&#10;AAAAAAAAAAAAAAAAW0NvbnRlbnRfVHlwZXNdLnhtbFBLAQItABQABgAIAAAAIQA4/SH/1gAAAJQB&#10;AAALAAAAAAAAAAAAAAAAAC8BAABfcmVscy8ucmVsc1BLAQItABQABgAIAAAAIQAnscR86wIAAFoG&#10;AAAOAAAAAAAAAAAAAAAAAC4CAABkcnMvZTJvRG9jLnhtbFBLAQItABQABgAIAAAAIQBN1Bx14QAA&#10;AA0BAAAPAAAAAAAAAAAAAAAAAEUFAABkcnMvZG93bnJldi54bWxQSwUGAAAAAAQABADzAAAAUwYA&#10;AAAA&#10;" filled="f" stroked="f" strokeweight=".5pt">
              <v:textbox style="layout-flow:vertical">
                <w:txbxContent>
                  <w:p w:rsidR="00E3704D" w:rsidRPr="00255A9A" w:rsidRDefault="00600DD6" w:rsidP="001324C2">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p w:rsidR="00E3704D" w:rsidRDefault="00E3704D" w:rsidP="001324C2">
                    <w:pPr>
                      <w:pStyle w:val="Header"/>
                      <w:jc w:val="right"/>
                    </w:pP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B2087" w:rsidRDefault="00600DD6" w:rsidP="00044843">
    <w:pPr>
      <w:pStyle w:val="Header"/>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77696" behindDoc="0" locked="0" layoutInCell="1" allowOverlap="1" wp14:anchorId="37C6A36A" wp14:editId="5A77F2BF">
              <wp:simplePos x="0" y="0"/>
              <wp:positionH relativeFrom="column">
                <wp:posOffset>9253220</wp:posOffset>
              </wp:positionH>
              <wp:positionV relativeFrom="paragraph">
                <wp:posOffset>288290</wp:posOffset>
              </wp:positionV>
              <wp:extent cx="396000" cy="619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p w:rsidR="00E3704D" w:rsidRDefault="00E3704D" w:rsidP="001324C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728.6pt;margin-top:22.7pt;width:31.2pt;height:48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9+6w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HcqjWA2OHkTryKVuCUSoz6axY8DuGwBdCzmwvdxC6NNuS1P7LxIi0MPVdl9d741DeJyN4hga&#10;DtUoycBecB+9WDfGuk9C18RvcmrAXigqW8+tQySA9hB/mdKzSsrAoFRkA6/HJ3Ew2GtgIZXHitAL&#10;nRucWodtkCO4wNOPLBmm8eUwG8xGZ6eDdJaeDLLT+GwQJ9klIk+z9Hr203tP0vGyKgqh5pUSfc8k&#10;6d9xsuveju3QNa8Ct1pWhc/Kx+ZzvZKGrBmadyEZf/ZlR0oHqOh1OEGN7PpvyDLyDHZMhZ3bSuH9&#10;S/VFlOA+EOYF4dWJ/ZWMc6Fc4DrUEWiPKhHeewx3eG/asfAe471FuFkrtzeuK6VNYPtN2MVzH3LZ&#10;4VGMg7z91rWLtmv6tO/khS62aHCj0XhoUtvwWYX6z5l1d8xgJkCIOedusZRSo9v0bkfJUpvvf5J7&#10;fE79SskGMyan9tuKGUGJ/KzwiLMkTeHWhUN6cjrEwRxqFocataqvNDohCdGFrcc72W9Lo+tHjMOp&#10;vxUqpjgiyylu77ZXrpt8GKdcTKcBhDHUMDdX9w33rn2Zfd89tI/MNLuH6NBRN7qfRmz85j12WG+p&#10;9HTldFmFx+oL3VV1RwBGWOjL3bj1M/LwHFAvP4XJLwAAAP//AwBQSwMEFAAGAAgAAAAhAE3UHHXh&#10;AAAADQEAAA8AAABkcnMvZG93bnJldi54bWxMj8tOwzAQRfdI/IM1SOyo3ZBHG+JUtFI2sKKA1KUb&#10;mySqPY5stwl/j7uiu7maoztnqs1sNLko5weLHJYLBkRha+WAHYevz+ZpBcQHgVJoi4rDr/Kwqe/v&#10;KlFKO+GHuuxDR2IJ+lJw6EMYS0p92ysj/MKOCuPuxzojQoyuo9KJKZYbTRPGcmrEgPFCL0a161V7&#10;2p8Nh+8Ci0PeTG+nLW0P78VWP7tdw/njw/z6AiSoOfzDcNWP6lBHp6M9o/REx5xmRRJZDmmWArkS&#10;2XKdAznGiSUsA1pX9PaL+g8AAP//AwBQSwECLQAUAAYACAAAACEAtoM4kv4AAADhAQAAEwAAAAAA&#10;AAAAAAAAAAAAAAAAW0NvbnRlbnRfVHlwZXNdLnhtbFBLAQItABQABgAIAAAAIQA4/SH/1gAAAJQB&#10;AAALAAAAAAAAAAAAAAAAAC8BAABfcmVscy8ucmVsc1BLAQItABQABgAIAAAAIQCiTE9+6wIAAFwG&#10;AAAOAAAAAAAAAAAAAAAAAC4CAABkcnMvZTJvRG9jLnhtbFBLAQItABQABgAIAAAAIQBN1Bx14QAA&#10;AA0BAAAPAAAAAAAAAAAAAAAAAEUFAABkcnMvZG93bnJldi54bWxQSwUGAAAAAAQABADzAAAAUwYA&#10;AAAA&#10;" filled="f" stroked="f" strokeweight=".5pt">
              <v:textbox style="layout-flow:vertical">
                <w:txbxContent>
                  <w:p w:rsidR="00E3704D" w:rsidRPr="00255A9A" w:rsidRDefault="00600DD6" w:rsidP="001324C2">
                    <w:pPr>
                      <w:pStyle w:val="Header"/>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p w:rsidR="00E3704D" w:rsidRDefault="00E3704D" w:rsidP="001324C2">
                    <w:pPr>
                      <w:pStyle w:val="Header"/>
                    </w:pP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79744" behindDoc="0" locked="0" layoutInCell="1" allowOverlap="1" wp14:anchorId="46A8700A" wp14:editId="46DF03A1">
              <wp:simplePos x="0" y="0"/>
              <wp:positionH relativeFrom="column">
                <wp:posOffset>9253220</wp:posOffset>
              </wp:positionH>
              <wp:positionV relativeFrom="paragraph">
                <wp:posOffset>288290</wp:posOffset>
              </wp:positionV>
              <wp:extent cx="3960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p w:rsidR="00E3704D" w:rsidRDefault="00E3704D" w:rsidP="001324C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728.6pt;margin-top:22.7pt;width:31.2pt;height:48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kA7QIAAFwGAAAOAAAAZHJzL2Uyb0RvYy54bWysVVFP2zAQfp+0/2D5vSQpaSEVKSqgTpMq&#10;QIOJZ9dxaIRjZ7bbhk377/vsNKWwPYxpL45999357r7z5ey8rSXZCGMrrXKaHMWUCMV1UanHnH69&#10;nw9OKbGOqYJJrUROn4Wl59OPH862zUQM9UrLQhgCJ8pOtk1OV841kyiyfCVqZo90IxSUpTY1czia&#10;x6gwbAvvtYyGcTyOttoUjdFcWAvpVaek0+C/LAV3N2VphSMyp4jNhdWEdenXaHrGJo+GNauK78Jg&#10;/xBFzSqFS/eurphjZG2q31zVFTfa6tIdcV1HuiwrLkIOyCaJ32Rzt2KNCLmgOLbZl8n+P7f8enNr&#10;SFWAu4QSxWpwdC9aRy50SyBCfbaNnQB21wDoWsiB7eUWQp92W5raf5EQgR6Vft5X13vjEB5n4ziG&#10;hkM1TjKwF8ofvVg3xrpPQtfEb3JqwF4oKtssrEMkgPYQf5nS80rKwKBUZAuvx6M4GOw1sJDKY0Xo&#10;hc4NTq3DNsgRXODpR5YM0/himA3m49OTQTpPR4PsJD4dxEl2gcjTLL2a//Tek3SyqopCqEWlRN8z&#10;Sfp3nOy6t2M7dM2rwK2WVeGz8rH5XC+lIRuG5l1Kxp982ZHSASp6HU5QI7v+G7KMPIMdU2HnnqXw&#10;/qX6IkpwHwjzgvDqxP5KxrlQLnAd6gi0R5UI7z2GO7w37Vh4j/HeItysldsb15XSJrD9JuziqQ+5&#10;7PAoxkHefuvaZds1/ajv5KUuntHgRqPx0KS24fMK9V8w626ZwUyAEHPO3WAppUa36d2OkpU23/8k&#10;9/ic+pWSLWZMTu23NTOCEvlZ4RFnSZrCrQuHdHQyxMEcapaHGrWuLzU6Ae8U0YWtxzvZb0uj6weM&#10;w5m/FSqmOCLLKW7vtpeum3wYp1zMZgGEMdQwt1B3DfeufZl93923D8w0u4fo0FHXup9GbPLmPXZY&#10;b6n0bO10WYXH6gvdVXVHAEZY6MvduPUz8vAcUC8/hekvAAAA//8DAFBLAwQUAAYACAAAACEATdQc&#10;deEAAAANAQAADwAAAGRycy9kb3ducmV2LnhtbEyPy07DMBBF90j8gzVI7KjdkEcb4lS0UjawooDU&#10;pRubJKo9jmy3CX+Pu6K7uZqjO2eqzWw0uSjnB4sclgsGRGFr5YAdh6/P5mkFxAeBUmiLisOv8rCp&#10;7+8qUUo74Ye67ENHYgn6UnDoQxhLSn3bKyP8wo4K4+7HOiNCjK6j0okplhtNE8ZyasSA8UIvRrXr&#10;VXvanw2H7wKLQ95Mb6ctbQ/vxVY/u13D+ePD/PoCJKg5/MNw1Y/qUEenoz2j9ETHnGZFElkOaZYC&#10;uRLZcp0DOcaJJSwDWlf09ov6DwAA//8DAFBLAQItABQABgAIAAAAIQC2gziS/gAAAOEBAAATAAAA&#10;AAAAAAAAAAAAAAAAAABbQ29udGVudF9UeXBlc10ueG1sUEsBAi0AFAAGAAgAAAAhADj9If/WAAAA&#10;lAEAAAsAAAAAAAAAAAAAAAAALwEAAF9yZWxzLy5yZWxzUEsBAi0AFAAGAAgAAAAhALh46QDtAgAA&#10;XAYAAA4AAAAAAAAAAAAAAAAALgIAAGRycy9lMm9Eb2MueG1sUEsBAi0AFAAGAAgAAAAhAE3UHHXh&#10;AAAADQEAAA8AAAAAAAAAAAAAAAAARwUAAGRycy9kb3ducmV2LnhtbFBLBQYAAAAABAAEAPMAAABV&#10;BgAAAAA=&#10;" filled="f" stroked="f" strokeweight=".5pt">
              <v:textbox style="layout-flow:vertical">
                <w:txbxContent>
                  <w:p w:rsidR="00E3704D" w:rsidRPr="00255A9A" w:rsidRDefault="00600DD6" w:rsidP="001324C2">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p w:rsidR="00E3704D" w:rsidRDefault="00E3704D" w:rsidP="001324C2">
                    <w:pPr>
                      <w:pStyle w:val="Header"/>
                      <w:jc w:val="right"/>
                    </w:pP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790E40">
    <w:pPr>
      <w:pStyle w:val="Header"/>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600DD6" w:rsidP="00044843">
    <w:pPr>
      <w:pStyle w:val="Header"/>
      <w:jc w:val="right"/>
    </w:pPr>
    <w:fldSimple w:instr=" STYLEREF  &quot;Heading 1&quot; \n  \* MERGEFORMAT ">
      <w:r w:rsidR="003A3C3D">
        <w:rPr>
          <w:noProof/>
        </w:rPr>
        <w:t>7</w:t>
      </w:r>
    </w:fldSimple>
    <w:r w:rsidR="00E3704D">
      <w:t xml:space="preserve">. </w:t>
    </w:r>
    <w:fldSimple w:instr=" STYLEREF  &quot;Heading 1&quot;  \* MERGEFORMAT ">
      <w:r w:rsidR="003A3C3D">
        <w:rPr>
          <w:noProof/>
        </w:rPr>
        <w:t>Risks, contingencies and valuation judgements</w:t>
      </w:r>
    </w:fldSimple>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E3704D" w:rsidP="00790E40">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E3704D" w:rsidP="00AB724F">
    <w:pPr>
      <w:pStyle w:val="BodyTex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E3704D">
        <w:rPr>
          <w:noProof/>
        </w:rPr>
        <w:t>8</w:t>
      </w:r>
    </w:fldSimple>
    <w:r w:rsidR="00E3704D">
      <w:t xml:space="preserve">. </w:t>
    </w:r>
    <w:fldSimple w:instr=" STYLEREF  &quot;Heading 1&quot;  \* MERGEFORMAT ">
      <w:r w:rsidR="00E3704D">
        <w:rPr>
          <w:noProof/>
        </w:rPr>
        <w:t>Comparison against budget and the public account</w:t>
      </w:r>
    </w:fldSimple>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600DD6">
    <w:pPr>
      <w:pStyle w:val="Header"/>
    </w:pPr>
    <w:fldSimple w:instr=" STYLEREF  &quot;Heading 1&quot; \n  \* MERGEFORMAT ">
      <w:r w:rsidR="00E3704D">
        <w:rPr>
          <w:noProof/>
        </w:rPr>
        <w:t>8</w:t>
      </w:r>
    </w:fldSimple>
    <w:r w:rsidR="00E3704D">
      <w:t xml:space="preserve">. </w:t>
    </w:r>
    <w:fldSimple w:instr=" STYLEREF  &quot;Heading 1&quot;  \* MERGEFORMAT ">
      <w:r w:rsidR="00E3704D">
        <w:rPr>
          <w:noProof/>
        </w:rPr>
        <w:t>Comparison against budget and the public account</w:t>
      </w:r>
    </w:fldSimple>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790E40">
    <w:pPr>
      <w:pStyle w:val="Header"/>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81792" behindDoc="0" locked="0" layoutInCell="1" allowOverlap="1" wp14:anchorId="553AACD9" wp14:editId="4705EAA1">
              <wp:simplePos x="0" y="0"/>
              <wp:positionH relativeFrom="column">
                <wp:posOffset>9253220</wp:posOffset>
              </wp:positionH>
              <wp:positionV relativeFrom="paragraph">
                <wp:posOffset>288290</wp:posOffset>
              </wp:positionV>
              <wp:extent cx="396000" cy="6192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p w:rsidR="00E3704D" w:rsidRDefault="00E3704D" w:rsidP="001324C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44" type="#_x0000_t202" style="position:absolute;margin-left:728.6pt;margin-top:22.7pt;width:31.2pt;height:48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N7AIAAFwGAAAOAAAAZHJzL2Uyb0RvYy54bWysVVFP2zAQfp+0/2D5vSQpoTQVKSqgTpMq&#10;QIOJZ9dxaIRjZ7bbhk377/vsNKWwPYxpL45999357r7z5ey8rSXZCGMrrXKaHMWUCMV1UanHnH69&#10;nw/GlFjHVMGkViKnz8LS8+nHD2fbZiKGeqVlIQyBE2Un2yanK+eaSRRZvhI1s0e6EQrKUpuaORzN&#10;Y1QYtoX3WkbDOB5FW22KxmgurIX0qlPSafBfloK7m7K0whGZU8TmwmrCuvRrND1jk0fDmlXFd2Gw&#10;f4iiZpXCpXtXV8wxsjbVb67qihttdemOuK4jXZYVFyEHZJPEb7K5W7FGhFxQHNvsy2T/n1t+vbk1&#10;pCrA3ZASxWpwdC9aRy50SyBCfbaNnQB21wDoWsiB7eUWQp92W5raf5EQgR6Vft5X13vjEB5noziG&#10;hkM1SjKwF8ofvVg3xrpPQtfEb3JqwF4oKtssrEMkgPYQf5nS80rKwKBUZAuvxydxMNhrYCGVx4rQ&#10;C50bnFqHbZAjuMDTjywZpvHFMBvMR+PTQTpPTwbZaTwexEl2gcjTLL2a//Tek3SyqopCqEWlRN8z&#10;Sfp3nOy6t2M7dM2rwK2WVeGz8rH5XC+lIRuG5l1Kxp982ZHSASp6HU5QI7v+G7KMPIMdU2HnnqXw&#10;/qX6IkpwHwjzgvDqxP5KxrlQLnAd6gi0R5UI7z2GO7w37Vh4j/HeItysldsb15XSJrD9JuziqQ+5&#10;7PAoxkHefuvaZds1/bjv5KUuntHgRqPx0KS24fMK9V8w626ZwUyAEHPO3WAppUa36d2OkpU23/8k&#10;9/ic+pWSLWZMTu23NTOCEvlZ4RFnSZrCrQuH9OR0iIM51CwPNWpdX2p0QhKiC1uPd7LflkbXDxiH&#10;M38rVExxRJZT3N5tL103+TBOuZjNAghjqGFuoe4a7l37Mvu+u28fmGl2D9Gho651P43Y5M177LDe&#10;UunZ2umyCo/VF7qr6o4AjLDQl7tx62fk4TmgXn4K018AAAD//wMAUEsDBBQABgAIAAAAIQBN1Bx1&#10;4QAAAA0BAAAPAAAAZHJzL2Rvd25yZXYueG1sTI/LTsMwEEX3SPyDNUjsqN2QRxviVLRSNrCigNSl&#10;G5skqj2ObLcJf4+7oru5mqM7Z6rNbDS5KOcHixyWCwZEYWvlgB2Hr8/maQXEB4FSaIuKw6/ysKnv&#10;7ypRSjvhh7rsQ0diCfpScOhDGEtKfdsrI/zCjgrj7sc6I0KMrqPSiSmWG00TxnJqxIDxQi9GtetV&#10;e9qfDYfvAotD3kxvpy1tD+/FVj+7XcP548P8+gIkqDn8w3DVj+pQR6ejPaP0RMecZkUSWQ5plgK5&#10;EtlynQM5xoklLANaV/T2i/oPAAD//wMAUEsBAi0AFAAGAAgAAAAhALaDOJL+AAAA4QEAABMAAAAA&#10;AAAAAAAAAAAAAAAAAFtDb250ZW50X1R5cGVzXS54bWxQSwECLQAUAAYACAAAACEAOP0h/9YAAACU&#10;AQAACwAAAAAAAAAAAAAAAAAvAQAAX3JlbHMvLnJlbHNQSwECLQAUAAYACAAAACEA6g/5DewCAABc&#10;BgAADgAAAAAAAAAAAAAAAAAuAgAAZHJzL2Uyb0RvYy54bWxQSwECLQAUAAYACAAAACEATdQcdeEA&#10;AAANAQAADwAAAAAAAAAAAAAAAABGBQAAZHJzL2Rvd25yZXYueG1sUEsFBgAAAAAEAAQA8wAAAFQG&#10;AAAAAA==&#10;" filled="f" stroked="f" strokeweight=".5pt">
              <v:textbox style="layout-flow:vertical">
                <w:txbxContent>
                  <w:p w:rsidR="00E3704D" w:rsidRPr="00255A9A" w:rsidRDefault="00600DD6" w:rsidP="001324C2">
                    <w:pPr>
                      <w:pStyle w:val="Header"/>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p w:rsidR="00E3704D" w:rsidRDefault="00E3704D" w:rsidP="001324C2">
                    <w:pPr>
                      <w:pStyle w:val="Header"/>
                    </w:pPr>
                  </w:p>
                </w:txbxContent>
              </v:textbox>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8</w:t>
      </w:r>
    </w:fldSimple>
    <w:r w:rsidR="00E3704D">
      <w:t xml:space="preserve">. </w:t>
    </w:r>
    <w:fldSimple w:instr=" STYLEREF  &quot;Heading 1&quot;  \* MERGEFORMAT ">
      <w:r w:rsidR="003A3C3D">
        <w:rPr>
          <w:noProof/>
        </w:rPr>
        <w:t>Comparison against budget and the public account</w:t>
      </w:r>
    </w:fldSimple>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E3704D" w:rsidP="00A2094F">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5667E" w:rsidRDefault="00E3704D" w:rsidP="00044843">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9</w:t>
      </w:r>
    </w:fldSimple>
    <w:r w:rsidR="00E3704D">
      <w:t xml:space="preserve">. </w:t>
    </w:r>
    <w:fldSimple w:instr=" STYLEREF  &quot;Heading 1&quot;  \* MERGEFORMAT ">
      <w:r w:rsidR="00E3704D">
        <w:rPr>
          <w:noProof/>
        </w:rPr>
        <w:t>Other disclosures</w:t>
      </w:r>
    </w:fldSimple>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83840" behindDoc="0" locked="0" layoutInCell="1" allowOverlap="1" wp14:anchorId="5DCEFDA0" wp14:editId="68E4D144">
              <wp:simplePos x="0" y="0"/>
              <wp:positionH relativeFrom="column">
                <wp:posOffset>9253220</wp:posOffset>
              </wp:positionH>
              <wp:positionV relativeFrom="paragraph">
                <wp:posOffset>288290</wp:posOffset>
              </wp:positionV>
              <wp:extent cx="396000" cy="6192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6" type="#_x0000_t202" style="position:absolute;margin-left:728.6pt;margin-top:22.7pt;width:31.2pt;height:48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gh6wIAAFwGAAAOAAAAZHJzL2Uyb0RvYy54bWysVVFP2zAQfp+0/2D5vSQpoZCKFBVQp0kV&#10;oMHEs+s4NMKxM9tt00377/vstKGwPYxpL+7l7rvz3X3n6/lFW0uyFsZWWuU0OYopEYrrolJPOf36&#10;MBucUWIdUwWTWomcboWlF5OPH843zVgM9VLLQhiCIMqON01Ol8414yiyfClqZo90IxSMpTY1c/g0&#10;T1Fh2AbRaxkN43gUbbQpGqO5sBba685IJyF+WQrubsvSCkdkTpGbC6cJ58Kf0eScjZ8Ma5YV36XB&#10;/iGLmlUKl/ahrpljZGWq30LVFTfa6tIdcV1HuiwrLkINqCaJ31Rzv2SNCLWgObbp22T/X1h+s74z&#10;pCrA3TElitXg6EG0jlzqlkCF/mwaOwbsvgHQtdADu9dbKH3ZbWlq/4uCCOzo9Lbvro/GoTzORnEM&#10;C4dplGRgL7Q/evFujHWfhK6JF3JqwF5oKlvPrUMmgO4h/jKlZ5WUgUGpyAZRj0/i4NBb4CGVx4ow&#10;C10YfLUOYtAjucDTjywZpvHlMBvMRmeng3SWngyy0/hsECfZJTJPs/R69tNHT9LxsioKoeaVEvuZ&#10;SdK/42Q3vR3bYWpeJW61rApflc/N13olDVkzDO9CMv7s246SDlDR63SCGdXtf0OVkWewYypIbiuF&#10;jy/VF1GC+0CYV4RXJ/orGedCucB16CPQHlUivfc47vDetWPhPc69R7hZK9c715XSJrD9Ju3ieZ9y&#10;2eHRjIO6vejaRRuGfhhG0KsWuthiwI3G4GFIbcNnFfo/Z9bdMYOdACX2nLvFUUqNadM7iZKlNt//&#10;pPf4nPqTkg12TE7ttxUzghL5WeERZ0maIqwLH+nJKbIh5tCyOLSoVX2lMQlJyC6IHu/kXiyNrh+x&#10;Dqf+VpiY4sgsp7i9E69ct/mwTrmYTgMIa6hhbq7uG+5D+zb7uXtoH5lpdg/RYaJu9H4bsfGb99hh&#10;vafS05XTZRUe60tXdwRghYW53K1bvyMPvwPq5U9h8gsAAP//AwBQSwMEFAAGAAgAAAAhAE3UHHXh&#10;AAAADQEAAA8AAABkcnMvZG93bnJldi54bWxMj8tOwzAQRfdI/IM1SOyo3ZBHG+JUtFI2sKKA1KUb&#10;mySqPY5stwl/j7uiu7maoztnqs1sNLko5weLHJYLBkRha+WAHYevz+ZpBcQHgVJoi4rDr/Kwqe/v&#10;KlFKO+GHuuxDR2IJ+lJw6EMYS0p92ysj/MKOCuPuxzojQoyuo9KJKZYbTRPGcmrEgPFCL0a161V7&#10;2p8Nh+8Ci0PeTG+nLW0P78VWP7tdw/njw/z6AiSoOfzDcNWP6lBHp6M9o/REx5xmRRJZDmmWArkS&#10;2XKdAznGiSUsA1pX9PaL+g8AAP//AwBQSwECLQAUAAYACAAAACEAtoM4kv4AAADhAQAAEwAAAAAA&#10;AAAAAAAAAAAAAAAAW0NvbnRlbnRfVHlwZXNdLnhtbFBLAQItABQABgAIAAAAIQA4/SH/1gAAAJQB&#10;AAALAAAAAAAAAAAAAAAAAC8BAABfcmVscy8ucmVsc1BLAQItABQABgAIAAAAIQBSZhgh6wIAAFwG&#10;AAAOAAAAAAAAAAAAAAAAAC4CAABkcnMvZTJvRG9jLnhtbFBLAQItABQABgAIAAAAIQBN1Bx14QAA&#10;AA0BAAAPAAAAAAAAAAAAAAAAAEUFAABkcnMvZG93bnJldi54bWxQSwUGAAAAAAQABADzAAAAUwYA&#10;AAAA&#10;" filled="f" stroked="f" strokeweight=".5pt">
              <v:textbox style="layout-flow:vertical">
                <w:txbxContent>
                  <w:p w:rsidR="00E3704D" w:rsidRPr="00255A9A" w:rsidRDefault="00600DD6" w:rsidP="001324C2">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pP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85888" behindDoc="0" locked="0" layoutInCell="1" allowOverlap="1" wp14:anchorId="2D3D1E5B" wp14:editId="1CC25E2E">
              <wp:simplePos x="0" y="0"/>
              <wp:positionH relativeFrom="column">
                <wp:posOffset>9253220</wp:posOffset>
              </wp:positionH>
              <wp:positionV relativeFrom="paragraph">
                <wp:posOffset>288290</wp:posOffset>
              </wp:positionV>
              <wp:extent cx="396000" cy="6192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7" type="#_x0000_t202" style="position:absolute;margin-left:728.6pt;margin-top:22.7pt;width:31.2pt;height:48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kR6wIAAFwGAAAOAAAAZHJzL2Uyb0RvYy54bWysVVFP2zAQfp+0/2D5vSQpoZCKFBVQp0kV&#10;oMHEs+s4NMKxM9tt00377/vstKGwPYxpL45999357r7z5fyirSVZC2MrrXKaHMWUCMV1UamnnH59&#10;mA3OKLGOqYJJrUROt8LSi8nHD+ebZiyGeqllIQyBE2XHmyanS+eacRRZvhQ1s0e6EQrKUpuaORzN&#10;U1QYtoH3WkbDOB5FG22KxmgurIX0ulPSSfBfloK727K0whGZU8TmwmrCuvBrNDln4yfDmmXFd2Gw&#10;f4iiZpXCpb2ra+YYWZnqN1d1xY22unRHXNeRLsuKi5ADskniN9ncL1kjQi4ojm36Mtn/55bfrO8M&#10;qQpwl1KiWA2OHkTryKVuCUSoz6axY8DuGwBdCzmwe7mF0Kfdlqb2XyREoEelt311vTcO4XE2imNo&#10;OFSjJAN7ofzRi3VjrPskdE38JqcG7IWisvXcOkQC6B7iL1N6VkkZGJSKbOD1+CQOBr0GFlJ5rAi9&#10;0LnBqXXYBjmCCzz9yJJhGl8Os8FsdHY6SGfpySA7jc8GcZJdIvI0S69nP733JB0vq6IQal4pse+Z&#10;JP07Tnbd27EduuZV4FbLqvBZ+dh8rlfSkDVD8y4k48++7EjpABW9Dieokd3+G7KMPIMdU2HntlJ4&#10;/1J9ESW4D4R5QXh1or+ScS6UC1yHOgLtUSXCe4/hDu9NOxbeY9xbhJu1cr1xXSltAttvwi6e9yGX&#10;HR7FOMjbb127aEPTD/tOXuhiiwY3Go2HJrUNn1Wo/5xZd8cMZgKEmHPuFkspNbpN73aULLX5/ie5&#10;x+fUr5RsMGNyar+tmBGUyM8KjzhL0hRuXTikJ6dDHMyhZnGoUav6SqMTkhBd2Hq8k/ttaXT9iHE4&#10;9bdCxRRHZDnF7d32ynWTD+OUi+k0gDCGGubm6r7h3rUvs++7h/aRmWb3EB066kbvpxEbv3mPHdZb&#10;Kj1dOV1W4bH6QndV3RGAERb6cjdu/Yw8PAfUy09h8gsAAP//AwBQSwMEFAAGAAgAAAAhAE3UHHXh&#10;AAAADQEAAA8AAABkcnMvZG93bnJldi54bWxMj8tOwzAQRfdI/IM1SOyo3ZBHG+JUtFI2sKKA1KUb&#10;mySqPY5stwl/j7uiu7maoztnqs1sNLko5weLHJYLBkRha+WAHYevz+ZpBcQHgVJoi4rDr/Kwqe/v&#10;KlFKO+GHuuxDR2IJ+lJw6EMYS0p92ysj/MKOCuPuxzojQoyuo9KJKZYbTRPGcmrEgPFCL0a161V7&#10;2p8Nh+8Ci0PeTG+nLW0P78VWP7tdw/njw/z6AiSoOfzDcNWP6lBHp6M9o/REx5xmRRJZDmmWArkS&#10;2XKdAznGiSUsA1pX9PaL+g8AAP//AwBQSwECLQAUAAYACAAAACEAtoM4kv4AAADhAQAAEwAAAAAA&#10;AAAAAAAAAAAAAAAAW0NvbnRlbnRfVHlwZXNdLnhtbFBLAQItABQABgAIAAAAIQA4/SH/1gAAAJQB&#10;AAALAAAAAAAAAAAAAAAAAC8BAABfcmVscy8ucmVsc1BLAQItABQABgAIAAAAIQCUSykR6wIAAFwG&#10;AAAOAAAAAAAAAAAAAAAAAC4CAABkcnMvZTJvRG9jLnhtbFBLAQItABQABgAIAAAAIQBN1Bx14QAA&#10;AA0BAAAPAAAAAAAAAAAAAAAAAEUFAABkcnMvZG93bnJldi54bWxQSwUGAAAAAAQABADzAAAAUwYA&#10;AAAA&#10;" filled="f" stroked="f" strokeweight=".5pt">
              <v:textbox style="layout-flow:vertical">
                <w:txbxContent>
                  <w:p w:rsidR="00E3704D" w:rsidRPr="00255A9A" w:rsidRDefault="00600DD6" w:rsidP="001324C2">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jc w:val="right"/>
                    </w:pPr>
                  </w:p>
                </w:txbxContent>
              </v:textbox>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E3704D">
        <w:rPr>
          <w:noProof/>
        </w:rPr>
        <w:t>9</w:t>
      </w:r>
    </w:fldSimple>
    <w:r w:rsidR="00E3704D">
      <w:t xml:space="preserve">. </w:t>
    </w:r>
    <w:fldSimple w:instr=" STYLEREF  &quot;Heading 1&quot;  \* MERGEFORMAT ">
      <w:r w:rsidR="00E3704D">
        <w:rPr>
          <w:noProof/>
        </w:rPr>
        <w:t>Other disclosures</w:t>
      </w:r>
    </w:fldSimple>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9</w:t>
      </w:r>
    </w:fldSimple>
    <w:r w:rsidR="00E3704D">
      <w:t xml:space="preserve">. </w:t>
    </w:r>
    <w:fldSimple w:instr=" STYLEREF  &quot;Heading 1&quot;  \* MERGEFORMAT ">
      <w:r w:rsidR="00E3704D">
        <w:rPr>
          <w:noProof/>
        </w:rPr>
        <w:t>Other disclosures</w:t>
      </w:r>
    </w:fldSimple>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89984" behindDoc="0" locked="0" layoutInCell="1" allowOverlap="1" wp14:anchorId="0B1BF4D5" wp14:editId="4A8C46FA">
              <wp:simplePos x="0" y="0"/>
              <wp:positionH relativeFrom="column">
                <wp:posOffset>9253220</wp:posOffset>
              </wp:positionH>
              <wp:positionV relativeFrom="paragraph">
                <wp:posOffset>288290</wp:posOffset>
              </wp:positionV>
              <wp:extent cx="396000" cy="619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50" type="#_x0000_t202" style="position:absolute;margin-left:728.6pt;margin-top:22.7pt;width:31.2pt;height:48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EA7A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3SklitXg6EG0jlzqlkCE+mwaOwbsvgHQtZAD28sthD7ttjS1/yIhAj0qvd1X13vjEB5noziG&#10;hkM1SjKwF8ofvVg3xrpPQtfEb3JqwF4oKlvPrUMkgPYQf5nSs0rKwKBUZAOvxydxMNhrYCGVx4rQ&#10;C50bnFqHbZAjuMDTjywZpvHlMBvMRmeng3SWngyy0/hsECfZJSJPs/R69tN7T9LxsioKoeaVEn3P&#10;JOnfcbLr3o7t0DWvArdaVoXPysfmc72ShqwZmnchGX/2ZUdKB6jodThBjez6b8gy8gx2TIWd20rh&#10;/Uv1RZTgPhDmBeHVif2VjHOhXOA61BFojyoR3nsMd3hv2rHwHuO9RbhZK7c3riulTWD7TdjFcx9y&#10;2eFRjIO8/da1izY0/TDtO3mhiy0a3Gg0HprUNnxWof5zZt0dM5gJEGLOuVsspdToNr3bUbLU5vuf&#10;5B6fU79SssGMyan9tmJGUCI/KzziLElTuHXhkJ6cDnEwh5rFoUat6iuNTkhCdGHr8U7229Lo+hHj&#10;cOpvhYopjshyitu77ZXrJh/GKRfTaQBhDDXMzdV9w71rX2bfdw/tIzPN7iE6dNSN7qcRG795jx3W&#10;Wyo9XTldVuGx+kJ3Vd0RgBEW+nI3bv2MPDwH1MtPYfILAAD//wMAUEsDBBQABgAIAAAAIQBN1Bx1&#10;4QAAAA0BAAAPAAAAZHJzL2Rvd25yZXYueG1sTI/LTsMwEEX3SPyDNUjsqN2QRxviVLRSNrCigNSl&#10;G5skqj2ObLcJf4+7oru5mqM7Z6rNbDS5KOcHixyWCwZEYWvlgB2Hr8/maQXEB4FSaIuKw6/ysKnv&#10;7ypRSjvhh7rsQ0diCfpScOhDGEtKfdsrI/zCjgrj7sc6I0KMrqPSiSmWG00TxnJqxIDxQi9GtetV&#10;e9qfDYfvAotD3kxvpy1tD+/FVj+7XcP548P8+gIkqDn8w3DVj+pQR6ejPaP0RMecZkUSWQ5plgK5&#10;EtlynQM5xoklLANaV/T2i/oPAAD//wMAUEsBAi0AFAAGAAgAAAAhALaDOJL+AAAA4QEAABMAAAAA&#10;AAAAAAAAAAAAAAAAAFtDb250ZW50X1R5cGVzXS54bWxQSwECLQAUAAYACAAAACEAOP0h/9YAAACU&#10;AQAACwAAAAAAAAAAAAAAAAAvAQAAX3JlbHMvLnJlbHNQSwECLQAUAAYACAAAACEAe7DxAOwCAABc&#10;BgAADgAAAAAAAAAAAAAAAAAuAgAAZHJzL2Uyb0RvYy54bWxQSwECLQAUAAYACAAAACEATdQcdeEA&#10;AAANAQAADwAAAAAAAAAAAAAAAABGBQAAZHJzL2Rvd25yZXYueG1sUEsFBgAAAAAEAAQA8wAAAFQG&#10;AAAAAA==&#10;" filled="f" stroked="f" strokeweight=".5pt">
              <v:textbox style="layout-flow:vertical">
                <w:txbxContent>
                  <w:p w:rsidR="00E3704D" w:rsidRPr="00255A9A" w:rsidRDefault="00600DD6" w:rsidP="001324C2">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pP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87936" behindDoc="0" locked="0" layoutInCell="1" allowOverlap="1" wp14:anchorId="028BB61F" wp14:editId="44D679CF">
              <wp:simplePos x="0" y="0"/>
              <wp:positionH relativeFrom="column">
                <wp:posOffset>9253220</wp:posOffset>
              </wp:positionH>
              <wp:positionV relativeFrom="paragraph">
                <wp:posOffset>288290</wp:posOffset>
              </wp:positionV>
              <wp:extent cx="396000" cy="6192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51" type="#_x0000_t202" style="position:absolute;margin-left:728.6pt;margin-top:22.7pt;width:31.2pt;height:48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d+7QIAAFwGAAAOAAAAZHJzL2Uyb0RvYy54bWysVVFP2zAQfp+0/2D5vSQpaSEVKSqgTpMq&#10;QIOJZ9dxaIRjZ7bbhk377/vsNKWwPYxpL45999357r7z5ey8rSXZCGMrrXKaHMWUCMV1UanHnH69&#10;nw9OKbGOqYJJrUROn4Wl59OPH862zUQM9UrLQhgCJ8pOtk1OV841kyiyfCVqZo90IxSUpTY1czia&#10;x6gwbAvvtYyGcTyOttoUjdFcWAvpVaek0+C/LAV3N2VphSMyp4jNhdWEdenXaHrGJo+GNauK78Jg&#10;/xBFzSqFS/eurphjZG2q31zVFTfa6tIdcV1HuiwrLkIOyCaJ32Rzt2KNCLmgOLbZl8n+P7f8enNr&#10;SFWAuzElitXg6F60jlzolkCE+mwbOwHsrgHQtZAD28sthD7ttjS1/yIhAj0q/byvrvfGITzOxnEM&#10;DYdqnGRgL5Q/erFujHWfhK6J3+TUgL1QVLZZWIdIAO0h/jKl55WUgUGpyBZej0dxMNhrYCGVx4rQ&#10;C50bnFqHbZAjuMDTjywZpvHFMBvMx6cng3SejgbZSXw6iJPsApGnWXo1/+m9J+lkVRWFUItKib5n&#10;kvTvONl1b8d26JpXgVstq8Jn5WPzuV5KQzYMzbuUjD/5siOlA1T0OpygRnb9N2QZeQY7psLOPUvh&#10;/Uv1RZTgPhDmBeHVif2VjHOhXOA61BFojyoR3nsMd3hv2rHwHuO9RbhZK7c3riulTWD7TdjFUx9y&#10;2eFRjIO8/da1yzY0/XDUd/JSF89ocKPReGhS2/B5hfovmHW3zGAmQIg5526wlFKj2/RuR8lKm+9/&#10;knt8Tv1KyRYzJqf225oZQYn8rPCIsyRN4daFQzo6GeJgDjXLQ41a15canZCE6MLW453st6XR9QPG&#10;4czfChVTHJHlFLd320vXTT6MUy5mswDCGGqYW6i7hnvXvsy+7+7bB2aa3UN06Khr3U8jNnnzHjus&#10;t1R6tna6rMJj9YXuqrojACMs9OVu3PoZeXgOqJefwvQXAAAA//8DAFBLAwQUAAYACAAAACEATdQc&#10;deEAAAANAQAADwAAAGRycy9kb3ducmV2LnhtbEyPy07DMBBF90j8gzVI7KjdkEcb4lS0UjawooDU&#10;pRubJKo9jmy3CX+Pu6K7uZqjO2eqzWw0uSjnB4sclgsGRGFr5YAdh6/P5mkFxAeBUmiLisOv8rCp&#10;7+8qUUo74Ye67ENHYgn6UnDoQxhLSn3bKyP8wo4K4+7HOiNCjK6j0okplhtNE8ZyasSA8UIvRrXr&#10;VXvanw2H7wKLQ95Mb6ctbQ/vxVY/u13D+ePD/PoCJKg5/MNw1Y/qUEenoz2j9ETHnGZFElkOaZYC&#10;uRLZcp0DOcaJJSwDWlf09ov6DwAA//8DAFBLAQItABQABgAIAAAAIQC2gziS/gAAAOEBAAATAAAA&#10;AAAAAAAAAAAAAAAAAABbQ29udGVudF9UeXBlc10ueG1sUEsBAi0AFAAGAAgAAAAhADj9If/WAAAA&#10;lAEAAAsAAAAAAAAAAAAAAAAALwEAAF9yZWxzLy5yZWxzUEsBAi0AFAAGAAgAAAAhAGGEV37tAgAA&#10;XAYAAA4AAAAAAAAAAAAAAAAALgIAAGRycy9lMm9Eb2MueG1sUEsBAi0AFAAGAAgAAAAhAE3UHHXh&#10;AAAADQEAAA8AAAAAAAAAAAAAAAAARwUAAGRycy9kb3ducmV2LnhtbFBLBQYAAAAABAAEAPMAAABV&#10;BgAAAAA=&#10;" filled="f" stroked="f" strokeweight=".5pt">
              <v:textbox style="layout-flow:vertical">
                <w:txbxContent>
                  <w:p w:rsidR="00E3704D" w:rsidRPr="00255A9A" w:rsidRDefault="00600DD6" w:rsidP="001324C2">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p w:rsidR="00E3704D" w:rsidRDefault="00E3704D" w:rsidP="001324C2">
                    <w:pPr>
                      <w:pStyle w:val="Header"/>
                      <w:jc w:val="right"/>
                    </w:pPr>
                  </w:p>
                </w:txbxContent>
              </v:textbox>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9</w:t>
      </w:r>
    </w:fldSimple>
    <w:r w:rsidR="00E3704D">
      <w:t xml:space="preserve">. </w:t>
    </w:r>
    <w:fldSimple w:instr=" STYLEREF  &quot;Heading 1&quot;  \* MERGEFORMAT ">
      <w:r w:rsidR="003A3C3D">
        <w:rPr>
          <w:noProof/>
        </w:rPr>
        <w:t>Other disclosures</w:t>
      </w:r>
    </w:fldSimple>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D2968" w:rsidRDefault="00E3704D" w:rsidP="00044843">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21019" w:rsidRDefault="00E3704D" w:rsidP="00044843">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21019" w:rsidRDefault="00E3704D" w:rsidP="00044843">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21019" w:rsidRDefault="00E3704D" w:rsidP="00044843">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21019" w:rsidRDefault="00E3704D" w:rsidP="0004484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BD2968" w:rsidRDefault="00E3704D" w:rsidP="0004484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C2E56" w:rsidRDefault="00E3704D" w:rsidP="0004484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C2E56" w:rsidRDefault="00E3704D" w:rsidP="0004484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rsidP="00061F46">
    <w:pPr>
      <w:pStyle w:val="Header"/>
    </w:pPr>
    <w:r>
      <w:t>Primary Financial Statements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rsidP="00574728">
    <w:pPr>
      <w:pStyle w:val="Header"/>
      <w:jc w:val="right"/>
    </w:pPr>
    <w:r>
      <w:t>Primary Financial Statements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rsidP="00061F46">
    <w:pPr>
      <w:pStyle w:val="Header"/>
    </w:pPr>
    <w:r>
      <w:rPr>
        <w:noProof/>
        <w:lang w:eastAsia="en-AU"/>
      </w:rPr>
      <mc:AlternateContent>
        <mc:Choice Requires="wps">
          <w:drawing>
            <wp:anchor distT="0" distB="0" distL="114300" distR="114300" simplePos="0" relativeHeight="251665408" behindDoc="0" locked="0" layoutInCell="1" allowOverlap="1" wp14:anchorId="7304B5BF" wp14:editId="16BD544E">
              <wp:simplePos x="0" y="0"/>
              <wp:positionH relativeFrom="column">
                <wp:posOffset>9253220</wp:posOffset>
              </wp:positionH>
              <wp:positionV relativeFrom="paragraph">
                <wp:posOffset>288290</wp:posOffset>
              </wp:positionV>
              <wp:extent cx="396000"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E3704D" w:rsidP="00061F46">
                          <w:pPr>
                            <w:pStyle w:val="Header"/>
                          </w:pPr>
                          <w:r>
                            <w:t>Primary financial statements</w:t>
                          </w:r>
                        </w:p>
                        <w:p w:rsidR="00E3704D" w:rsidRDefault="00E3704D" w:rsidP="00061F4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28.6pt;margin-top:22.7pt;width:31.2pt;height:48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FQ6AIAAFIGAAAOAAAAZHJzL2Uyb0RvYy54bWysVVFP2zAQfp+0/2D5vSQpoZCKFBVQp0kV&#10;oMHEs+s4NMKxM9tt00377/vspKWwPYxpL45999357r7z5fyirSVZC2MrrXKaHMWUCMV1UamnnH59&#10;mA3OKLGOqYJJrUROt8LSi8nHD+ebZiyGeqllIQyBE2XHmyanS+eacRRZvhQ1s0e6EQrKUpuaORzN&#10;U1QYtoH3WkbDOB5FG22KxmgurIX0ulPSSfBfloK727K0whGZU8TmwmrCuvBrNDln4yfDmmXF+zDY&#10;P0RRs0rh0r2ra+YYWZnqN1d1xY22unRHXNeRLsuKi5ADskniN9ncL1kjQi4ojm32ZbL/zy2/Wd8Z&#10;UhU5TSlRrAZFD6J15FK3JPXV2TR2DNB9A5hrIQbLO7mF0Cfdlqb2X6RDoEedt/vaemccwuNsFMfQ&#10;cKhGSQbuQvGjF+vGWPdJ6Jr4TU4NuAslZeu5dYgE0B3EX6b0rJIy8CcV2cDr8UkcDPYaWEjlsSJ0&#10;QucGp9ZhG+QILrD0I0uGaXw5zAaz0dnpIJ2lJ4PsND4bxEl2icjTLL2e/fTek3S8rIpCqHmlxK5j&#10;kvTvGOl7t+M69MyrwK2WVeGz8rH5XK+kIWuG1l1Ixp992ZHSASp6HU5QI7vdN2QZeQY7psLObaXw&#10;/qX6IkowHwjzgvDmxP5KxrlQLnAd6gi0R5UI7z2GPd6bdiy8x3hvEW7Wyu2N60ppE9h+E3bxvAu5&#10;7PAoxkHefuvaRdt39kIXWzS20Wg4NKdt+KxC3efMujtmMAkgxHRzt1hKqdFlut9RstTm+5/kHp9T&#10;v1KywWTJqf22YkZQIj8rPN0sSVO4deGQnpwOcTCHmsWhRq3qK40OSEJ0YevxTu62pdH1I4bg1N8K&#10;FVMckeUUt3fbK9fNOwxRLqbTAMLwaZibq/uGe9e+vL7fHtpHZpr+ATp00o3ezSA2fvMOO6y3VHq6&#10;crqswiP1Be6q2hcegyv0Yz9k/WQ8PAfUy69g8gsAAP//AwBQSwMEFAAGAAgAAAAhAE3UHHXhAAAA&#10;DQEAAA8AAABkcnMvZG93bnJldi54bWxMj8tOwzAQRfdI/IM1SOyo3ZBHG+JUtFI2sKKA1KUbmySq&#10;PY5stwl/j7uiu7maoztnqs1sNLko5weLHJYLBkRha+WAHYevz+ZpBcQHgVJoi4rDr/Kwqe/vKlFK&#10;O+GHuuxDR2IJ+lJw6EMYS0p92ysj/MKOCuPuxzojQoyuo9KJKZYbTRPGcmrEgPFCL0a161V72p8N&#10;h+8Ci0PeTG+nLW0P78VWP7tdw/njw/z6AiSoOfzDcNWP6lBHp6M9o/REx5xmRRJZDmmWArkS2XKd&#10;AznGiSUsA1pX9PaL+g8AAP//AwBQSwECLQAUAAYACAAAACEAtoM4kv4AAADhAQAAEwAAAAAAAAAA&#10;AAAAAAAAAAAAW0NvbnRlbnRfVHlwZXNdLnhtbFBLAQItABQABgAIAAAAIQA4/SH/1gAAAJQBAAAL&#10;AAAAAAAAAAAAAAAAAC8BAABfcmVscy8ucmVsc1BLAQItABQABgAIAAAAIQCDcCFQ6AIAAFIGAAAO&#10;AAAAAAAAAAAAAAAAAC4CAABkcnMvZTJvRG9jLnhtbFBLAQItABQABgAIAAAAIQBN1Bx14QAAAA0B&#10;AAAPAAAAAAAAAAAAAAAAAEIFAABkcnMvZG93bnJldi54bWxQSwUGAAAAAAQABADzAAAAUAYAAAAA&#10;" filled="f" stroked="f" strokeweight=".5pt">
              <v:textbox style="layout-flow:vertical">
                <w:txbxContent>
                  <w:p w:rsidR="00E3704D" w:rsidRPr="00255A9A" w:rsidRDefault="00E3704D" w:rsidP="00061F46">
                    <w:pPr>
                      <w:pStyle w:val="Header"/>
                    </w:pPr>
                    <w:r>
                      <w:t>Primary financial statements</w:t>
                    </w:r>
                  </w:p>
                  <w:p w:rsidR="00E3704D" w:rsidRDefault="00E3704D" w:rsidP="00061F46">
                    <w:pPr>
                      <w:pStyle w:val="Header"/>
                      <w:jc w:val="right"/>
                    </w:pP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600DD6">
    <w:pPr>
      <w:pStyle w:val="Header"/>
    </w:pPr>
    <w:fldSimple w:instr=" STYLEREF  &quot;Heading 1&quot; \n  \* MERGEFORMAT ">
      <w:r w:rsidR="00E3704D">
        <w:rPr>
          <w:noProof/>
        </w:rPr>
        <w:t>1</w:t>
      </w:r>
    </w:fldSimple>
    <w:r w:rsidR="00E3704D">
      <w:t xml:space="preserve">. </w:t>
    </w:r>
    <w:fldSimple w:instr=" STYLEREF  &quot;Heading 1&quot;  \* MERGEFORMAT ">
      <w:r w:rsidR="00E3704D">
        <w:rPr>
          <w:noProof/>
        </w:rPr>
        <w:t>About this report</w:t>
      </w:r>
    </w:fldSimple>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600DD6">
    <w:pPr>
      <w:pStyle w:val="Header"/>
    </w:pPr>
    <w:fldSimple w:instr=" STYLEREF  &quot;Heading 1&quot; \n  \* MERGEFORMAT ">
      <w:r w:rsidR="003A3C3D">
        <w:rPr>
          <w:noProof/>
        </w:rPr>
        <w:t>1</w:t>
      </w:r>
    </w:fldSimple>
    <w:r w:rsidR="00E3704D">
      <w:t xml:space="preserve">. </w:t>
    </w:r>
    <w:fldSimple w:instr=" STYLEREF  &quot;Heading 1&quot;  \* MERGEFORMAT ">
      <w:r w:rsidR="003A3C3D">
        <w:rPr>
          <w:noProof/>
        </w:rPr>
        <w:t>About this report</w:t>
      </w:r>
    </w:fldSimple>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3872A7" w:rsidRDefault="00600DD6" w:rsidP="00601D91">
    <w:pPr>
      <w:pStyle w:val="Header"/>
      <w:jc w:val="right"/>
    </w:pPr>
    <w:fldSimple w:instr=" STYLEREF  &quot;Heading 1&quot; \n  \* MERGEFORMAT ">
      <w:r w:rsidR="003A3C3D">
        <w:rPr>
          <w:noProof/>
        </w:rPr>
        <w:t>1</w:t>
      </w:r>
    </w:fldSimple>
    <w:r w:rsidR="00E3704D" w:rsidRPr="003872A7">
      <w:t xml:space="preserve">. </w:t>
    </w:r>
    <w:fldSimple w:instr=" STYLEREF  &quot;Heading 1&quot;  \* MERGEFORMAT ">
      <w:r w:rsidR="003A3C3D">
        <w:rPr>
          <w:noProof/>
        </w:rPr>
        <w:t>About this report</w:t>
      </w:r>
    </w:fldSimple>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E3704D" w:rsidP="00574728">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F3C02" w:rsidRDefault="00600DD6" w:rsidP="007A4996">
    <w:pPr>
      <w:pStyle w:val="Header"/>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601D91">
    <w:pPr>
      <w:pStyle w:val="Header"/>
      <w:jc w:val="right"/>
    </w:pPr>
    <w:fldSimple w:instr=" STYLEREF  &quot;Heading 1&quot; \n  \* MERGEFORMAT ">
      <w:r w:rsidR="003A3C3D">
        <w:rPr>
          <w:noProof/>
        </w:rPr>
        <w:t>2</w:t>
      </w:r>
    </w:fldSimple>
    <w:r w:rsidR="00E3704D">
      <w:t xml:space="preserve">. </w:t>
    </w:r>
    <w:fldSimple w:instr=" STYLEREF  &quot;Heading 1&quot;  \* MERGEFORMAT ">
      <w:r w:rsidR="003A3C3D">
        <w:rPr>
          <w:noProof/>
        </w:rPr>
        <w:t>How funds are raised</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F3C02" w:rsidRDefault="00600DD6" w:rsidP="00601D91">
    <w:pPr>
      <w:pStyle w:val="Header"/>
      <w:jc w:val="right"/>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F3C02" w:rsidRDefault="00600DD6" w:rsidP="00601D91">
    <w:pPr>
      <w:pStyle w:val="Header"/>
    </w:pPr>
    <w:fldSimple w:instr=" STYLEREF  &quot;Heading 1&quot; \n  \* MERGEFORMAT ">
      <w:r w:rsidR="003A3C3D">
        <w:rPr>
          <w:noProof/>
        </w:rPr>
        <w:t>2</w:t>
      </w:r>
    </w:fldSimple>
    <w:r w:rsidR="00E3704D">
      <w:t xml:space="preserve">. </w:t>
    </w:r>
    <w:fldSimple w:instr=" STYLEREF  &quot;Heading 1&quot;  \* MERGEFORMAT ">
      <w:r w:rsidR="003A3C3D">
        <w:rPr>
          <w:noProof/>
        </w:rPr>
        <w:t>How funds are raised</w:t>
      </w:r>
    </w:fldSimple>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601D91">
    <w:pPr>
      <w:pStyle w:val="Header"/>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601D91">
    <w:pPr>
      <w:pStyle w:val="Header"/>
      <w:jc w:val="right"/>
    </w:pPr>
    <w:fldSimple w:instr=" STYLEREF  &quot;Heading 1&quot; \n  \* MERGEFORMAT ">
      <w:r w:rsidR="003A3C3D">
        <w:rPr>
          <w:noProof/>
        </w:rPr>
        <w:t>2</w:t>
      </w:r>
    </w:fldSimple>
    <w:r w:rsidR="00E3704D">
      <w:t xml:space="preserve">. </w:t>
    </w:r>
    <w:fldSimple w:instr=" STYLEREF  &quot;Heading 1&quot;  \* MERGEFORMAT ">
      <w:r w:rsidR="003A3C3D">
        <w:rPr>
          <w:noProof/>
        </w:rPr>
        <w:t>How funds are raised</w:t>
      </w:r>
    </w:fldSimple>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2</w:t>
      </w:r>
    </w:fldSimple>
    <w:r w:rsidR="00E3704D">
      <w:t xml:space="preserve">. </w:t>
    </w:r>
    <w:fldSimple w:instr=" STYLEREF  &quot;Heading 1&quot;  \* MERGEFORMAT ">
      <w:r w:rsidR="00E3704D">
        <w:rPr>
          <w:noProof/>
        </w:rPr>
        <w:t>How funds are raised</w:t>
      </w:r>
    </w:fldSimple>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E3704D" w:rsidP="00CE30B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F3C02" w:rsidRDefault="00E3704D" w:rsidP="00CE30BD">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F3C02" w:rsidRDefault="00600DD6" w:rsidP="006479D1">
    <w:pPr>
      <w:pStyle w:val="Header"/>
    </w:pPr>
    <w:fldSimple w:instr=" STYLEREF  &quot;Heading 1&quot; \n  \* MERGEFORMAT ">
      <w:r w:rsidR="00E3704D">
        <w:rPr>
          <w:noProof/>
        </w:rPr>
        <w:t>3</w:t>
      </w:r>
    </w:fldSimple>
    <w:r w:rsidR="00E3704D">
      <w:t xml:space="preserve">. </w:t>
    </w:r>
    <w:fldSimple w:instr=" STYLEREF  &quot;Heading 1&quot;  \* MERGEFORMAT ">
      <w:r w:rsidR="00E3704D">
        <w:rPr>
          <w:noProof/>
        </w:rPr>
        <w:t>How funds are spent</w:t>
      </w:r>
    </w:fldSimple>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3</w:t>
      </w:r>
    </w:fldSimple>
    <w:r w:rsidR="00E3704D">
      <w:t xml:space="preserve">. </w:t>
    </w:r>
    <w:fldSimple w:instr=" STYLEREF  &quot;Heading 1&quot;  \* MERGEFORMAT ">
      <w:r w:rsidR="00E3704D">
        <w:rPr>
          <w:noProof/>
        </w:rPr>
        <w:t>How funds are spent</w:t>
      </w:r>
    </w:fldSimple>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EF3C02" w:rsidRDefault="00600DD6" w:rsidP="006479D1">
    <w:pPr>
      <w:pStyle w:val="Header"/>
    </w:pPr>
    <w:fldSimple w:instr=" STYLEREF  &quot;Heading 1&quot; \n  \* MERGEFORMAT ">
      <w:r w:rsidR="003A3C3D">
        <w:rPr>
          <w:noProof/>
        </w:rPr>
        <w:t>3</w:t>
      </w:r>
    </w:fldSimple>
    <w:r w:rsidR="00E3704D">
      <w:t xml:space="preserve">. </w:t>
    </w:r>
    <w:fldSimple w:instr=" STYLEREF  &quot;Heading 1&quot;  \* MERGEFORMAT ">
      <w:r w:rsidR="003A3C3D">
        <w:rPr>
          <w:noProof/>
        </w:rPr>
        <w:t>How funds are spent</w:t>
      </w:r>
    </w:fldSimple>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3</w:t>
      </w:r>
    </w:fldSimple>
    <w:r w:rsidR="00E3704D">
      <w:t xml:space="preserve">. </w:t>
    </w:r>
    <w:fldSimple w:instr=" STYLEREF  &quot;Heading 1&quot;  \* MERGEFORMAT ">
      <w:r w:rsidR="00E3704D">
        <w:rPr>
          <w:noProof/>
        </w:rPr>
        <w:t>How funds are spent</w:t>
      </w:r>
    </w:fldSimple>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601D91">
    <w:pPr>
      <w:pStyle w:val="Header"/>
      <w:jc w:val="right"/>
    </w:pPr>
    <w:fldSimple w:instr=" STYLEREF  &quot;Heading 1&quot; \n  \* MERGEFORMAT ">
      <w:r w:rsidR="003A3C3D">
        <w:rPr>
          <w:noProof/>
        </w:rPr>
        <w:t>3</w:t>
      </w:r>
    </w:fldSimple>
    <w:r w:rsidR="00E3704D">
      <w:t xml:space="preserve">. </w:t>
    </w:r>
    <w:fldSimple w:instr=" STYLEREF  &quot;Heading 1&quot;  \* MERGEFORMAT ">
      <w:r w:rsidR="003A3C3D">
        <w:rPr>
          <w:noProof/>
        </w:rPr>
        <w:t>How funds are spent</w:t>
      </w:r>
    </w:fldSimple>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790E40">
    <w:pPr>
      <w:pStyle w:val="Header"/>
    </w:pPr>
    <w:fldSimple w:instr=" STYLEREF  &quot;Heading 1&quot; \n  \* MERGEFORMAT ">
      <w:r w:rsidR="003A3C3D">
        <w:rPr>
          <w:noProof/>
        </w:rPr>
        <w:t>3</w:t>
      </w:r>
    </w:fldSimple>
    <w:r w:rsidR="00E3704D">
      <w:t xml:space="preserve">. </w:t>
    </w:r>
    <w:fldSimple w:instr=" STYLEREF  &quot;Heading 1&quot;  \* MERGEFORMAT ">
      <w:r w:rsidR="003A3C3D">
        <w:rPr>
          <w:noProof/>
        </w:rPr>
        <w:t>How funds are spent</w:t>
      </w:r>
    </w:fldSimple>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3</w:t>
      </w:r>
    </w:fldSimple>
    <w:r w:rsidR="00E3704D">
      <w:t xml:space="preserve">. </w:t>
    </w:r>
    <w:fldSimple w:instr=" STYLEREF  &quot;Heading 1&quot;  \* MERGEFORMAT ">
      <w:r w:rsidR="003A3C3D">
        <w:rPr>
          <w:noProof/>
        </w:rPr>
        <w:t>How funds are spent</w:t>
      </w:r>
    </w:fldSimple>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3</w:t>
      </w:r>
    </w:fldSimple>
    <w:r w:rsidR="00E3704D">
      <w:t xml:space="preserve">. </w:t>
    </w:r>
    <w:fldSimple w:instr=" STYLEREF  &quot;Heading 1&quot;  \* MERGEFORMAT ">
      <w:r w:rsidR="003A3C3D">
        <w:rPr>
          <w:noProof/>
        </w:rPr>
        <w:t>How funds are spent</w:t>
      </w:r>
    </w:fldSimple>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3</w:t>
      </w:r>
    </w:fldSimple>
    <w:r w:rsidR="00E3704D">
      <w:t xml:space="preserve">. </w:t>
    </w:r>
    <w:fldSimple w:instr=" STYLEREF  &quot;Heading 1&quot;  \* MERGEFORMAT ">
      <w:r w:rsidR="00E3704D">
        <w:rPr>
          <w:noProof/>
        </w:rPr>
        <w:t>How funds are spent</w:t>
      </w:r>
    </w:fldSimple>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E3704D">
        <w:rPr>
          <w:noProof/>
        </w:rPr>
        <w:t>3</w:t>
      </w:r>
    </w:fldSimple>
    <w:r w:rsidR="00E3704D">
      <w:t xml:space="preserve">. </w:t>
    </w:r>
    <w:fldSimple w:instr=" STYLEREF  &quot;Heading 1&quot;  \* MERGEFORMAT ">
      <w:r w:rsidR="00E3704D">
        <w:rPr>
          <w:noProof/>
        </w:rPr>
        <w:t>How funds are spent</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3</w:t>
      </w:r>
    </w:fldSimple>
    <w:r w:rsidR="00E3704D">
      <w:t xml:space="preserve">. </w:t>
    </w:r>
    <w:fldSimple w:instr=" STYLEREF  &quot;Heading 1&quot;  \* MERGEFORMAT ">
      <w:r w:rsidR="00E3704D">
        <w:rPr>
          <w:noProof/>
        </w:rPr>
        <w:t>How funds are spent</w:t>
      </w:r>
    </w:fldSimple>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E3704D" w:rsidP="00574728">
    <w:pPr>
      <w:pStyle w:val="Header"/>
      <w:jc w:val="righ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Default="00E3704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E3704D">
        <w:rPr>
          <w:noProof/>
        </w:rPr>
        <w:t>4</w:t>
      </w:r>
    </w:fldSimple>
    <w:r w:rsidR="00E3704D">
      <w:t xml:space="preserve">. </w:t>
    </w:r>
    <w:fldSimple w:instr=" STYLEREF  &quot;Heading 1&quot;  \* MERGEFORMAT ">
      <w:r w:rsidR="00E3704D">
        <w:rPr>
          <w:noProof/>
        </w:rPr>
        <w:t>Major assets and investments</w:t>
      </w:r>
    </w:fldSimple>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255A9A">
    <w:pPr>
      <w:pStyle w:val="Header"/>
    </w:pPr>
    <w:fldSimple w:instr=" STYLEREF  &quot;Heading 1&quot; \n  \* MERGEFORMAT ">
      <w:r w:rsidR="00E3704D">
        <w:rPr>
          <w:noProof/>
        </w:rPr>
        <w:t>4</w:t>
      </w:r>
    </w:fldSimple>
    <w:r w:rsidR="00E3704D">
      <w:t xml:space="preserve">. </w:t>
    </w:r>
    <w:fldSimple w:instr=" STYLEREF  &quot;Heading 1&quot;  \* MERGEFORMAT ">
      <w:r w:rsidR="00E3704D">
        <w:rPr>
          <w:noProof/>
        </w:rPr>
        <w:t>Major assets and investments</w:t>
      </w:r>
    </w:fldSimple>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255A9A">
    <w:pPr>
      <w:pStyle w:val="Header"/>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044843">
    <w:pPr>
      <w:pStyle w:val="Header"/>
      <w:jc w:val="right"/>
    </w:pPr>
    <w:fldSimple w:instr=" STYLEREF  &quot;Heading 1&quot; \n  \* MERGEFORMAT ">
      <w:r w:rsidR="00E3704D">
        <w:rPr>
          <w:noProof/>
        </w:rPr>
        <w:t>4</w:t>
      </w:r>
    </w:fldSimple>
    <w:r w:rsidR="00E3704D">
      <w:t xml:space="preserve">. </w:t>
    </w:r>
    <w:fldSimple w:instr=" STYLEREF  &quot;Heading 1&quot;  \* MERGEFORMAT ">
      <w:r w:rsidR="00E3704D">
        <w:rPr>
          <w:noProof/>
        </w:rPr>
        <w:t>Major assets and investments</w:t>
      </w:r>
    </w:fldSimple>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E3704D" w:rsidP="00255A9A">
    <w:pPr>
      <w:pStyle w:val="Header"/>
    </w:pPr>
    <w:r>
      <w:rPr>
        <w:noProof/>
        <w:lang w:eastAsia="en-AU"/>
      </w:rPr>
      <mc:AlternateContent>
        <mc:Choice Requires="wps">
          <w:drawing>
            <wp:anchor distT="0" distB="0" distL="114300" distR="114300" simplePos="0" relativeHeight="251661312" behindDoc="0" locked="0" layoutInCell="1" allowOverlap="1" wp14:anchorId="19A03F20" wp14:editId="33A26EFD">
              <wp:simplePos x="0" y="0"/>
              <wp:positionH relativeFrom="column">
                <wp:posOffset>9253220</wp:posOffset>
              </wp:positionH>
              <wp:positionV relativeFrom="paragraph">
                <wp:posOffset>288290</wp:posOffset>
              </wp:positionV>
              <wp:extent cx="396000" cy="619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044843">
                          <w:pPr>
                            <w:pStyle w:val="Header"/>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p w:rsidR="00E3704D" w:rsidRDefault="00E3704D" w:rsidP="00044843">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28.6pt;margin-top:22.7pt;width:31.2pt;height:4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lW6gIAAFkGAAAOAAAAZHJzL2Uyb0RvYy54bWysVd9P2zAQfp+0/8Hye0lSQiEVKSqgTpMq&#10;QIOJZ9dxaIRjZ7bbppv2v++zk5bC9jCmvTjnu+9+ny/nF20tyVoYW2mV0+QopkQorotKPeX068Ns&#10;cEaJdUwVTGolcroVll5MPn443zRjMdRLLQthCIwoO940OV0614yjyPKlqJk90o1QEJba1Mzhap6i&#10;wrANrNcyGsbxKNpoUzRGc2EtuNedkE6C/bIU3N2WpRWOyJwiNhdOE86FP6PJORs/GdYsK96Hwf4h&#10;ippVCk73pq6ZY2Rlqt9M1RU32urSHXFdR7osKy5CDsgmid9kc79kjQi5oDi22ZfJ/j+z/GZ9Z0hV&#10;oHeUKFajRQ+ideRStyTx1dk0dgzQfQOYa8H2yJ5vwfRJt6Wp/RfpEMhR5+2+tt4YB/M4G8UxJByi&#10;UZKhd6H40Yt2Y6z7JHRNPJFTg96FkrL13Dp4BHQH8c6UnlVShv5JRTawenwSB4W9BBpSeawIk9CZ&#10;wa11IAMfwYUu/ciSYRpfDrPBbHR2Okhn6ckgO43PBnGSXSLyNEuvZz+99SQdL6uiEGpeKbGbmCT9&#10;u470s9v1OszMq8CtllXhs/Kx+VyvpCFrhtFdSMaffdmR0gEqeh1OECO73TdkGfkOdp0KlNtK4e1L&#10;9UWU6HxomGeENyf2LhnnQrnQ61BHoD2qRHjvUezxXrXrwnuU9xrBs1Zur1xXSpvQ7TdhF8+7kMsO&#10;j2Ic5O1J1y7aMPLD3SAvdLHFfBuNucOM2obPKpR/zqy7YwYLAUwsOXeLo5Qaw6Z7ipKlNt//xPf4&#10;nPqTkg0WTE7ttxUzghL5WeEFZ0mawqwLl/TkdIiLOZQsDiVqVV9pDAJeKaILpMc7uSNLo+tH7MKp&#10;9woRUxyR5RTeO/LKdWsPu5SL6TSAsIMa5ubqvuHetK+yH7uH9pGZpn+HDgN1o3eriI3fPMcO6zWV&#10;nq6cLqvwVn2du6r29cf+CmPZ71q/IA/vAfXyR5j8AgAA//8DAFBLAwQUAAYACAAAACEATdQcdeEA&#10;AAANAQAADwAAAGRycy9kb3ducmV2LnhtbEyPy07DMBBF90j8gzVI7KjdkEcb4lS0UjawooDUpRub&#10;JKo9jmy3CX+Pu6K7uZqjO2eqzWw0uSjnB4sclgsGRGFr5YAdh6/P5mkFxAeBUmiLisOv8rCp7+8q&#10;UUo74Ye67ENHYgn6UnDoQxhLSn3bKyP8wo4K4+7HOiNCjK6j0okplhtNE8ZyasSA8UIvRrXrVXva&#10;nw2H7wKLQ95Mb6ctbQ/vxVY/u13D+ePD/PoCJKg5/MNw1Y/qUEenoz2j9ETHnGZFElkOaZYCuRLZ&#10;cp0DOcaJJSwDWlf09ov6DwAA//8DAFBLAQItABQABgAIAAAAIQC2gziS/gAAAOEBAAATAAAAAAAA&#10;AAAAAAAAAAAAAABbQ29udGVudF9UeXBlc10ueG1sUEsBAi0AFAAGAAgAAAAhADj9If/WAAAAlAEA&#10;AAsAAAAAAAAAAAAAAAAALwEAAF9yZWxzLy5yZWxzUEsBAi0AFAAGAAgAAAAhADSNGVbqAgAAWQYA&#10;AA4AAAAAAAAAAAAAAAAALgIAAGRycy9lMm9Eb2MueG1sUEsBAi0AFAAGAAgAAAAhAE3UHHXhAAAA&#10;DQEAAA8AAAAAAAAAAAAAAAAARAUAAGRycy9kb3ducmV2LnhtbFBLBQYAAAAABAAEAPMAAABSBgAA&#10;AAA=&#10;" filled="f" stroked="f" strokeweight=".5pt">
              <v:textbox style="layout-flow:vertical">
                <w:txbxContent>
                  <w:p w:rsidR="00E3704D" w:rsidRPr="00255A9A" w:rsidRDefault="00600DD6" w:rsidP="00044843">
                    <w:pPr>
                      <w:pStyle w:val="Header"/>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p w:rsidR="00E3704D" w:rsidRDefault="00E3704D" w:rsidP="00044843">
                    <w:pPr>
                      <w:pStyle w:val="Header"/>
                      <w:jc w:val="right"/>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061F46" w:rsidRDefault="00E3704D" w:rsidP="00061F46">
    <w:pPr>
      <w:pStyle w:val="Header"/>
    </w:pPr>
    <w:r>
      <w:rPr>
        <w:noProof/>
        <w:lang w:eastAsia="en-AU"/>
      </w:rPr>
      <mc:AlternateContent>
        <mc:Choice Requires="wps">
          <w:drawing>
            <wp:anchor distT="0" distB="0" distL="114300" distR="114300" simplePos="0" relativeHeight="251667456" behindDoc="0" locked="0" layoutInCell="1" allowOverlap="1" wp14:anchorId="7988BADF" wp14:editId="0D75EA7C">
              <wp:simplePos x="0" y="0"/>
              <wp:positionH relativeFrom="column">
                <wp:posOffset>9253220</wp:posOffset>
              </wp:positionH>
              <wp:positionV relativeFrom="paragraph">
                <wp:posOffset>288290</wp:posOffset>
              </wp:positionV>
              <wp:extent cx="396000" cy="6192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061F46">
                          <w:pPr>
                            <w:pStyle w:val="Header"/>
                            <w:jc w:val="right"/>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p w:rsidR="00E3704D" w:rsidRDefault="00E3704D" w:rsidP="00061F4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728.6pt;margin-top:22.7pt;width:31.2pt;height:4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B06wIAAFkGAAAOAAAAZHJzL2Uyb0RvYy54bWysVd9P2zAQfp+0/8Hye0lS0kIqUlRAnSZV&#10;gAYTz65jUwvHzmy3DZv2v+98aUphexjTXhz7fvnuvs+Xs/O21mQjnFfWlDQ7SikRhttKmceSfr2f&#10;D04p8YGZimlrREmfhafn048fzrbNRAztyupKOAJBjJ9sm5KuQmgmSeL5StTMH9lGGFBK62oW4Oge&#10;k8qxLUSvdTJM03Gyta5qnOXCe5BedUo6xfhSCh5upPQiEF1SyC3g6nBdxjWZnrHJo2PNSvFdGuwf&#10;sqiZMnDpPtQVC4ysnfotVK24s97KcMRtnVgpFRdYA1STpW+quVuxRmAt0Bzf7Nvk/19Yfr25dURV&#10;JR1RYlgNEN2LNpAL25JR7M628RMwumvALLQgBpR7uQdhLLqVro5fKIeAHvr8vO9tDMZBeFyM0xQ0&#10;HFTjrADssPnJi3fjfPgkbE3ipqQOsMOWss3CB8gETHuTeJmxc6U14qcN2ULU41GKDnsNeGgTbQUy&#10;oQsDpzbAFuWQHKL0o8iGeXoxLAbz8enJIJ/no0Fxkp4O0qy4gMzzIr+a/4zRs3yyUlUlzEIZ0TMm&#10;y/8OkR13O6yRM68S91arKlYVc4u1XmpHNgyou9SMP8W2Q0kHVsnrdFAN1fVfrDKJCHZI4S48axHj&#10;a/NFSEAeAYsCfHNifyXjXJiAWGMfwTpaSUjvPY47++jaofAe570H3mxN2DvXyliHaL9Ju3rqU5ad&#10;PTTjoO64De2yRcof90Re2uoZ+O0s8A446hs+V9D+BfPhljkYCCCEIRduYJHaAtnsbkfJyrrvf5JH&#10;+5LGlZItDJiS+m9r5gQl+rOBF1xkeQ5hAx7y0ckQDu5QszzUmHV9aYEIGWaH22gfdL+VztYPMAtn&#10;8VZQMcMhs5LC7d32MnRjD2YpF7MZGsEMalhYmLuGx9Cxy5F29+0Dc83uHQYg1LXtRxGbvHmOnW30&#10;NHa2DlYqfKuxz11Xd/2H+YW03M3aOCAPz2j18keY/gIAAP//AwBQSwMEFAAGAAgAAAAhAE3UHHXh&#10;AAAADQEAAA8AAABkcnMvZG93bnJldi54bWxMj8tOwzAQRfdI/IM1SOyo3ZBHG+JUtFI2sKKA1KUb&#10;mySqPY5stwl/j7uiu7maoztnqs1sNLko5weLHJYLBkRha+WAHYevz+ZpBcQHgVJoi4rDr/Kwqe/v&#10;KlFKO+GHuuxDR2IJ+lJw6EMYS0p92ysj/MKOCuPuxzojQoyuo9KJKZYbTRPGcmrEgPFCL0a161V7&#10;2p8Nh+8Ci0PeTG+nLW0P78VWP7tdw/njw/z6AiSoOfzDcNWP6lBHp6M9o/REx5xmRRJZDmmWArkS&#10;2XKdAznGiSUsA1pX9PaL+g8AAP//AwBQSwECLQAUAAYACAAAACEAtoM4kv4AAADhAQAAEwAAAAAA&#10;AAAAAAAAAAAAAAAAW0NvbnRlbnRfVHlwZXNdLnhtbFBLAQItABQABgAIAAAAIQA4/SH/1gAAAJQB&#10;AAALAAAAAAAAAAAAAAAAAC8BAABfcmVscy8ucmVsc1BLAQItABQABgAIAAAAIQCeNRB06wIAAFkG&#10;AAAOAAAAAAAAAAAAAAAAAC4CAABkcnMvZTJvRG9jLnhtbFBLAQItABQABgAIAAAAIQBN1Bx14QAA&#10;AA0BAAAPAAAAAAAAAAAAAAAAAEUFAABkcnMvZG93bnJldi54bWxQSwUGAAAAAAQABADzAAAAUwYA&#10;AAAA&#10;" filled="f" stroked="f" strokeweight=".5pt">
              <v:textbox style="layout-flow:vertical">
                <w:txbxContent>
                  <w:p w:rsidR="00E3704D" w:rsidRPr="00255A9A" w:rsidRDefault="00600DD6" w:rsidP="00061F46">
                    <w:pPr>
                      <w:pStyle w:val="Header"/>
                      <w:jc w:val="right"/>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p w:rsidR="00E3704D" w:rsidRDefault="00E3704D" w:rsidP="00061F46">
                    <w:pPr>
                      <w:pStyle w:val="Header"/>
                      <w:jc w:val="right"/>
                    </w:pP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255A9A">
    <w:pPr>
      <w:pStyle w:val="Header"/>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4</w:t>
      </w:r>
    </w:fldSimple>
    <w:r w:rsidR="00E3704D">
      <w:t xml:space="preserve">. </w:t>
    </w:r>
    <w:fldSimple w:instr=" STYLEREF  &quot;Heading 1&quot;  \* MERGEFORMAT ">
      <w:r w:rsidR="00E3704D">
        <w:rPr>
          <w:noProof/>
        </w:rPr>
        <w:t>Major assets and investments</w:t>
      </w:r>
    </w:fldSimple>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4</w:t>
      </w:r>
    </w:fldSimple>
    <w:r w:rsidR="00E3704D">
      <w:t xml:space="preserve">. </w:t>
    </w:r>
    <w:fldSimple w:instr=" STYLEREF  &quot;Heading 1&quot;  \* MERGEFORMAT ">
      <w:r w:rsidR="003A3C3D">
        <w:rPr>
          <w:noProof/>
        </w:rPr>
        <w:t>Major assets and investments</w:t>
      </w:r>
    </w:fldSimple>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5852CA" w:rsidRDefault="00E3704D" w:rsidP="00574728">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E3704D" w:rsidP="00790E40">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5852CA" w:rsidRDefault="00600DD6" w:rsidP="00790E40">
    <w:pPr>
      <w:pStyle w:val="Header"/>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574728">
    <w:pPr>
      <w:pStyle w:val="Header"/>
      <w:jc w:val="right"/>
    </w:pPr>
    <w:fldSimple w:instr=" STYLEREF  &quot;Heading 1&quot; \n  \* MERGEFORMAT ">
      <w:r w:rsidR="00E3704D">
        <w:rPr>
          <w:noProof/>
        </w:rPr>
        <w:t>5</w:t>
      </w:r>
    </w:fldSimple>
    <w:r w:rsidR="00E3704D">
      <w:t xml:space="preserve">. </w:t>
    </w:r>
    <w:fldSimple w:instr=" STYLEREF  &quot;Heading 1&quot;  \* MERGEFORMAT ">
      <w:r w:rsidR="00E3704D">
        <w:rPr>
          <w:noProof/>
        </w:rPr>
        <w:t>Financing state operations</w:t>
      </w:r>
    </w:fldSimple>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271E79">
    <w:pPr>
      <w:pStyle w:val="Header"/>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D21019" w:rsidRDefault="00E3704D" w:rsidP="00044843">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BC6724">
    <w:pPr>
      <w:pStyle w:val="Header"/>
    </w:pPr>
    <w:fldSimple w:instr=" STYLEREF  &quot;Heading 1&quot; \n  \* MERGEFORMAT ">
      <w:r w:rsidR="00E3704D">
        <w:rPr>
          <w:noProof/>
        </w:rPr>
        <w:t>5</w:t>
      </w:r>
    </w:fldSimple>
    <w:r w:rsidR="00E3704D">
      <w:t xml:space="preserve">. </w:t>
    </w:r>
    <w:fldSimple w:instr=" STYLEREF  &quot;Heading 1&quot;  \* MERGEFORMAT ">
      <w:r w:rsidR="00E3704D">
        <w:rPr>
          <w:noProof/>
        </w:rPr>
        <w:t>Financing state operations</w:t>
      </w:r>
    </w:fldSimple>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061F46" w:rsidRDefault="00E3704D" w:rsidP="00061F46">
    <w:pPr>
      <w:pStyle w:val="Header"/>
    </w:pPr>
    <w:r>
      <w:rPr>
        <w:noProof/>
        <w:lang w:eastAsia="en-AU"/>
      </w:rPr>
      <mc:AlternateContent>
        <mc:Choice Requires="wps">
          <w:drawing>
            <wp:anchor distT="0" distB="0" distL="114300" distR="114300" simplePos="0" relativeHeight="251669504" behindDoc="0" locked="0" layoutInCell="1" allowOverlap="1" wp14:anchorId="59C0ECD2" wp14:editId="594A0D87">
              <wp:simplePos x="0" y="0"/>
              <wp:positionH relativeFrom="column">
                <wp:posOffset>9253220</wp:posOffset>
              </wp:positionH>
              <wp:positionV relativeFrom="paragraph">
                <wp:posOffset>288290</wp:posOffset>
              </wp:positionV>
              <wp:extent cx="396000" cy="619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030286">
                          <w:pPr>
                            <w:pStyle w:val="Header"/>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p w:rsidR="00E3704D" w:rsidRDefault="00E3704D" w:rsidP="00061F4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728.6pt;margin-top:22.7pt;width:31.2pt;height:48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Wf6gIAAFkGAAAOAAAAZHJzL2Uyb0RvYy54bWysVV1P2zAUfZ+0/2D5vSQpoZCKFBVQp0kV&#10;oMHEs+s4NMKxM9tt00377zt20lLYHsa0F8e+X773nuOb84u2lmQtjK20ymlyFFMiFNdFpZ5y+vVh&#10;NjijxDqmCia1EjndCksvJh8/nG+asRjqpZaFMARBlB1vmpwunWvGUWT5UtTMHulGKChLbWrmcDRP&#10;UWHYBtFrGQ3jeBRttCkao7mwFtLrTkknIX5ZCu5uy9IKR2ROkZsLqwnrwq/R5JyNnwxrlhXv02D/&#10;kEXNKoVL96GumWNkZarfQtUVN9rq0h1xXUe6LCsuQg2oJonfVHO/ZI0ItaA5ttm3yf6/sPxmfWdI&#10;VeR0RIliNSB6EK0jl7olI9+dTWPHMLpvYOZaiIHyTm4h9EW3pan9F+UQ6NHn7b63PhiH8DgbxTE0&#10;HKpRkgG70Pzoxbsx1n0SuiZ+k1MD7EJL2XpuHTKB6c7EX6b0rJIy4CcV2SDq8UkcHPYaeEjlbUVg&#10;QhcGp9ZhG+RILqD0I0uGaXw5zAaz0dnpIJ2lJ4PsND4bxEl2iczTLL2e/fTRk3S8rIpCqHmlxI4x&#10;Sfp3iPTc7bAOnHmVuNWyKnxVPjdf65U0ZM1A3YVk/Nm3HSUdWEWv0wlqVLf7hiojj2CHVNi5rRQ+&#10;vlRfRAnkA2BeEN6c2F/JOBfKBaxDH2HtrUqk9x7H3t67dii8x3nvEW7Wyu2d60ppE9B+k3bxvEu5&#10;7OzRjIO6/da1i7anfE/whS624LfR4B04ahs+q9D+ObPujhkMBAgx5NwtllJqkE33O0qW2nz/k9zb&#10;59SvlGwwYHJqv62YEZTIzwovOEvSFGFdOKQnp0MczKFmcahRq/pKgwhJyC5svb2Tu21pdP2IWTj1&#10;t0LFFEdmOcXt3fbKdWMPs5SL6TQYYQY1zM3VfcN9aN9lT7uH9pGZpn+HDoS60btRxMZvnmNn6z2V&#10;nq6cLqvwVn2fu672/cf8CrTsZ60fkIfnYPXyR5j8AgAA//8DAFBLAwQUAAYACAAAACEATdQcdeEA&#10;AAANAQAADwAAAGRycy9kb3ducmV2LnhtbEyPy07DMBBF90j8gzVI7KjdkEcb4lS0UjawooDUpRub&#10;JKo9jmy3CX+Pu6K7uZqjO2eqzWw0uSjnB4sclgsGRGFr5YAdh6/P5mkFxAeBUmiLisOv8rCp7+8q&#10;UUo74Ye67ENHYgn6UnDoQxhLSn3bKyP8wo4K4+7HOiNCjK6j0okplhtNE8ZyasSA8UIvRrXrVXva&#10;nw2H7wKLQ95Mb6ctbQ/vxVY/u13D+ePD/PoCJKg5/MNw1Y/qUEenoz2j9ETHnGZFElkOaZYCuRLZ&#10;cp0DOcaJJSwDWlf09ov6DwAA//8DAFBLAQItABQABgAIAAAAIQC2gziS/gAAAOEBAAATAAAAAAAA&#10;AAAAAAAAAAAAAABbQ29udGVudF9UeXBlc10ueG1sUEsBAi0AFAAGAAgAAAAhADj9If/WAAAAlAEA&#10;AAsAAAAAAAAAAAAAAAAALwEAAF9yZWxzLy5yZWxzUEsBAi0AFAAGAAgAAAAhAPAHlZ/qAgAAWQYA&#10;AA4AAAAAAAAAAAAAAAAALgIAAGRycy9lMm9Eb2MueG1sUEsBAi0AFAAGAAgAAAAhAE3UHHXhAAAA&#10;DQEAAA8AAAAAAAAAAAAAAAAARAUAAGRycy9kb3ducmV2LnhtbFBLBQYAAAAABAAEAPMAAABSBgAA&#10;AAA=&#10;" filled="f" stroked="f" strokeweight=".5pt">
              <v:textbox style="layout-flow:vertical">
                <w:txbxContent>
                  <w:p w:rsidR="00E3704D" w:rsidRPr="00255A9A" w:rsidRDefault="00600DD6" w:rsidP="00030286">
                    <w:pPr>
                      <w:pStyle w:val="Header"/>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p w:rsidR="00E3704D" w:rsidRDefault="00E3704D" w:rsidP="00061F46">
                    <w:pPr>
                      <w:pStyle w:val="Header"/>
                      <w:jc w:val="right"/>
                    </w:pP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1324C2" w:rsidRDefault="00E3704D" w:rsidP="001324C2">
    <w:pPr>
      <w:pStyle w:val="Header"/>
    </w:pPr>
    <w:r>
      <w:rPr>
        <w:noProof/>
        <w:lang w:eastAsia="en-AU"/>
      </w:rPr>
      <mc:AlternateContent>
        <mc:Choice Requires="wps">
          <w:drawing>
            <wp:anchor distT="0" distB="0" distL="114300" distR="114300" simplePos="0" relativeHeight="251671552" behindDoc="0" locked="0" layoutInCell="1" allowOverlap="1" wp14:anchorId="08F5DAB3" wp14:editId="5AD3B2A8">
              <wp:simplePos x="0" y="0"/>
              <wp:positionH relativeFrom="column">
                <wp:posOffset>9253220</wp:posOffset>
              </wp:positionH>
              <wp:positionV relativeFrom="paragraph">
                <wp:posOffset>288290</wp:posOffset>
              </wp:positionV>
              <wp:extent cx="396000" cy="619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3704D" w:rsidRPr="00255A9A" w:rsidRDefault="00600DD6" w:rsidP="001324C2">
                          <w:pPr>
                            <w:pStyle w:val="Header"/>
                            <w:jc w:val="right"/>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p w:rsidR="00E3704D" w:rsidRDefault="00E3704D" w:rsidP="001324C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728.6pt;margin-top:22.7pt;width:31.2pt;height:48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cB6gIAAFkGAAAOAAAAZHJzL2Uyb0RvYy54bWysVV1P2zAUfZ+0/2D5vSQpoSUVKSqgTpMq&#10;QIOJZ9dxaIRjZ7bbhk377zt20lLYHsa0F8e+X773nuObs/O2lmQjjK20ymlyFFMiFNdFpR5z+vV+&#10;PjilxDqmCia1Ejl9FpaeTz9+ONs2EzHUKy0LYQiCKDvZNjldOddMosjylaiZPdKNUFCW2tTM4Wge&#10;o8KwLaLXMhrG8SjaalM0RnNhLaRXnZJOQ/yyFNzdlKUVjsicIjcXVhPWpV+j6RmbPBrWrCrep8H+&#10;IYuaVQqX7kNdMcfI2lS/haorbrTVpTviuo50WVZchBpQTRK/qeZuxRoRakFzbLNvk/1/Yfn15taQ&#10;qsjpmBLFakB0L1pHLnRLxr4728ZOYHTXwMy1EAPlndxC6ItuS1P7L8oh0KPPz/ve+mAcwuNsFMfQ&#10;cKhGSQbsQvOjF+/GWPdJ6Jr4TU4NsAstZZuFdcgEpjsTf5nS80rKgJ9UZIuoxydxcNhr4CGVtxWB&#10;CV0YnFqHbZAjuYDSjywZpvHFMBvMR6fjQTpPTwbZOD4dxEl2gczTLL2a//TRk3SyqopCqEWlxI4x&#10;Sfp3iPTc7bAOnHmVuNWyKnxVPjdf66U0ZMNA3aVk/Mm3HSUdWEWv0wlqVLf7hiojj2CHVNi5Zyl8&#10;fKm+iBLIB8C8ILw5sb+ScS6UC1iHPsLaW5VI7z2Ovb137VB4j/PeI9yslds715XSJqD9Ju3iaZdy&#10;2dmjGQd1+61rl21P+Z7gS108g99Gg3fgqG34vEL7F8y6W2YwECDEkHM3WEqpQTbd7yhZafP9T3Jv&#10;n1O/UrLFgMmp/bZmRlAiPyu84CxJU4R14ZCejIc4mEPN8lCj1vWlBhGSkF3Yensnd9vS6PoBs3Dm&#10;b4WKKY7Mcorbu+2l68YeZikXs1kwwgxqmFuou4b70L7Lnnb37QMzTf8OHQh1rXejiE3ePMfO1nsq&#10;PVs7XVbhrfo+d13t+4/5FWjZz1o/IA/PwerljzD9BQAA//8DAFBLAwQUAAYACAAAACEATdQcdeEA&#10;AAANAQAADwAAAGRycy9kb3ducmV2LnhtbEyPy07DMBBF90j8gzVI7KjdkEcb4lS0UjawooDUpRub&#10;JKo9jmy3CX+Pu6K7uZqjO2eqzWw0uSjnB4sclgsGRGFr5YAdh6/P5mkFxAeBUmiLisOv8rCp7+8q&#10;UUo74Ye67ENHYgn6UnDoQxhLSn3bKyP8wo4K4+7HOiNCjK6j0okplhtNE8ZyasSA8UIvRrXrVXva&#10;nw2H7wKLQ95Mb6ctbQ/vxVY/u13D+ePD/PoCJKg5/MNw1Y/qUEenoz2j9ETHnGZFElkOaZYCuRLZ&#10;cp0DOcaJJSwDWlf09ov6DwAA//8DAFBLAQItABQABgAIAAAAIQC2gziS/gAAAOEBAAATAAAAAAAA&#10;AAAAAAAAAAAAAABbQ29udGVudF9UeXBlc10ueG1sUEsBAi0AFAAGAAgAAAAhADj9If/WAAAAlAEA&#10;AAsAAAAAAAAAAAAAAAAALwEAAF9yZWxzLy5yZWxzUEsBAi0AFAAGAAgAAAAhAKp21wHqAgAAWQYA&#10;AA4AAAAAAAAAAAAAAAAALgIAAGRycy9lMm9Eb2MueG1sUEsBAi0AFAAGAAgAAAAhAE3UHHXhAAAA&#10;DQEAAA8AAAAAAAAAAAAAAAAARAUAAGRycy9kb3ducmV2LnhtbFBLBQYAAAAABAAEAPMAAABSBgAA&#10;AAA=&#10;" filled="f" stroked="f" strokeweight=".5pt">
              <v:textbox style="layout-flow:vertical">
                <w:txbxContent>
                  <w:p w:rsidR="00E3704D" w:rsidRPr="00255A9A" w:rsidRDefault="00600DD6" w:rsidP="001324C2">
                    <w:pPr>
                      <w:pStyle w:val="Header"/>
                      <w:jc w:val="right"/>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p w:rsidR="00E3704D" w:rsidRDefault="00E3704D" w:rsidP="001324C2">
                    <w:pPr>
                      <w:pStyle w:val="Header"/>
                      <w:jc w:val="right"/>
                    </w:pP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5</w:t>
      </w:r>
    </w:fldSimple>
    <w:r w:rsidR="00E3704D">
      <w:t xml:space="preserve">. </w:t>
    </w:r>
    <w:fldSimple w:instr=" STYLEREF  &quot;Heading 1&quot;  \* MERGEFORMAT ">
      <w:r w:rsidR="00E3704D">
        <w:rPr>
          <w:noProof/>
        </w:rPr>
        <w:t>Financing state operations</w:t>
      </w:r>
    </w:fldSimple>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3A3C3D">
        <w:rPr>
          <w:noProof/>
        </w:rPr>
        <w:t>5</w:t>
      </w:r>
    </w:fldSimple>
    <w:r w:rsidR="00E3704D">
      <w:t xml:space="preserve">. </w:t>
    </w:r>
    <w:fldSimple w:instr=" STYLEREF  &quot;Heading 1&quot;  \* MERGEFORMAT ">
      <w:r w:rsidR="003A3C3D">
        <w:rPr>
          <w:noProof/>
        </w:rPr>
        <w:t>Financing state operations</w:t>
      </w:r>
    </w:fldSimple>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A2094F">
    <w:pPr>
      <w:pStyle w:val="Header"/>
    </w:pPr>
    <w:fldSimple w:instr=" STYLEREF  &quot;Heading 1&quot; \n  \* MERGEFORMAT ">
      <w:r w:rsidR="00E3704D">
        <w:rPr>
          <w:noProof/>
        </w:rPr>
        <w:t>5</w:t>
      </w:r>
    </w:fldSimple>
    <w:r w:rsidR="00E3704D">
      <w:t xml:space="preserve">. </w:t>
    </w:r>
    <w:fldSimple w:instr=" STYLEREF  &quot;Heading 1&quot;  \* MERGEFORMAT ">
      <w:r w:rsidR="00E3704D">
        <w:rPr>
          <w:noProof/>
        </w:rPr>
        <w:t>Financing state operations</w:t>
      </w:r>
    </w:fldSimple>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600DD6" w:rsidP="00574728">
    <w:pPr>
      <w:pStyle w:val="Header"/>
      <w:jc w:val="right"/>
    </w:pPr>
    <w:fldSimple w:instr=" STYLEREF  &quot;Heading 1&quot; \n  \* MERGEFORMAT ">
      <w:r w:rsidR="00E3704D">
        <w:rPr>
          <w:noProof/>
        </w:rPr>
        <w:t>5</w:t>
      </w:r>
    </w:fldSimple>
    <w:r w:rsidR="00E3704D">
      <w:t xml:space="preserve">. </w:t>
    </w:r>
    <w:fldSimple w:instr=" STYLEREF  &quot;Heading 1&quot;  \* MERGEFORMAT ">
      <w:r w:rsidR="00E3704D">
        <w:rPr>
          <w:noProof/>
        </w:rPr>
        <w:t>Financing state operations</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F0409B" w:rsidRDefault="00E3704D" w:rsidP="00044843">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E3704D" w:rsidP="00A2094F">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CE30BD" w:rsidRDefault="00E3704D" w:rsidP="00574728">
    <w:pPr>
      <w:pStyle w:val="Header"/>
      <w:jc w:val="righ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790E40">
    <w:pPr>
      <w:pStyle w:val="Header"/>
    </w:pPr>
    <w:fldSimple w:instr=" STYLEREF  &quot;Heading 1&quot; \n  \* MERGEFORMAT ">
      <w:r w:rsidR="00E3704D">
        <w:rPr>
          <w:noProof/>
        </w:rPr>
        <w:t>6</w:t>
      </w:r>
    </w:fldSimple>
    <w:r w:rsidR="00E3704D">
      <w:t xml:space="preserve">. </w:t>
    </w:r>
    <w:fldSimple w:instr=" STYLEREF  &quot;Heading 1&quot;  \* MERGEFORMAT ">
      <w:r w:rsidR="00E3704D">
        <w:rPr>
          <w:noProof/>
        </w:rPr>
        <w:t>Other assets and liabilities</w:t>
      </w:r>
    </w:fldSimple>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600DD6" w:rsidP="00044843">
    <w:pPr>
      <w:pStyle w:val="Header"/>
      <w:jc w:val="right"/>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790E40" w:rsidRDefault="00600DD6" w:rsidP="00790E40">
    <w:pPr>
      <w:pStyle w:val="Header"/>
    </w:pPr>
    <w:fldSimple w:instr=" STYLEREF  &quot;Heading 1&quot; \n  \* MERGEFORMAT ">
      <w:r w:rsidR="00E3704D">
        <w:rPr>
          <w:noProof/>
        </w:rPr>
        <w:t>6</w:t>
      </w:r>
    </w:fldSimple>
    <w:r w:rsidR="00E3704D">
      <w:t xml:space="preserve">. </w:t>
    </w:r>
    <w:fldSimple w:instr=" STYLEREF  &quot;Heading 1&quot;  \* MERGEFORMAT ">
      <w:r w:rsidR="00E3704D">
        <w:rPr>
          <w:noProof/>
        </w:rPr>
        <w:t>Other assets and liabilities</w:t>
      </w:r>
    </w:fldSimple>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600DD6" w:rsidP="00790E40">
    <w:pPr>
      <w:pStyle w:val="Header"/>
    </w:pPr>
    <w:fldSimple w:instr=" STYLEREF  &quot;Heading 1&quot; \n  \* MERGEFORMAT ">
      <w:r w:rsidR="00E3704D">
        <w:rPr>
          <w:noProof/>
        </w:rPr>
        <w:t>6</w:t>
      </w:r>
    </w:fldSimple>
    <w:r w:rsidR="00E3704D">
      <w:t xml:space="preserve">. </w:t>
    </w:r>
    <w:fldSimple w:instr=" STYLEREF  &quot;Heading 1&quot;  \* MERGEFORMAT ">
      <w:r w:rsidR="00E3704D">
        <w:rPr>
          <w:noProof/>
        </w:rPr>
        <w:t>Other assets and liabilities</w:t>
      </w:r>
    </w:fldSimple>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BC6724">
    <w:pPr>
      <w:pStyle w:val="Header"/>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600DD6" w:rsidP="00574728">
    <w:pPr>
      <w:pStyle w:val="Header"/>
      <w:jc w:val="right"/>
    </w:pPr>
    <w:fldSimple w:instr=" STYLEREF  &quot;Heading 1&quot; \n  \* MERGEFORMAT ">
      <w:r w:rsidR="00E3704D">
        <w:rPr>
          <w:noProof/>
        </w:rPr>
        <w:t>6</w:t>
      </w:r>
    </w:fldSimple>
    <w:r w:rsidR="00E3704D">
      <w:t xml:space="preserve">. </w:t>
    </w:r>
    <w:fldSimple w:instr=" STYLEREF  &quot;Heading 1&quot;  \* MERGEFORMAT ">
      <w:r w:rsidR="00E3704D">
        <w:rPr>
          <w:noProof/>
        </w:rPr>
        <w:t>Other assets and liabilities</w:t>
      </w:r>
    </w:fldSimple>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255A9A" w:rsidRDefault="00600DD6" w:rsidP="00BC6724">
    <w:pPr>
      <w:pStyle w:val="Header"/>
    </w:pPr>
    <w:fldSimple w:instr=" STYLEREF  &quot;Heading 1&quot; \n  \* MERGEFORMAT ">
      <w:r w:rsidR="00E3704D">
        <w:rPr>
          <w:noProof/>
        </w:rPr>
        <w:t>6</w:t>
      </w:r>
    </w:fldSimple>
    <w:r w:rsidR="00E3704D">
      <w:t xml:space="preserve">. </w:t>
    </w:r>
    <w:fldSimple w:instr=" STYLEREF  &quot;Heading 1&quot;  \* MERGEFORMAT ">
      <w:r w:rsidR="00E3704D">
        <w:rPr>
          <w:noProof/>
        </w:rPr>
        <w:t>Other assets and liabilities</w:t>
      </w:r>
    </w:fldSimple>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4D" w:rsidRPr="00AB724F" w:rsidRDefault="00600DD6" w:rsidP="00574728">
    <w:pPr>
      <w:pStyle w:val="Header"/>
      <w:jc w:val="right"/>
    </w:pPr>
    <w:fldSimple w:instr=" STYLEREF  &quot;Heading 1&quot; \n  \* MERGEFORMAT ">
      <w:r w:rsidR="003A3C3D">
        <w:rPr>
          <w:noProof/>
        </w:rPr>
        <w:t>6</w:t>
      </w:r>
    </w:fldSimple>
    <w:r w:rsidR="00E3704D">
      <w:t xml:space="preserve">. </w:t>
    </w:r>
    <w:fldSimple w:instr=" STYLEREF  &quot;Heading 1&quot;  \* MERGEFORMAT ">
      <w:r w:rsidR="003A3C3D">
        <w:rPr>
          <w:noProof/>
        </w:rPr>
        <w:t>Other assets and liabilities</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BCB7F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91A6D7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BFE5078"/>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78166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A8A091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52C80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4EEE4A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562804"/>
    <w:lvl w:ilvl="0">
      <w:start w:val="1"/>
      <w:numFmt w:val="bullet"/>
      <w:lvlText w:val=""/>
      <w:lvlJc w:val="left"/>
      <w:pPr>
        <w:tabs>
          <w:tab w:val="num" w:pos="643"/>
        </w:tabs>
        <w:ind w:left="643" w:hanging="360"/>
      </w:pPr>
      <w:rPr>
        <w:rFonts w:ascii="Symbol" w:hAnsi="Symbol" w:hint="default"/>
      </w:rPr>
    </w:lvl>
  </w:abstractNum>
  <w:abstractNum w:abstractNumId="8">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074334A3"/>
    <w:multiLevelType w:val="hybridMultilevel"/>
    <w:tmpl w:val="F6C47BFE"/>
    <w:lvl w:ilvl="0" w:tplc="22266C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077841F7"/>
    <w:multiLevelType w:val="hybridMultilevel"/>
    <w:tmpl w:val="D924D316"/>
    <w:lvl w:ilvl="0" w:tplc="883E35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091705"/>
    <w:multiLevelType w:val="multilevel"/>
    <w:tmpl w:val="A566B5C6"/>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2">
    <w:nsid w:val="0B822443"/>
    <w:multiLevelType w:val="hybridMultilevel"/>
    <w:tmpl w:val="895C0C66"/>
    <w:lvl w:ilvl="0" w:tplc="5074D26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4E41F50"/>
    <w:multiLevelType w:val="multilevel"/>
    <w:tmpl w:val="05C22A0C"/>
    <w:styleLink w:val="ListAlphaStyle"/>
    <w:lvl w:ilvl="0">
      <w:start w:val="1"/>
      <w:numFmt w:val="lowerLetter"/>
      <w:pStyle w:val="ListAlpha"/>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7FE2394"/>
    <w:multiLevelType w:val="hybridMultilevel"/>
    <w:tmpl w:val="26002C0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nsid w:val="1C31280D"/>
    <w:multiLevelType w:val="singleLevel"/>
    <w:tmpl w:val="4464174C"/>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25F56105"/>
    <w:multiLevelType w:val="hybridMultilevel"/>
    <w:tmpl w:val="7AB290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8">
    <w:nsid w:val="285C08AE"/>
    <w:multiLevelType w:val="multilevel"/>
    <w:tmpl w:val="86BA075E"/>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nsid w:val="2A901256"/>
    <w:multiLevelType w:val="multilevel"/>
    <w:tmpl w:val="3182D60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C422975"/>
    <w:multiLevelType w:val="hybridMultilevel"/>
    <w:tmpl w:val="B5F025FE"/>
    <w:lvl w:ilvl="0" w:tplc="BA68A4D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A55B2F"/>
    <w:multiLevelType w:val="multilevel"/>
    <w:tmpl w:val="EFCE6D40"/>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nsid w:val="30D81DD3"/>
    <w:multiLevelType w:val="multilevel"/>
    <w:tmpl w:val="EFCE6D40"/>
    <w:numStyleLink w:val="Bullet"/>
  </w:abstractNum>
  <w:abstractNum w:abstractNumId="23">
    <w:nsid w:val="32940CD5"/>
    <w:multiLevelType w:val="multilevel"/>
    <w:tmpl w:val="EFCE6D40"/>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nsid w:val="442C0FFE"/>
    <w:multiLevelType w:val="hybridMultilevel"/>
    <w:tmpl w:val="A998C1B0"/>
    <w:lvl w:ilvl="0" w:tplc="9F388E5C">
      <w:start w:val="1"/>
      <w:numFmt w:val="bullet"/>
      <w:lvlText w:val=""/>
      <w:lvlJc w:val="righ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62271B"/>
    <w:multiLevelType w:val="multilevel"/>
    <w:tmpl w:val="05C22A0C"/>
    <w:numStyleLink w:val="ListAlphaStyle"/>
  </w:abstractNum>
  <w:abstractNum w:abstractNumId="28">
    <w:nsid w:val="583A64FD"/>
    <w:multiLevelType w:val="hybridMultilevel"/>
    <w:tmpl w:val="D75C9412"/>
    <w:lvl w:ilvl="0" w:tplc="8ADCB44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F6D2372"/>
    <w:multiLevelType w:val="hybridMultilevel"/>
    <w:tmpl w:val="9BEC2E06"/>
    <w:lvl w:ilvl="0" w:tplc="888027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2"/>
    <w:lvlOverride w:ilvl="4">
      <w:lvl w:ilvl="4">
        <w:start w:val="1"/>
        <w:numFmt w:val="lowerLetter"/>
        <w:lvlText w:val="(%5)"/>
        <w:lvlJc w:val="left"/>
        <w:pPr>
          <w:ind w:left="1420" w:hanging="284"/>
        </w:pPr>
        <w:rPr>
          <w:rFonts w:hint="default"/>
        </w:rPr>
      </w:lvl>
    </w:lvlOverride>
  </w:num>
  <w:num w:numId="3">
    <w:abstractNumId w:val="26"/>
  </w:num>
  <w:num w:numId="4">
    <w:abstractNumId w:val="19"/>
  </w:num>
  <w:num w:numId="5">
    <w:abstractNumId w:val="13"/>
  </w:num>
  <w:num w:numId="6">
    <w:abstractNumId w:val="27"/>
  </w:num>
  <w:num w:numId="7">
    <w:abstractNumId w:val="25"/>
  </w:num>
  <w:num w:numId="8">
    <w:abstractNumId w:val="17"/>
  </w:num>
  <w:num w:numId="9">
    <w:abstractNumId w:val="22"/>
    <w:lvlOverride w:ilvl="1">
      <w:lvl w:ilvl="1">
        <w:start w:val="1"/>
        <w:numFmt w:val="bullet"/>
        <w:pStyle w:val="ListBullet2"/>
        <w:lvlText w:val="–"/>
        <w:lvlJc w:val="left"/>
        <w:pPr>
          <w:ind w:left="568" w:hanging="284"/>
        </w:pPr>
        <w:rPr>
          <w:rFonts w:ascii="Arial" w:hAnsi="Arial" w:hint="default"/>
          <w:b w:val="0"/>
        </w:rPr>
      </w:lvl>
    </w:lvlOverride>
    <w:lvlOverride w:ilvl="4">
      <w:lvl w:ilvl="4">
        <w:start w:val="1"/>
        <w:numFmt w:val="lowerLetter"/>
        <w:lvlText w:val="(%5)"/>
        <w:lvlJc w:val="left"/>
        <w:pPr>
          <w:ind w:left="1420" w:hanging="284"/>
        </w:pPr>
        <w:rPr>
          <w:rFonts w:hint="default"/>
        </w:rPr>
      </w:lvl>
    </w:lvlOverride>
  </w:num>
  <w:num w:numId="10">
    <w:abstractNumId w:val="8"/>
  </w:num>
  <w:num w:numId="11">
    <w:abstractNumId w:val="22"/>
    <w:lvlOverride w:ilvl="0">
      <w:lvl w:ilvl="0">
        <w:start w:val="1"/>
        <w:numFmt w:val="bullet"/>
        <w:pStyle w:val="ListBullet"/>
        <w:lvlText w:val=""/>
        <w:lvlJc w:val="left"/>
        <w:pPr>
          <w:ind w:left="284" w:hanging="284"/>
        </w:pPr>
        <w:rPr>
          <w:rFonts w:ascii="Symbol" w:hAnsi="Symbol" w:hint="default"/>
        </w:rPr>
      </w:lvl>
    </w:lvlOverride>
    <w:lvlOverride w:ilvl="1">
      <w:lvl w:ilvl="1">
        <w:start w:val="1"/>
        <w:numFmt w:val="bullet"/>
        <w:pStyle w:val="ListBullet2"/>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
    <w:abstractNumId w:val="9"/>
  </w:num>
  <w:num w:numId="13">
    <w:abstractNumId w:val="12"/>
  </w:num>
  <w:num w:numId="14">
    <w:abstractNumId w:val="14"/>
  </w:num>
  <w:num w:numId="15">
    <w:abstractNumId w:val="18"/>
  </w:num>
  <w:num w:numId="16">
    <w:abstractNumId w:val="22"/>
    <w:lvlOverride w:ilvl="0">
      <w:lvl w:ilvl="0">
        <w:start w:val="1"/>
        <w:numFmt w:val="bullet"/>
        <w:pStyle w:val="ListBullet"/>
        <w:lvlText w:val=""/>
        <w:lvlJc w:val="left"/>
        <w:pPr>
          <w:ind w:left="426" w:hanging="284"/>
        </w:pPr>
        <w:rPr>
          <w:rFonts w:ascii="Symbol" w:hAnsi="Symbol" w:hint="default"/>
        </w:rPr>
      </w:lvl>
    </w:lvlOverride>
    <w:lvlOverride w:ilvl="1">
      <w:lvl w:ilvl="1">
        <w:start w:val="1"/>
        <w:numFmt w:val="bullet"/>
        <w:pStyle w:val="ListBullet2"/>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7">
    <w:abstractNumId w:val="19"/>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8">
    <w:abstractNumId w:val="19"/>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1"/>
    <w:lvlOverride w:ilvl="4">
      <w:lvl w:ilvl="4">
        <w:start w:val="1"/>
        <w:numFmt w:val="lowerLetter"/>
        <w:lvlText w:val="(%5)"/>
        <w:lvlJc w:val="left"/>
        <w:pPr>
          <w:ind w:left="1420" w:hanging="284"/>
        </w:pPr>
        <w:rPr>
          <w:rFonts w:hint="default"/>
        </w:rPr>
      </w:lvl>
    </w:lvlOverride>
  </w:num>
  <w:num w:numId="21">
    <w:abstractNumId w:val="10"/>
  </w:num>
  <w:num w:numId="22">
    <w:abstractNumId w:val="19"/>
    <w:lvlOverride w:ilvl="0">
      <w:startOverride w:val="7"/>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6"/>
  </w:num>
  <w:num w:numId="25">
    <w:abstractNumId w:val="29"/>
  </w:num>
  <w:num w:numId="26">
    <w:abstractNumId w:val="28"/>
  </w:num>
  <w:num w:numId="27">
    <w:abstractNumId w:val="22"/>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24"/>
  </w:num>
  <w:num w:numId="31">
    <w:abstractNumId w:val="20"/>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0F4"/>
    <w:rsid w:val="00001A3C"/>
    <w:rsid w:val="00001A43"/>
    <w:rsid w:val="000024DB"/>
    <w:rsid w:val="00004E83"/>
    <w:rsid w:val="00005767"/>
    <w:rsid w:val="000068BC"/>
    <w:rsid w:val="0001272A"/>
    <w:rsid w:val="00013CBA"/>
    <w:rsid w:val="0001564A"/>
    <w:rsid w:val="00016EFF"/>
    <w:rsid w:val="00017EF2"/>
    <w:rsid w:val="000256AE"/>
    <w:rsid w:val="00030286"/>
    <w:rsid w:val="00031C5E"/>
    <w:rsid w:val="00033305"/>
    <w:rsid w:val="000341AE"/>
    <w:rsid w:val="00037BF8"/>
    <w:rsid w:val="00044843"/>
    <w:rsid w:val="0004490F"/>
    <w:rsid w:val="0004749E"/>
    <w:rsid w:val="00047BE7"/>
    <w:rsid w:val="00055A63"/>
    <w:rsid w:val="00056736"/>
    <w:rsid w:val="00057EFB"/>
    <w:rsid w:val="00061F46"/>
    <w:rsid w:val="00064F49"/>
    <w:rsid w:val="00065714"/>
    <w:rsid w:val="00070AD3"/>
    <w:rsid w:val="000717AA"/>
    <w:rsid w:val="00073219"/>
    <w:rsid w:val="00073EFA"/>
    <w:rsid w:val="000740AE"/>
    <w:rsid w:val="00075BF8"/>
    <w:rsid w:val="00077DCB"/>
    <w:rsid w:val="00080035"/>
    <w:rsid w:val="00081081"/>
    <w:rsid w:val="00082872"/>
    <w:rsid w:val="00083BD4"/>
    <w:rsid w:val="000869D5"/>
    <w:rsid w:val="0009147C"/>
    <w:rsid w:val="00091E3A"/>
    <w:rsid w:val="000930A2"/>
    <w:rsid w:val="000A03F9"/>
    <w:rsid w:val="000A07AD"/>
    <w:rsid w:val="000A2CDF"/>
    <w:rsid w:val="000A35D3"/>
    <w:rsid w:val="000B2C64"/>
    <w:rsid w:val="000B6777"/>
    <w:rsid w:val="000B6ED1"/>
    <w:rsid w:val="000C1B0B"/>
    <w:rsid w:val="000C366F"/>
    <w:rsid w:val="000C68FD"/>
    <w:rsid w:val="000C6A23"/>
    <w:rsid w:val="000C6A26"/>
    <w:rsid w:val="000D0B5D"/>
    <w:rsid w:val="000D0ECF"/>
    <w:rsid w:val="000D5949"/>
    <w:rsid w:val="000D6874"/>
    <w:rsid w:val="000E037E"/>
    <w:rsid w:val="000E04E7"/>
    <w:rsid w:val="000E1861"/>
    <w:rsid w:val="000E1A6C"/>
    <w:rsid w:val="000E2126"/>
    <w:rsid w:val="000E2243"/>
    <w:rsid w:val="000E28B3"/>
    <w:rsid w:val="000E2B4C"/>
    <w:rsid w:val="000E4205"/>
    <w:rsid w:val="000E48A2"/>
    <w:rsid w:val="000E4E86"/>
    <w:rsid w:val="000E63C6"/>
    <w:rsid w:val="000F140B"/>
    <w:rsid w:val="000F14AE"/>
    <w:rsid w:val="000F5BCA"/>
    <w:rsid w:val="00102F75"/>
    <w:rsid w:val="00103DE5"/>
    <w:rsid w:val="00104A45"/>
    <w:rsid w:val="00104F1A"/>
    <w:rsid w:val="0010780E"/>
    <w:rsid w:val="00112979"/>
    <w:rsid w:val="001129BF"/>
    <w:rsid w:val="00113667"/>
    <w:rsid w:val="00115063"/>
    <w:rsid w:val="00120B97"/>
    <w:rsid w:val="001212DB"/>
    <w:rsid w:val="001217DD"/>
    <w:rsid w:val="001227F0"/>
    <w:rsid w:val="001229D8"/>
    <w:rsid w:val="00124F13"/>
    <w:rsid w:val="00126AF2"/>
    <w:rsid w:val="001316D5"/>
    <w:rsid w:val="001319F6"/>
    <w:rsid w:val="00131A53"/>
    <w:rsid w:val="00132069"/>
    <w:rsid w:val="001324C2"/>
    <w:rsid w:val="001356E9"/>
    <w:rsid w:val="00136175"/>
    <w:rsid w:val="00140A80"/>
    <w:rsid w:val="0014179F"/>
    <w:rsid w:val="0014259D"/>
    <w:rsid w:val="00145438"/>
    <w:rsid w:val="001506B1"/>
    <w:rsid w:val="00150CCA"/>
    <w:rsid w:val="00152C26"/>
    <w:rsid w:val="0015482F"/>
    <w:rsid w:val="00154ECF"/>
    <w:rsid w:val="001550E1"/>
    <w:rsid w:val="00157821"/>
    <w:rsid w:val="00157D89"/>
    <w:rsid w:val="00160DB5"/>
    <w:rsid w:val="00161445"/>
    <w:rsid w:val="00162730"/>
    <w:rsid w:val="00166621"/>
    <w:rsid w:val="00166699"/>
    <w:rsid w:val="00166D20"/>
    <w:rsid w:val="0016774D"/>
    <w:rsid w:val="0017193E"/>
    <w:rsid w:val="001742CA"/>
    <w:rsid w:val="00174CDC"/>
    <w:rsid w:val="00177E17"/>
    <w:rsid w:val="001808F7"/>
    <w:rsid w:val="001845E1"/>
    <w:rsid w:val="00185B60"/>
    <w:rsid w:val="00185F98"/>
    <w:rsid w:val="00187B09"/>
    <w:rsid w:val="00191746"/>
    <w:rsid w:val="001976DE"/>
    <w:rsid w:val="001A02A1"/>
    <w:rsid w:val="001A40AA"/>
    <w:rsid w:val="001A510C"/>
    <w:rsid w:val="001B04ED"/>
    <w:rsid w:val="001B0DC8"/>
    <w:rsid w:val="001B2CDC"/>
    <w:rsid w:val="001B438B"/>
    <w:rsid w:val="001B47DA"/>
    <w:rsid w:val="001B75CC"/>
    <w:rsid w:val="001C2EE2"/>
    <w:rsid w:val="001C4635"/>
    <w:rsid w:val="001C46D5"/>
    <w:rsid w:val="001C496D"/>
    <w:rsid w:val="001C4B9A"/>
    <w:rsid w:val="001D145E"/>
    <w:rsid w:val="001D40F4"/>
    <w:rsid w:val="001D44B3"/>
    <w:rsid w:val="001D7A51"/>
    <w:rsid w:val="001D7B08"/>
    <w:rsid w:val="001E4ADD"/>
    <w:rsid w:val="001E4C9E"/>
    <w:rsid w:val="001E6712"/>
    <w:rsid w:val="001E6E6F"/>
    <w:rsid w:val="001F1C39"/>
    <w:rsid w:val="001F4A96"/>
    <w:rsid w:val="001F4F51"/>
    <w:rsid w:val="001F69F6"/>
    <w:rsid w:val="00210496"/>
    <w:rsid w:val="00210825"/>
    <w:rsid w:val="00214AB1"/>
    <w:rsid w:val="002159B7"/>
    <w:rsid w:val="00216620"/>
    <w:rsid w:val="002178A7"/>
    <w:rsid w:val="00220042"/>
    <w:rsid w:val="002204D1"/>
    <w:rsid w:val="00220E35"/>
    <w:rsid w:val="002222D0"/>
    <w:rsid w:val="00222883"/>
    <w:rsid w:val="002229E5"/>
    <w:rsid w:val="002302C9"/>
    <w:rsid w:val="0023161C"/>
    <w:rsid w:val="00233082"/>
    <w:rsid w:val="0023582E"/>
    <w:rsid w:val="00237563"/>
    <w:rsid w:val="00241BC9"/>
    <w:rsid w:val="002420E6"/>
    <w:rsid w:val="00243210"/>
    <w:rsid w:val="00245413"/>
    <w:rsid w:val="00247670"/>
    <w:rsid w:val="00250510"/>
    <w:rsid w:val="0025252A"/>
    <w:rsid w:val="00252884"/>
    <w:rsid w:val="00253619"/>
    <w:rsid w:val="00253A18"/>
    <w:rsid w:val="00254493"/>
    <w:rsid w:val="00255A9A"/>
    <w:rsid w:val="00257E89"/>
    <w:rsid w:val="00260DE7"/>
    <w:rsid w:val="00265E5B"/>
    <w:rsid w:val="00266E61"/>
    <w:rsid w:val="002671F1"/>
    <w:rsid w:val="00270F72"/>
    <w:rsid w:val="00271997"/>
    <w:rsid w:val="00271E79"/>
    <w:rsid w:val="00272B8A"/>
    <w:rsid w:val="00277B79"/>
    <w:rsid w:val="0029060D"/>
    <w:rsid w:val="00293172"/>
    <w:rsid w:val="00293429"/>
    <w:rsid w:val="00293605"/>
    <w:rsid w:val="002957A0"/>
    <w:rsid w:val="002958E7"/>
    <w:rsid w:val="00295E0F"/>
    <w:rsid w:val="00296CF7"/>
    <w:rsid w:val="00297F8C"/>
    <w:rsid w:val="002A0A7F"/>
    <w:rsid w:val="002A529B"/>
    <w:rsid w:val="002A52B5"/>
    <w:rsid w:val="002A5B6B"/>
    <w:rsid w:val="002A61DE"/>
    <w:rsid w:val="002B3922"/>
    <w:rsid w:val="002B3B71"/>
    <w:rsid w:val="002B3E8C"/>
    <w:rsid w:val="002B526C"/>
    <w:rsid w:val="002B7DE4"/>
    <w:rsid w:val="002C0426"/>
    <w:rsid w:val="002C0CEE"/>
    <w:rsid w:val="002C2DEF"/>
    <w:rsid w:val="002C3B94"/>
    <w:rsid w:val="002C3F78"/>
    <w:rsid w:val="002C5BE1"/>
    <w:rsid w:val="002C6EA8"/>
    <w:rsid w:val="002D040C"/>
    <w:rsid w:val="002D1982"/>
    <w:rsid w:val="002D2158"/>
    <w:rsid w:val="002D397C"/>
    <w:rsid w:val="002D7A6E"/>
    <w:rsid w:val="002E0661"/>
    <w:rsid w:val="002E1B0B"/>
    <w:rsid w:val="002E5BD4"/>
    <w:rsid w:val="002E752C"/>
    <w:rsid w:val="002F0FEA"/>
    <w:rsid w:val="002F5E1D"/>
    <w:rsid w:val="002F5E63"/>
    <w:rsid w:val="002F70BC"/>
    <w:rsid w:val="002F7286"/>
    <w:rsid w:val="00301106"/>
    <w:rsid w:val="00301941"/>
    <w:rsid w:val="003026DE"/>
    <w:rsid w:val="0030620C"/>
    <w:rsid w:val="00306EAE"/>
    <w:rsid w:val="0031570E"/>
    <w:rsid w:val="0031687D"/>
    <w:rsid w:val="0032460D"/>
    <w:rsid w:val="00334297"/>
    <w:rsid w:val="00336F0B"/>
    <w:rsid w:val="003371B4"/>
    <w:rsid w:val="00337317"/>
    <w:rsid w:val="00337BEA"/>
    <w:rsid w:val="00343667"/>
    <w:rsid w:val="00344A79"/>
    <w:rsid w:val="00345A33"/>
    <w:rsid w:val="0035557D"/>
    <w:rsid w:val="00357C4E"/>
    <w:rsid w:val="00360393"/>
    <w:rsid w:val="0036166A"/>
    <w:rsid w:val="00363B60"/>
    <w:rsid w:val="003703D1"/>
    <w:rsid w:val="0037062D"/>
    <w:rsid w:val="00373259"/>
    <w:rsid w:val="00373D05"/>
    <w:rsid w:val="003749A3"/>
    <w:rsid w:val="00374E51"/>
    <w:rsid w:val="00374EF7"/>
    <w:rsid w:val="003750BC"/>
    <w:rsid w:val="00377403"/>
    <w:rsid w:val="00380170"/>
    <w:rsid w:val="003825F8"/>
    <w:rsid w:val="003846D1"/>
    <w:rsid w:val="0039234B"/>
    <w:rsid w:val="003928D6"/>
    <w:rsid w:val="00393611"/>
    <w:rsid w:val="0039364C"/>
    <w:rsid w:val="003936D1"/>
    <w:rsid w:val="00393F9C"/>
    <w:rsid w:val="00395C2C"/>
    <w:rsid w:val="00395FF7"/>
    <w:rsid w:val="00396CC9"/>
    <w:rsid w:val="00396EB2"/>
    <w:rsid w:val="00397E96"/>
    <w:rsid w:val="003A1BBB"/>
    <w:rsid w:val="003A1C36"/>
    <w:rsid w:val="003A32B0"/>
    <w:rsid w:val="003A3C3D"/>
    <w:rsid w:val="003A6EC7"/>
    <w:rsid w:val="003A7C9E"/>
    <w:rsid w:val="003B50C0"/>
    <w:rsid w:val="003B7AF2"/>
    <w:rsid w:val="003C2439"/>
    <w:rsid w:val="003C3E61"/>
    <w:rsid w:val="003C5E46"/>
    <w:rsid w:val="003C75BF"/>
    <w:rsid w:val="003D08C0"/>
    <w:rsid w:val="003D279B"/>
    <w:rsid w:val="003D2BCE"/>
    <w:rsid w:val="003D4761"/>
    <w:rsid w:val="003D54E7"/>
    <w:rsid w:val="003D6D89"/>
    <w:rsid w:val="003D6F92"/>
    <w:rsid w:val="003D7FD7"/>
    <w:rsid w:val="003E338C"/>
    <w:rsid w:val="003E3452"/>
    <w:rsid w:val="003E3AE2"/>
    <w:rsid w:val="003E544A"/>
    <w:rsid w:val="003E569B"/>
    <w:rsid w:val="003E58E4"/>
    <w:rsid w:val="003E5B73"/>
    <w:rsid w:val="003E62EB"/>
    <w:rsid w:val="003E7A07"/>
    <w:rsid w:val="003E7AD7"/>
    <w:rsid w:val="003F0CBC"/>
    <w:rsid w:val="003F0F19"/>
    <w:rsid w:val="003F1803"/>
    <w:rsid w:val="003F5400"/>
    <w:rsid w:val="003F71DC"/>
    <w:rsid w:val="00401819"/>
    <w:rsid w:val="00401937"/>
    <w:rsid w:val="00402880"/>
    <w:rsid w:val="00403881"/>
    <w:rsid w:val="00403D02"/>
    <w:rsid w:val="00406527"/>
    <w:rsid w:val="00406DEE"/>
    <w:rsid w:val="00406FD0"/>
    <w:rsid w:val="00407B77"/>
    <w:rsid w:val="00407F41"/>
    <w:rsid w:val="004115D7"/>
    <w:rsid w:val="00412D1E"/>
    <w:rsid w:val="00413DCA"/>
    <w:rsid w:val="00416AC8"/>
    <w:rsid w:val="00416E68"/>
    <w:rsid w:val="00417C55"/>
    <w:rsid w:val="0042008E"/>
    <w:rsid w:val="0042372F"/>
    <w:rsid w:val="00424473"/>
    <w:rsid w:val="00424959"/>
    <w:rsid w:val="00427CC1"/>
    <w:rsid w:val="00432198"/>
    <w:rsid w:val="00432426"/>
    <w:rsid w:val="00432BD8"/>
    <w:rsid w:val="004350F7"/>
    <w:rsid w:val="00440B2B"/>
    <w:rsid w:val="00441F5B"/>
    <w:rsid w:val="00441FC3"/>
    <w:rsid w:val="00442124"/>
    <w:rsid w:val="00444479"/>
    <w:rsid w:val="00444A5D"/>
    <w:rsid w:val="00446A4A"/>
    <w:rsid w:val="00450B8D"/>
    <w:rsid w:val="004520D3"/>
    <w:rsid w:val="00452218"/>
    <w:rsid w:val="00454513"/>
    <w:rsid w:val="004561B9"/>
    <w:rsid w:val="004566C0"/>
    <w:rsid w:val="00457CC6"/>
    <w:rsid w:val="00466641"/>
    <w:rsid w:val="00470689"/>
    <w:rsid w:val="004737F3"/>
    <w:rsid w:val="004743D7"/>
    <w:rsid w:val="00474C53"/>
    <w:rsid w:val="00475D53"/>
    <w:rsid w:val="00476ADA"/>
    <w:rsid w:val="00486725"/>
    <w:rsid w:val="0048771F"/>
    <w:rsid w:val="00493C2E"/>
    <w:rsid w:val="00494A92"/>
    <w:rsid w:val="00495E0C"/>
    <w:rsid w:val="004964EC"/>
    <w:rsid w:val="00496AC4"/>
    <w:rsid w:val="004A433B"/>
    <w:rsid w:val="004A4F70"/>
    <w:rsid w:val="004A59F9"/>
    <w:rsid w:val="004B1F1F"/>
    <w:rsid w:val="004B75D2"/>
    <w:rsid w:val="004C13CF"/>
    <w:rsid w:val="004C1F0B"/>
    <w:rsid w:val="004C42D0"/>
    <w:rsid w:val="004C59E7"/>
    <w:rsid w:val="004C75EC"/>
    <w:rsid w:val="004D122B"/>
    <w:rsid w:val="004D239C"/>
    <w:rsid w:val="004D4D01"/>
    <w:rsid w:val="004E1257"/>
    <w:rsid w:val="004E5C31"/>
    <w:rsid w:val="004F05D1"/>
    <w:rsid w:val="004F0EE3"/>
    <w:rsid w:val="004F2F5C"/>
    <w:rsid w:val="004F3EFD"/>
    <w:rsid w:val="004F5AD4"/>
    <w:rsid w:val="004F6DBA"/>
    <w:rsid w:val="00500DAE"/>
    <w:rsid w:val="0050274F"/>
    <w:rsid w:val="00504E41"/>
    <w:rsid w:val="005065BC"/>
    <w:rsid w:val="00510AF9"/>
    <w:rsid w:val="005142B3"/>
    <w:rsid w:val="00514A4E"/>
    <w:rsid w:val="00517601"/>
    <w:rsid w:val="00517FCF"/>
    <w:rsid w:val="0052314F"/>
    <w:rsid w:val="005243EA"/>
    <w:rsid w:val="0052450F"/>
    <w:rsid w:val="00525494"/>
    <w:rsid w:val="005271FE"/>
    <w:rsid w:val="005307AA"/>
    <w:rsid w:val="00532BFA"/>
    <w:rsid w:val="005348D0"/>
    <w:rsid w:val="005350DE"/>
    <w:rsid w:val="00535247"/>
    <w:rsid w:val="00536ACD"/>
    <w:rsid w:val="00536B32"/>
    <w:rsid w:val="00541A9F"/>
    <w:rsid w:val="00541C6D"/>
    <w:rsid w:val="00542B89"/>
    <w:rsid w:val="00545C39"/>
    <w:rsid w:val="00550813"/>
    <w:rsid w:val="00551C5D"/>
    <w:rsid w:val="00552275"/>
    <w:rsid w:val="00552C10"/>
    <w:rsid w:val="00555630"/>
    <w:rsid w:val="005563E9"/>
    <w:rsid w:val="00556B3E"/>
    <w:rsid w:val="00560E01"/>
    <w:rsid w:val="005657B2"/>
    <w:rsid w:val="00566692"/>
    <w:rsid w:val="00571A99"/>
    <w:rsid w:val="00573A95"/>
    <w:rsid w:val="00573F75"/>
    <w:rsid w:val="00574728"/>
    <w:rsid w:val="00574D7F"/>
    <w:rsid w:val="00575E43"/>
    <w:rsid w:val="00576661"/>
    <w:rsid w:val="00576C73"/>
    <w:rsid w:val="005851B1"/>
    <w:rsid w:val="005852CA"/>
    <w:rsid w:val="0058536D"/>
    <w:rsid w:val="005903BA"/>
    <w:rsid w:val="0059122D"/>
    <w:rsid w:val="005952AA"/>
    <w:rsid w:val="00595CAE"/>
    <w:rsid w:val="005A0BEB"/>
    <w:rsid w:val="005A516C"/>
    <w:rsid w:val="005B0B2A"/>
    <w:rsid w:val="005B4B78"/>
    <w:rsid w:val="005B5D87"/>
    <w:rsid w:val="005B64A3"/>
    <w:rsid w:val="005B6BAD"/>
    <w:rsid w:val="005B6C37"/>
    <w:rsid w:val="005B7BDB"/>
    <w:rsid w:val="005C0288"/>
    <w:rsid w:val="005C09D4"/>
    <w:rsid w:val="005C5C7F"/>
    <w:rsid w:val="005C5F28"/>
    <w:rsid w:val="005C62C6"/>
    <w:rsid w:val="005C6999"/>
    <w:rsid w:val="005D108E"/>
    <w:rsid w:val="005D27C7"/>
    <w:rsid w:val="005D7334"/>
    <w:rsid w:val="005D741B"/>
    <w:rsid w:val="005D78DD"/>
    <w:rsid w:val="005E3226"/>
    <w:rsid w:val="005E3E65"/>
    <w:rsid w:val="005E5089"/>
    <w:rsid w:val="005F0C5A"/>
    <w:rsid w:val="005F3254"/>
    <w:rsid w:val="005F59BF"/>
    <w:rsid w:val="005F61A9"/>
    <w:rsid w:val="006005C5"/>
    <w:rsid w:val="00600C46"/>
    <w:rsid w:val="00600DD6"/>
    <w:rsid w:val="00601D91"/>
    <w:rsid w:val="00603391"/>
    <w:rsid w:val="00603848"/>
    <w:rsid w:val="00605A27"/>
    <w:rsid w:val="00611A65"/>
    <w:rsid w:val="0061223B"/>
    <w:rsid w:val="006125C9"/>
    <w:rsid w:val="006135D1"/>
    <w:rsid w:val="00613E4C"/>
    <w:rsid w:val="0061682F"/>
    <w:rsid w:val="00616CD7"/>
    <w:rsid w:val="00617210"/>
    <w:rsid w:val="00617936"/>
    <w:rsid w:val="0062070B"/>
    <w:rsid w:val="0062298E"/>
    <w:rsid w:val="0062613A"/>
    <w:rsid w:val="0062646C"/>
    <w:rsid w:val="00630C9A"/>
    <w:rsid w:val="0063233C"/>
    <w:rsid w:val="006344F5"/>
    <w:rsid w:val="00635294"/>
    <w:rsid w:val="006353C3"/>
    <w:rsid w:val="00635722"/>
    <w:rsid w:val="0063572B"/>
    <w:rsid w:val="00637ABE"/>
    <w:rsid w:val="006403E6"/>
    <w:rsid w:val="0064203B"/>
    <w:rsid w:val="00642681"/>
    <w:rsid w:val="00644182"/>
    <w:rsid w:val="00644432"/>
    <w:rsid w:val="00644D5E"/>
    <w:rsid w:val="0064648D"/>
    <w:rsid w:val="006469C7"/>
    <w:rsid w:val="006479D1"/>
    <w:rsid w:val="006517D1"/>
    <w:rsid w:val="00651946"/>
    <w:rsid w:val="0065280D"/>
    <w:rsid w:val="0066236C"/>
    <w:rsid w:val="00664667"/>
    <w:rsid w:val="0066512E"/>
    <w:rsid w:val="00670AF1"/>
    <w:rsid w:val="0067106B"/>
    <w:rsid w:val="00671C79"/>
    <w:rsid w:val="00672D24"/>
    <w:rsid w:val="00676AAC"/>
    <w:rsid w:val="006773B4"/>
    <w:rsid w:val="006778F3"/>
    <w:rsid w:val="00677990"/>
    <w:rsid w:val="00680557"/>
    <w:rsid w:val="00684F4F"/>
    <w:rsid w:val="0069273F"/>
    <w:rsid w:val="00695306"/>
    <w:rsid w:val="006965CD"/>
    <w:rsid w:val="00696DCB"/>
    <w:rsid w:val="006A053C"/>
    <w:rsid w:val="006A1F6F"/>
    <w:rsid w:val="006A35C1"/>
    <w:rsid w:val="006B290F"/>
    <w:rsid w:val="006B2FC8"/>
    <w:rsid w:val="006B6206"/>
    <w:rsid w:val="006B6526"/>
    <w:rsid w:val="006B74DF"/>
    <w:rsid w:val="006C2C72"/>
    <w:rsid w:val="006C4181"/>
    <w:rsid w:val="006C491A"/>
    <w:rsid w:val="006C505F"/>
    <w:rsid w:val="006C54DA"/>
    <w:rsid w:val="006D01C1"/>
    <w:rsid w:val="006D0B65"/>
    <w:rsid w:val="006D4F41"/>
    <w:rsid w:val="006D6D9A"/>
    <w:rsid w:val="006D7811"/>
    <w:rsid w:val="006E1204"/>
    <w:rsid w:val="006E145B"/>
    <w:rsid w:val="006E28FB"/>
    <w:rsid w:val="006E2ADF"/>
    <w:rsid w:val="006E2E16"/>
    <w:rsid w:val="006E400E"/>
    <w:rsid w:val="006E44BF"/>
    <w:rsid w:val="006E6F37"/>
    <w:rsid w:val="006F1F28"/>
    <w:rsid w:val="006F2F32"/>
    <w:rsid w:val="006F638C"/>
    <w:rsid w:val="00701C73"/>
    <w:rsid w:val="007024A2"/>
    <w:rsid w:val="007026DC"/>
    <w:rsid w:val="00703386"/>
    <w:rsid w:val="00703BF5"/>
    <w:rsid w:val="007060CC"/>
    <w:rsid w:val="00706F04"/>
    <w:rsid w:val="0071162C"/>
    <w:rsid w:val="007116A2"/>
    <w:rsid w:val="00714171"/>
    <w:rsid w:val="00715054"/>
    <w:rsid w:val="00715599"/>
    <w:rsid w:val="00720B4C"/>
    <w:rsid w:val="00722B70"/>
    <w:rsid w:val="00722E77"/>
    <w:rsid w:val="0072322A"/>
    <w:rsid w:val="0072413E"/>
    <w:rsid w:val="00725319"/>
    <w:rsid w:val="00725696"/>
    <w:rsid w:val="00726975"/>
    <w:rsid w:val="00726F1F"/>
    <w:rsid w:val="00727E4F"/>
    <w:rsid w:val="00731598"/>
    <w:rsid w:val="00733FFF"/>
    <w:rsid w:val="007346C0"/>
    <w:rsid w:val="007349CB"/>
    <w:rsid w:val="00737FCE"/>
    <w:rsid w:val="00741825"/>
    <w:rsid w:val="00741DCE"/>
    <w:rsid w:val="007422A6"/>
    <w:rsid w:val="00743CE4"/>
    <w:rsid w:val="00744C3A"/>
    <w:rsid w:val="007451E1"/>
    <w:rsid w:val="00751550"/>
    <w:rsid w:val="00753E64"/>
    <w:rsid w:val="0075667E"/>
    <w:rsid w:val="007575FF"/>
    <w:rsid w:val="0076376B"/>
    <w:rsid w:val="007639BB"/>
    <w:rsid w:val="00764CD6"/>
    <w:rsid w:val="00765227"/>
    <w:rsid w:val="007655B7"/>
    <w:rsid w:val="007676F1"/>
    <w:rsid w:val="00773620"/>
    <w:rsid w:val="00773F07"/>
    <w:rsid w:val="00775F56"/>
    <w:rsid w:val="00790AFE"/>
    <w:rsid w:val="00790E40"/>
    <w:rsid w:val="00790FB8"/>
    <w:rsid w:val="00791FDE"/>
    <w:rsid w:val="00793DAC"/>
    <w:rsid w:val="00794C4A"/>
    <w:rsid w:val="0079507A"/>
    <w:rsid w:val="0079563F"/>
    <w:rsid w:val="00795E5F"/>
    <w:rsid w:val="00797CD1"/>
    <w:rsid w:val="007A0115"/>
    <w:rsid w:val="007A0D8B"/>
    <w:rsid w:val="007A4656"/>
    <w:rsid w:val="007A4996"/>
    <w:rsid w:val="007A5863"/>
    <w:rsid w:val="007A5BD1"/>
    <w:rsid w:val="007A7975"/>
    <w:rsid w:val="007B036A"/>
    <w:rsid w:val="007B0928"/>
    <w:rsid w:val="007B0C7E"/>
    <w:rsid w:val="007C5D19"/>
    <w:rsid w:val="007C7981"/>
    <w:rsid w:val="007C7BDC"/>
    <w:rsid w:val="007C7EDB"/>
    <w:rsid w:val="007D116D"/>
    <w:rsid w:val="007D20E9"/>
    <w:rsid w:val="007D4AC8"/>
    <w:rsid w:val="007D5396"/>
    <w:rsid w:val="007D5401"/>
    <w:rsid w:val="007D6D1A"/>
    <w:rsid w:val="007E557F"/>
    <w:rsid w:val="007F3F08"/>
    <w:rsid w:val="007F4791"/>
    <w:rsid w:val="007F520E"/>
    <w:rsid w:val="007F5EFB"/>
    <w:rsid w:val="0080064A"/>
    <w:rsid w:val="00801B7F"/>
    <w:rsid w:val="00802955"/>
    <w:rsid w:val="0081057F"/>
    <w:rsid w:val="00814A7C"/>
    <w:rsid w:val="00816E85"/>
    <w:rsid w:val="00816F0E"/>
    <w:rsid w:val="00820AFD"/>
    <w:rsid w:val="008235CC"/>
    <w:rsid w:val="00823F66"/>
    <w:rsid w:val="0082402B"/>
    <w:rsid w:val="008272B5"/>
    <w:rsid w:val="0083098B"/>
    <w:rsid w:val="00831AE5"/>
    <w:rsid w:val="00837A39"/>
    <w:rsid w:val="00840848"/>
    <w:rsid w:val="00840B01"/>
    <w:rsid w:val="00843E5B"/>
    <w:rsid w:val="00846D34"/>
    <w:rsid w:val="00850179"/>
    <w:rsid w:val="008524BA"/>
    <w:rsid w:val="00853397"/>
    <w:rsid w:val="00856B5F"/>
    <w:rsid w:val="00857575"/>
    <w:rsid w:val="0086442A"/>
    <w:rsid w:val="0086572B"/>
    <w:rsid w:val="00865C24"/>
    <w:rsid w:val="0086647D"/>
    <w:rsid w:val="00866A7C"/>
    <w:rsid w:val="00875212"/>
    <w:rsid w:val="00877F4A"/>
    <w:rsid w:val="00880853"/>
    <w:rsid w:val="008819C0"/>
    <w:rsid w:val="00891F93"/>
    <w:rsid w:val="0089207D"/>
    <w:rsid w:val="00893855"/>
    <w:rsid w:val="008938ED"/>
    <w:rsid w:val="00894349"/>
    <w:rsid w:val="00895291"/>
    <w:rsid w:val="008955BD"/>
    <w:rsid w:val="00896F6C"/>
    <w:rsid w:val="008976C2"/>
    <w:rsid w:val="008A08B6"/>
    <w:rsid w:val="008A091D"/>
    <w:rsid w:val="008A196B"/>
    <w:rsid w:val="008A2665"/>
    <w:rsid w:val="008A416F"/>
    <w:rsid w:val="008A5F0E"/>
    <w:rsid w:val="008A6107"/>
    <w:rsid w:val="008A734D"/>
    <w:rsid w:val="008B257F"/>
    <w:rsid w:val="008B48FE"/>
    <w:rsid w:val="008B4F2A"/>
    <w:rsid w:val="008B61E2"/>
    <w:rsid w:val="008C339D"/>
    <w:rsid w:val="008C4EDE"/>
    <w:rsid w:val="008C70E7"/>
    <w:rsid w:val="008D128E"/>
    <w:rsid w:val="008D29E5"/>
    <w:rsid w:val="008D5DD6"/>
    <w:rsid w:val="008E1571"/>
    <w:rsid w:val="008E469A"/>
    <w:rsid w:val="008E50EF"/>
    <w:rsid w:val="008E554D"/>
    <w:rsid w:val="008F3492"/>
    <w:rsid w:val="008F3554"/>
    <w:rsid w:val="008F3DD0"/>
    <w:rsid w:val="008F5A42"/>
    <w:rsid w:val="00900DF0"/>
    <w:rsid w:val="0090186C"/>
    <w:rsid w:val="009046BD"/>
    <w:rsid w:val="00905268"/>
    <w:rsid w:val="009054D2"/>
    <w:rsid w:val="009103EC"/>
    <w:rsid w:val="0091475C"/>
    <w:rsid w:val="009174A7"/>
    <w:rsid w:val="00917C2D"/>
    <w:rsid w:val="00920BDE"/>
    <w:rsid w:val="0092394D"/>
    <w:rsid w:val="00924B15"/>
    <w:rsid w:val="0092675A"/>
    <w:rsid w:val="009300BD"/>
    <w:rsid w:val="00930434"/>
    <w:rsid w:val="0093187A"/>
    <w:rsid w:val="00933776"/>
    <w:rsid w:val="00933EBC"/>
    <w:rsid w:val="00934FFB"/>
    <w:rsid w:val="009352B8"/>
    <w:rsid w:val="00943EAD"/>
    <w:rsid w:val="00945DC0"/>
    <w:rsid w:val="009479BF"/>
    <w:rsid w:val="00950409"/>
    <w:rsid w:val="00950FB1"/>
    <w:rsid w:val="00951A2A"/>
    <w:rsid w:val="00951A34"/>
    <w:rsid w:val="00952665"/>
    <w:rsid w:val="00953503"/>
    <w:rsid w:val="00954B6C"/>
    <w:rsid w:val="00955210"/>
    <w:rsid w:val="00955575"/>
    <w:rsid w:val="009556A3"/>
    <w:rsid w:val="009600BA"/>
    <w:rsid w:val="00963340"/>
    <w:rsid w:val="00963BD2"/>
    <w:rsid w:val="00964BB5"/>
    <w:rsid w:val="00971589"/>
    <w:rsid w:val="009719E7"/>
    <w:rsid w:val="009744B5"/>
    <w:rsid w:val="009754F2"/>
    <w:rsid w:val="00977BB5"/>
    <w:rsid w:val="009827EC"/>
    <w:rsid w:val="00982878"/>
    <w:rsid w:val="00982DB9"/>
    <w:rsid w:val="0098338B"/>
    <w:rsid w:val="00983AF0"/>
    <w:rsid w:val="009844FE"/>
    <w:rsid w:val="00984CB4"/>
    <w:rsid w:val="009859F6"/>
    <w:rsid w:val="00990C7C"/>
    <w:rsid w:val="009941E8"/>
    <w:rsid w:val="00994515"/>
    <w:rsid w:val="00996084"/>
    <w:rsid w:val="00997AC1"/>
    <w:rsid w:val="009A2307"/>
    <w:rsid w:val="009A308B"/>
    <w:rsid w:val="009A4209"/>
    <w:rsid w:val="009A4457"/>
    <w:rsid w:val="009A6A91"/>
    <w:rsid w:val="009A6C1B"/>
    <w:rsid w:val="009A7483"/>
    <w:rsid w:val="009B185C"/>
    <w:rsid w:val="009B29C1"/>
    <w:rsid w:val="009B4A68"/>
    <w:rsid w:val="009B500C"/>
    <w:rsid w:val="009C05FD"/>
    <w:rsid w:val="009C5ABE"/>
    <w:rsid w:val="009C6198"/>
    <w:rsid w:val="009C6BB2"/>
    <w:rsid w:val="009C7E23"/>
    <w:rsid w:val="009D179D"/>
    <w:rsid w:val="009D2716"/>
    <w:rsid w:val="009D3BD3"/>
    <w:rsid w:val="009D44E6"/>
    <w:rsid w:val="009D624F"/>
    <w:rsid w:val="009E1F58"/>
    <w:rsid w:val="009E4D30"/>
    <w:rsid w:val="009E4FDE"/>
    <w:rsid w:val="009E6C0D"/>
    <w:rsid w:val="009E7F75"/>
    <w:rsid w:val="009F07A5"/>
    <w:rsid w:val="009F160B"/>
    <w:rsid w:val="009F38C2"/>
    <w:rsid w:val="009F3D1E"/>
    <w:rsid w:val="009F6886"/>
    <w:rsid w:val="009F6D73"/>
    <w:rsid w:val="009F70BB"/>
    <w:rsid w:val="00A015F0"/>
    <w:rsid w:val="00A041D4"/>
    <w:rsid w:val="00A05162"/>
    <w:rsid w:val="00A0527F"/>
    <w:rsid w:val="00A06A62"/>
    <w:rsid w:val="00A105F2"/>
    <w:rsid w:val="00A119C9"/>
    <w:rsid w:val="00A11D98"/>
    <w:rsid w:val="00A12DB6"/>
    <w:rsid w:val="00A133D9"/>
    <w:rsid w:val="00A13B1B"/>
    <w:rsid w:val="00A13BAC"/>
    <w:rsid w:val="00A17220"/>
    <w:rsid w:val="00A17F72"/>
    <w:rsid w:val="00A20543"/>
    <w:rsid w:val="00A2094F"/>
    <w:rsid w:val="00A20F1E"/>
    <w:rsid w:val="00A210D3"/>
    <w:rsid w:val="00A21C10"/>
    <w:rsid w:val="00A240B6"/>
    <w:rsid w:val="00A24DF0"/>
    <w:rsid w:val="00A25E1D"/>
    <w:rsid w:val="00A2671A"/>
    <w:rsid w:val="00A2768D"/>
    <w:rsid w:val="00A30937"/>
    <w:rsid w:val="00A30D6D"/>
    <w:rsid w:val="00A3351A"/>
    <w:rsid w:val="00A341C7"/>
    <w:rsid w:val="00A35E41"/>
    <w:rsid w:val="00A40680"/>
    <w:rsid w:val="00A42771"/>
    <w:rsid w:val="00A429B9"/>
    <w:rsid w:val="00A42B2F"/>
    <w:rsid w:val="00A432AC"/>
    <w:rsid w:val="00A44201"/>
    <w:rsid w:val="00A47629"/>
    <w:rsid w:val="00A50C8B"/>
    <w:rsid w:val="00A52C8E"/>
    <w:rsid w:val="00A545AB"/>
    <w:rsid w:val="00A610A4"/>
    <w:rsid w:val="00A62FEA"/>
    <w:rsid w:val="00A63051"/>
    <w:rsid w:val="00A70890"/>
    <w:rsid w:val="00A718F5"/>
    <w:rsid w:val="00A72634"/>
    <w:rsid w:val="00A74A0F"/>
    <w:rsid w:val="00A75888"/>
    <w:rsid w:val="00A75FEE"/>
    <w:rsid w:val="00A76E77"/>
    <w:rsid w:val="00A80337"/>
    <w:rsid w:val="00A81340"/>
    <w:rsid w:val="00A82DCE"/>
    <w:rsid w:val="00A8546D"/>
    <w:rsid w:val="00A85FA2"/>
    <w:rsid w:val="00A87409"/>
    <w:rsid w:val="00A87C72"/>
    <w:rsid w:val="00A9345E"/>
    <w:rsid w:val="00A946D3"/>
    <w:rsid w:val="00A94E87"/>
    <w:rsid w:val="00AA6B39"/>
    <w:rsid w:val="00AB0C55"/>
    <w:rsid w:val="00AB6A6B"/>
    <w:rsid w:val="00AB724F"/>
    <w:rsid w:val="00AC46D7"/>
    <w:rsid w:val="00AD5BA9"/>
    <w:rsid w:val="00AD6195"/>
    <w:rsid w:val="00AE045D"/>
    <w:rsid w:val="00AE0EE1"/>
    <w:rsid w:val="00AE13B3"/>
    <w:rsid w:val="00AE141E"/>
    <w:rsid w:val="00AE2AFE"/>
    <w:rsid w:val="00AE50D6"/>
    <w:rsid w:val="00AE5E22"/>
    <w:rsid w:val="00AE64E2"/>
    <w:rsid w:val="00AE6CE2"/>
    <w:rsid w:val="00AF413A"/>
    <w:rsid w:val="00AF6157"/>
    <w:rsid w:val="00AF7A07"/>
    <w:rsid w:val="00B01EEE"/>
    <w:rsid w:val="00B0240D"/>
    <w:rsid w:val="00B02584"/>
    <w:rsid w:val="00B03BA8"/>
    <w:rsid w:val="00B03E2E"/>
    <w:rsid w:val="00B04832"/>
    <w:rsid w:val="00B0672B"/>
    <w:rsid w:val="00B067D4"/>
    <w:rsid w:val="00B06B7D"/>
    <w:rsid w:val="00B10F0B"/>
    <w:rsid w:val="00B11D91"/>
    <w:rsid w:val="00B121BD"/>
    <w:rsid w:val="00B122AD"/>
    <w:rsid w:val="00B12393"/>
    <w:rsid w:val="00B13096"/>
    <w:rsid w:val="00B146AC"/>
    <w:rsid w:val="00B167C7"/>
    <w:rsid w:val="00B17122"/>
    <w:rsid w:val="00B20A35"/>
    <w:rsid w:val="00B2148E"/>
    <w:rsid w:val="00B2466A"/>
    <w:rsid w:val="00B25073"/>
    <w:rsid w:val="00B30179"/>
    <w:rsid w:val="00B30DF2"/>
    <w:rsid w:val="00B31739"/>
    <w:rsid w:val="00B31A9B"/>
    <w:rsid w:val="00B34A89"/>
    <w:rsid w:val="00B4119F"/>
    <w:rsid w:val="00B47818"/>
    <w:rsid w:val="00B47FF7"/>
    <w:rsid w:val="00B50F25"/>
    <w:rsid w:val="00B5190E"/>
    <w:rsid w:val="00B539D4"/>
    <w:rsid w:val="00B5647F"/>
    <w:rsid w:val="00B56791"/>
    <w:rsid w:val="00B56B25"/>
    <w:rsid w:val="00B626FE"/>
    <w:rsid w:val="00B63720"/>
    <w:rsid w:val="00B647DE"/>
    <w:rsid w:val="00B64CAE"/>
    <w:rsid w:val="00B65107"/>
    <w:rsid w:val="00B66B5A"/>
    <w:rsid w:val="00B66E90"/>
    <w:rsid w:val="00B67B49"/>
    <w:rsid w:val="00B70D99"/>
    <w:rsid w:val="00B713CC"/>
    <w:rsid w:val="00B71D6D"/>
    <w:rsid w:val="00B72498"/>
    <w:rsid w:val="00B73307"/>
    <w:rsid w:val="00B77344"/>
    <w:rsid w:val="00B7735D"/>
    <w:rsid w:val="00B77EBC"/>
    <w:rsid w:val="00B809CD"/>
    <w:rsid w:val="00B809DD"/>
    <w:rsid w:val="00B83597"/>
    <w:rsid w:val="00B84ADE"/>
    <w:rsid w:val="00B862F0"/>
    <w:rsid w:val="00B8671D"/>
    <w:rsid w:val="00B9131F"/>
    <w:rsid w:val="00B91C7F"/>
    <w:rsid w:val="00B92072"/>
    <w:rsid w:val="00B92113"/>
    <w:rsid w:val="00B936B8"/>
    <w:rsid w:val="00B94204"/>
    <w:rsid w:val="00B9698B"/>
    <w:rsid w:val="00BA68A5"/>
    <w:rsid w:val="00BB2087"/>
    <w:rsid w:val="00BB246C"/>
    <w:rsid w:val="00BB5288"/>
    <w:rsid w:val="00BB74F7"/>
    <w:rsid w:val="00BC0285"/>
    <w:rsid w:val="00BC1440"/>
    <w:rsid w:val="00BC6329"/>
    <w:rsid w:val="00BC6724"/>
    <w:rsid w:val="00BD0E54"/>
    <w:rsid w:val="00BD14C8"/>
    <w:rsid w:val="00BD1C46"/>
    <w:rsid w:val="00BD2AB3"/>
    <w:rsid w:val="00BD3BEA"/>
    <w:rsid w:val="00BD58A1"/>
    <w:rsid w:val="00BD6A6E"/>
    <w:rsid w:val="00BE069A"/>
    <w:rsid w:val="00BE12EA"/>
    <w:rsid w:val="00BE1B2D"/>
    <w:rsid w:val="00BE2FBB"/>
    <w:rsid w:val="00BE69CD"/>
    <w:rsid w:val="00BF06AB"/>
    <w:rsid w:val="00BF07FE"/>
    <w:rsid w:val="00BF08BC"/>
    <w:rsid w:val="00BF0FED"/>
    <w:rsid w:val="00BF2109"/>
    <w:rsid w:val="00BF28D4"/>
    <w:rsid w:val="00BF383C"/>
    <w:rsid w:val="00BF529F"/>
    <w:rsid w:val="00BF6E17"/>
    <w:rsid w:val="00BF71D1"/>
    <w:rsid w:val="00C03227"/>
    <w:rsid w:val="00C0462D"/>
    <w:rsid w:val="00C04F08"/>
    <w:rsid w:val="00C063EB"/>
    <w:rsid w:val="00C1268C"/>
    <w:rsid w:val="00C14D7F"/>
    <w:rsid w:val="00C16656"/>
    <w:rsid w:val="00C166A7"/>
    <w:rsid w:val="00C166EE"/>
    <w:rsid w:val="00C2116C"/>
    <w:rsid w:val="00C2135B"/>
    <w:rsid w:val="00C22B62"/>
    <w:rsid w:val="00C325FC"/>
    <w:rsid w:val="00C32D27"/>
    <w:rsid w:val="00C33D6E"/>
    <w:rsid w:val="00C34757"/>
    <w:rsid w:val="00C36056"/>
    <w:rsid w:val="00C36FCD"/>
    <w:rsid w:val="00C4027B"/>
    <w:rsid w:val="00C44534"/>
    <w:rsid w:val="00C461A9"/>
    <w:rsid w:val="00C4714D"/>
    <w:rsid w:val="00C50294"/>
    <w:rsid w:val="00C5186E"/>
    <w:rsid w:val="00C5364B"/>
    <w:rsid w:val="00C55496"/>
    <w:rsid w:val="00C56C74"/>
    <w:rsid w:val="00C573F8"/>
    <w:rsid w:val="00C62434"/>
    <w:rsid w:val="00C65781"/>
    <w:rsid w:val="00C65BE3"/>
    <w:rsid w:val="00C708BA"/>
    <w:rsid w:val="00C7191C"/>
    <w:rsid w:val="00C72575"/>
    <w:rsid w:val="00C72D96"/>
    <w:rsid w:val="00C7583C"/>
    <w:rsid w:val="00C77F20"/>
    <w:rsid w:val="00C80024"/>
    <w:rsid w:val="00C800AF"/>
    <w:rsid w:val="00C80D95"/>
    <w:rsid w:val="00C8399F"/>
    <w:rsid w:val="00C83BF7"/>
    <w:rsid w:val="00C83F85"/>
    <w:rsid w:val="00C844DD"/>
    <w:rsid w:val="00C864A7"/>
    <w:rsid w:val="00C8749B"/>
    <w:rsid w:val="00C90AF2"/>
    <w:rsid w:val="00C92151"/>
    <w:rsid w:val="00C96B81"/>
    <w:rsid w:val="00C96F80"/>
    <w:rsid w:val="00CA4410"/>
    <w:rsid w:val="00CA4F8B"/>
    <w:rsid w:val="00CA5CFE"/>
    <w:rsid w:val="00CA6194"/>
    <w:rsid w:val="00CA6435"/>
    <w:rsid w:val="00CA67D4"/>
    <w:rsid w:val="00CA7344"/>
    <w:rsid w:val="00CB2923"/>
    <w:rsid w:val="00CB43A2"/>
    <w:rsid w:val="00CB62A3"/>
    <w:rsid w:val="00CB7201"/>
    <w:rsid w:val="00CC044B"/>
    <w:rsid w:val="00CC0A3A"/>
    <w:rsid w:val="00CC3301"/>
    <w:rsid w:val="00CC387D"/>
    <w:rsid w:val="00CC3DD5"/>
    <w:rsid w:val="00CC4237"/>
    <w:rsid w:val="00CC61BE"/>
    <w:rsid w:val="00CD1611"/>
    <w:rsid w:val="00CD1FEA"/>
    <w:rsid w:val="00CD23EE"/>
    <w:rsid w:val="00CD257A"/>
    <w:rsid w:val="00CD2830"/>
    <w:rsid w:val="00CD392A"/>
    <w:rsid w:val="00CD692D"/>
    <w:rsid w:val="00CD6B20"/>
    <w:rsid w:val="00CD6F54"/>
    <w:rsid w:val="00CD7A4A"/>
    <w:rsid w:val="00CE30BD"/>
    <w:rsid w:val="00CE4B69"/>
    <w:rsid w:val="00CE6A19"/>
    <w:rsid w:val="00CE763C"/>
    <w:rsid w:val="00CF2B70"/>
    <w:rsid w:val="00CF4115"/>
    <w:rsid w:val="00CF57AA"/>
    <w:rsid w:val="00CF5B04"/>
    <w:rsid w:val="00CF5E6F"/>
    <w:rsid w:val="00CF739C"/>
    <w:rsid w:val="00CF7704"/>
    <w:rsid w:val="00CF7C5D"/>
    <w:rsid w:val="00D000A8"/>
    <w:rsid w:val="00D0140C"/>
    <w:rsid w:val="00D0227E"/>
    <w:rsid w:val="00D0255D"/>
    <w:rsid w:val="00D05B81"/>
    <w:rsid w:val="00D07681"/>
    <w:rsid w:val="00D07E7D"/>
    <w:rsid w:val="00D11370"/>
    <w:rsid w:val="00D114AE"/>
    <w:rsid w:val="00D11896"/>
    <w:rsid w:val="00D11A1E"/>
    <w:rsid w:val="00D1393A"/>
    <w:rsid w:val="00D14C1D"/>
    <w:rsid w:val="00D15A61"/>
    <w:rsid w:val="00D170EA"/>
    <w:rsid w:val="00D201AF"/>
    <w:rsid w:val="00D20566"/>
    <w:rsid w:val="00D20892"/>
    <w:rsid w:val="00D20F0C"/>
    <w:rsid w:val="00D23D67"/>
    <w:rsid w:val="00D24164"/>
    <w:rsid w:val="00D24881"/>
    <w:rsid w:val="00D249C9"/>
    <w:rsid w:val="00D25EDB"/>
    <w:rsid w:val="00D27FEC"/>
    <w:rsid w:val="00D341CC"/>
    <w:rsid w:val="00D3519E"/>
    <w:rsid w:val="00D35A06"/>
    <w:rsid w:val="00D35D11"/>
    <w:rsid w:val="00D37B03"/>
    <w:rsid w:val="00D400B0"/>
    <w:rsid w:val="00D4176F"/>
    <w:rsid w:val="00D429FE"/>
    <w:rsid w:val="00D46F57"/>
    <w:rsid w:val="00D50DBE"/>
    <w:rsid w:val="00D51D55"/>
    <w:rsid w:val="00D5500A"/>
    <w:rsid w:val="00D5644D"/>
    <w:rsid w:val="00D5667E"/>
    <w:rsid w:val="00D5692B"/>
    <w:rsid w:val="00D61C6F"/>
    <w:rsid w:val="00D62134"/>
    <w:rsid w:val="00D63655"/>
    <w:rsid w:val="00D637A1"/>
    <w:rsid w:val="00D6408A"/>
    <w:rsid w:val="00D647C7"/>
    <w:rsid w:val="00D652F5"/>
    <w:rsid w:val="00D70611"/>
    <w:rsid w:val="00D71612"/>
    <w:rsid w:val="00D7231C"/>
    <w:rsid w:val="00D74CFC"/>
    <w:rsid w:val="00D75452"/>
    <w:rsid w:val="00D75608"/>
    <w:rsid w:val="00D75A85"/>
    <w:rsid w:val="00D760FE"/>
    <w:rsid w:val="00D81E73"/>
    <w:rsid w:val="00D827B1"/>
    <w:rsid w:val="00D82E38"/>
    <w:rsid w:val="00D85B10"/>
    <w:rsid w:val="00D85BCF"/>
    <w:rsid w:val="00D87FF0"/>
    <w:rsid w:val="00D93A22"/>
    <w:rsid w:val="00D93C90"/>
    <w:rsid w:val="00D96737"/>
    <w:rsid w:val="00D97443"/>
    <w:rsid w:val="00D975FD"/>
    <w:rsid w:val="00D977CF"/>
    <w:rsid w:val="00DA168A"/>
    <w:rsid w:val="00DA1EC7"/>
    <w:rsid w:val="00DA57C2"/>
    <w:rsid w:val="00DA769F"/>
    <w:rsid w:val="00DB2A52"/>
    <w:rsid w:val="00DB71CD"/>
    <w:rsid w:val="00DB7BB3"/>
    <w:rsid w:val="00DB7F96"/>
    <w:rsid w:val="00DC2F7B"/>
    <w:rsid w:val="00DC48B7"/>
    <w:rsid w:val="00DD0E01"/>
    <w:rsid w:val="00DD1082"/>
    <w:rsid w:val="00DD16DA"/>
    <w:rsid w:val="00DD44CA"/>
    <w:rsid w:val="00DE241A"/>
    <w:rsid w:val="00DE38D7"/>
    <w:rsid w:val="00DE7ED9"/>
    <w:rsid w:val="00DF14C0"/>
    <w:rsid w:val="00DF17E9"/>
    <w:rsid w:val="00DF1FE5"/>
    <w:rsid w:val="00DF5A37"/>
    <w:rsid w:val="00E024B3"/>
    <w:rsid w:val="00E053FA"/>
    <w:rsid w:val="00E108FF"/>
    <w:rsid w:val="00E11555"/>
    <w:rsid w:val="00E11873"/>
    <w:rsid w:val="00E11991"/>
    <w:rsid w:val="00E12704"/>
    <w:rsid w:val="00E1592A"/>
    <w:rsid w:val="00E2024F"/>
    <w:rsid w:val="00E204F3"/>
    <w:rsid w:val="00E207F2"/>
    <w:rsid w:val="00E2187C"/>
    <w:rsid w:val="00E21A1C"/>
    <w:rsid w:val="00E21C67"/>
    <w:rsid w:val="00E224A1"/>
    <w:rsid w:val="00E22D7E"/>
    <w:rsid w:val="00E26103"/>
    <w:rsid w:val="00E27950"/>
    <w:rsid w:val="00E34095"/>
    <w:rsid w:val="00E36DAC"/>
    <w:rsid w:val="00E3704D"/>
    <w:rsid w:val="00E40544"/>
    <w:rsid w:val="00E40EDA"/>
    <w:rsid w:val="00E41328"/>
    <w:rsid w:val="00E52A0F"/>
    <w:rsid w:val="00E61A70"/>
    <w:rsid w:val="00E65539"/>
    <w:rsid w:val="00E657ED"/>
    <w:rsid w:val="00E67D1F"/>
    <w:rsid w:val="00E709BA"/>
    <w:rsid w:val="00E71068"/>
    <w:rsid w:val="00E72050"/>
    <w:rsid w:val="00E72162"/>
    <w:rsid w:val="00E73854"/>
    <w:rsid w:val="00E75212"/>
    <w:rsid w:val="00E75269"/>
    <w:rsid w:val="00E75C02"/>
    <w:rsid w:val="00E815F9"/>
    <w:rsid w:val="00E8244C"/>
    <w:rsid w:val="00E902E1"/>
    <w:rsid w:val="00E92D16"/>
    <w:rsid w:val="00E95E3A"/>
    <w:rsid w:val="00E9620C"/>
    <w:rsid w:val="00E97677"/>
    <w:rsid w:val="00EA0ADB"/>
    <w:rsid w:val="00EA4E6B"/>
    <w:rsid w:val="00EB0F12"/>
    <w:rsid w:val="00EB2DF9"/>
    <w:rsid w:val="00EB4924"/>
    <w:rsid w:val="00EB49EC"/>
    <w:rsid w:val="00EB63FD"/>
    <w:rsid w:val="00EB68A5"/>
    <w:rsid w:val="00EC1E41"/>
    <w:rsid w:val="00ED06E6"/>
    <w:rsid w:val="00ED07D6"/>
    <w:rsid w:val="00ED160A"/>
    <w:rsid w:val="00ED26BE"/>
    <w:rsid w:val="00ED3271"/>
    <w:rsid w:val="00ED5031"/>
    <w:rsid w:val="00ED5415"/>
    <w:rsid w:val="00ED59DD"/>
    <w:rsid w:val="00EE02A8"/>
    <w:rsid w:val="00EE0ACF"/>
    <w:rsid w:val="00EE3840"/>
    <w:rsid w:val="00EE3B6B"/>
    <w:rsid w:val="00EE50E3"/>
    <w:rsid w:val="00EE5F4A"/>
    <w:rsid w:val="00EF0A38"/>
    <w:rsid w:val="00EF3C02"/>
    <w:rsid w:val="00EF7647"/>
    <w:rsid w:val="00F00D2F"/>
    <w:rsid w:val="00F0128E"/>
    <w:rsid w:val="00F01B06"/>
    <w:rsid w:val="00F02350"/>
    <w:rsid w:val="00F02D7F"/>
    <w:rsid w:val="00F03660"/>
    <w:rsid w:val="00F110B5"/>
    <w:rsid w:val="00F12718"/>
    <w:rsid w:val="00F15DE6"/>
    <w:rsid w:val="00F16734"/>
    <w:rsid w:val="00F270C7"/>
    <w:rsid w:val="00F3381D"/>
    <w:rsid w:val="00F34C47"/>
    <w:rsid w:val="00F36C92"/>
    <w:rsid w:val="00F370DB"/>
    <w:rsid w:val="00F419CE"/>
    <w:rsid w:val="00F42A42"/>
    <w:rsid w:val="00F476D0"/>
    <w:rsid w:val="00F51D55"/>
    <w:rsid w:val="00F54A8D"/>
    <w:rsid w:val="00F559FD"/>
    <w:rsid w:val="00F55D36"/>
    <w:rsid w:val="00F60901"/>
    <w:rsid w:val="00F61B4D"/>
    <w:rsid w:val="00F61E44"/>
    <w:rsid w:val="00F62BCA"/>
    <w:rsid w:val="00F62FCA"/>
    <w:rsid w:val="00F65220"/>
    <w:rsid w:val="00F65D31"/>
    <w:rsid w:val="00F65FF9"/>
    <w:rsid w:val="00F71BE6"/>
    <w:rsid w:val="00F7224A"/>
    <w:rsid w:val="00F74BC1"/>
    <w:rsid w:val="00F76298"/>
    <w:rsid w:val="00F76BD1"/>
    <w:rsid w:val="00F76F7E"/>
    <w:rsid w:val="00F81416"/>
    <w:rsid w:val="00F820A8"/>
    <w:rsid w:val="00F83077"/>
    <w:rsid w:val="00F858E5"/>
    <w:rsid w:val="00F90DAE"/>
    <w:rsid w:val="00F9557A"/>
    <w:rsid w:val="00F9559A"/>
    <w:rsid w:val="00FA06A1"/>
    <w:rsid w:val="00FA0764"/>
    <w:rsid w:val="00FA1641"/>
    <w:rsid w:val="00FA1EEE"/>
    <w:rsid w:val="00FA3262"/>
    <w:rsid w:val="00FA5A6C"/>
    <w:rsid w:val="00FA68DF"/>
    <w:rsid w:val="00FA7CC0"/>
    <w:rsid w:val="00FB2A00"/>
    <w:rsid w:val="00FC1239"/>
    <w:rsid w:val="00FC1268"/>
    <w:rsid w:val="00FC2368"/>
    <w:rsid w:val="00FC26E5"/>
    <w:rsid w:val="00FC3DFB"/>
    <w:rsid w:val="00FC400E"/>
    <w:rsid w:val="00FC45A8"/>
    <w:rsid w:val="00FC4D3C"/>
    <w:rsid w:val="00FC693A"/>
    <w:rsid w:val="00FD05AF"/>
    <w:rsid w:val="00FD0B11"/>
    <w:rsid w:val="00FD279A"/>
    <w:rsid w:val="00FD35EC"/>
    <w:rsid w:val="00FD3C23"/>
    <w:rsid w:val="00FD4336"/>
    <w:rsid w:val="00FD6885"/>
    <w:rsid w:val="00FD71DF"/>
    <w:rsid w:val="00FD7397"/>
    <w:rsid w:val="00FE0718"/>
    <w:rsid w:val="00FE1407"/>
    <w:rsid w:val="00FE3386"/>
    <w:rsid w:val="00FE3450"/>
    <w:rsid w:val="00FE394F"/>
    <w:rsid w:val="00FE7E66"/>
    <w:rsid w:val="00FF2288"/>
    <w:rsid w:val="00FF2E5C"/>
    <w:rsid w:val="00FF3874"/>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nhideWhenUsed="0"/>
    <w:lsdException w:name="toc 4" w:uiPriority="39" w:unhideWhenUsed="0"/>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97"/>
    <w:lsdException w:name="footer" w:uiPriority="98"/>
    <w:lsdException w:name="caption" w:uiPriority="35" w:qFormat="1"/>
    <w:lsdException w:name="List" w:semiHidden="0" w:uiPriority="29" w:unhideWhenUsed="0"/>
    <w:lsdException w:name="List Bullet" w:uiPriority="23"/>
    <w:lsdException w:name="List Number" w:semiHidden="0" w:uiPriority="23" w:unhideWhenUsed="0"/>
    <w:lsdException w:name="List 2" w:uiPriority="29" w:unhideWhenUsed="0"/>
    <w:lsdException w:name="List Bullet 2" w:uiPriority="26"/>
    <w:lsdException w:name="Title" w:uiPriority="10" w:unhideWhenUsed="0" w:qFormat="1"/>
    <w:lsdException w:name="Default Paragraph Font" w:uiPriority="1"/>
    <w:lsdException w:name="Body Text" w:uiPriority="4"/>
    <w:lsdException w:name="List Continue" w:semiHidden="0" w:uiPriority="25" w:unhideWhenUsed="0"/>
    <w:lsdException w:name="List Continue 2" w:semiHidden="0" w:uiPriority="26" w:unhideWhenUsed="0"/>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atentStyles>
  <w:style w:type="paragraph" w:default="1" w:styleId="Normal">
    <w:name w:val="Normal"/>
    <w:qFormat/>
    <w:rsid w:val="00A432AC"/>
  </w:style>
  <w:style w:type="paragraph" w:styleId="Heading1">
    <w:name w:val="heading 1"/>
    <w:next w:val="Normal"/>
    <w:link w:val="Heading1Char"/>
    <w:uiPriority w:val="9"/>
    <w:qFormat/>
    <w:rsid w:val="00CE30BD"/>
    <w:pPr>
      <w:keepNext/>
      <w:keepLines/>
      <w:numPr>
        <w:numId w:val="4"/>
      </w:numPr>
      <w:pBdr>
        <w:bottom w:val="single" w:sz="12" w:space="1" w:color="0063A6" w:themeColor="accent1"/>
      </w:pBdr>
      <w:spacing w:before="360"/>
      <w:outlineLvl w:val="0"/>
    </w:pPr>
    <w:rPr>
      <w:rFonts w:asciiTheme="majorHAnsi" w:eastAsiaTheme="majorEastAsia" w:hAnsiTheme="majorHAnsi" w:cstheme="majorBidi"/>
      <w:b/>
      <w:bCs/>
      <w:caps/>
      <w:color w:val="0063A6" w:themeColor="accent1"/>
      <w:spacing w:val="-2"/>
      <w:sz w:val="32"/>
      <w:szCs w:val="28"/>
    </w:rPr>
  </w:style>
  <w:style w:type="paragraph" w:styleId="Heading2">
    <w:name w:val="heading 2"/>
    <w:basedOn w:val="Heading1"/>
    <w:next w:val="Normal"/>
    <w:link w:val="Heading2Char"/>
    <w:uiPriority w:val="9"/>
    <w:qFormat/>
    <w:rsid w:val="00CE30BD"/>
    <w:pPr>
      <w:numPr>
        <w:ilvl w:val="1"/>
      </w:numPr>
      <w:pBdr>
        <w:bottom w:val="none" w:sz="0" w:space="0" w:color="auto"/>
      </w:pBdr>
      <w:tabs>
        <w:tab w:val="right" w:pos="9582"/>
      </w:tabs>
      <w:spacing w:before="240"/>
      <w:outlineLvl w:val="1"/>
    </w:pPr>
    <w:rPr>
      <w:bCs w:val="0"/>
      <w:caps w:val="0"/>
      <w:color w:val="auto"/>
      <w:sz w:val="24"/>
      <w:szCs w:val="26"/>
    </w:rPr>
  </w:style>
  <w:style w:type="paragraph" w:styleId="Heading3">
    <w:name w:val="heading 3"/>
    <w:basedOn w:val="Heading2"/>
    <w:next w:val="Normal"/>
    <w:link w:val="Heading3Char"/>
    <w:uiPriority w:val="9"/>
    <w:qFormat/>
    <w:rsid w:val="005D27C7"/>
    <w:pPr>
      <w:numPr>
        <w:ilvl w:val="2"/>
      </w:numPr>
      <w:outlineLvl w:val="2"/>
    </w:pPr>
    <w:rPr>
      <w:bCs/>
      <w:sz w:val="22"/>
    </w:rPr>
  </w:style>
  <w:style w:type="paragraph" w:styleId="Heading4">
    <w:name w:val="heading 4"/>
    <w:basedOn w:val="Heading3"/>
    <w:next w:val="Normal"/>
    <w:link w:val="Heading4Char"/>
    <w:uiPriority w:val="9"/>
    <w:rsid w:val="007116A2"/>
    <w:pPr>
      <w:numPr>
        <w:ilvl w:val="3"/>
      </w:numPr>
      <w:outlineLvl w:val="3"/>
    </w:pPr>
    <w:rPr>
      <w:b w:val="0"/>
      <w:bCs w:val="0"/>
      <w:iCs/>
    </w:rPr>
  </w:style>
  <w:style w:type="paragraph" w:styleId="Heading5">
    <w:name w:val="heading 5"/>
    <w:basedOn w:val="Heading4"/>
    <w:next w:val="Normal"/>
    <w:link w:val="Heading5Char"/>
    <w:uiPriority w:val="9"/>
    <w:rsid w:val="0062613A"/>
    <w:pPr>
      <w:numPr>
        <w:ilvl w:val="4"/>
      </w:numPr>
      <w:outlineLvl w:val="4"/>
    </w:pPr>
    <w:rPr>
      <w:b/>
      <w:i/>
      <w:sz w:val="20"/>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D"/>
    <w:rPr>
      <w:rFonts w:asciiTheme="majorHAnsi" w:eastAsiaTheme="majorEastAsia" w:hAnsiTheme="majorHAnsi" w:cstheme="majorBidi"/>
      <w:b/>
      <w:bCs/>
      <w:caps/>
      <w:color w:val="0063A6" w:themeColor="accent1"/>
      <w:spacing w:val="-2"/>
      <w:sz w:val="32"/>
      <w:szCs w:val="28"/>
    </w:rPr>
  </w:style>
  <w:style w:type="paragraph" w:customStyle="1" w:styleId="Chapterheading">
    <w:name w:val="Chapter heading"/>
    <w:basedOn w:val="Heading1unnumbered"/>
    <w:next w:val="Heading2"/>
    <w:uiPriority w:val="99"/>
    <w:rsid w:val="00545C39"/>
    <w:pPr>
      <w:spacing w:before="1440"/>
    </w:pPr>
    <w:rPr>
      <w:sz w:val="48"/>
    </w:rPr>
  </w:style>
  <w:style w:type="character" w:customStyle="1" w:styleId="Heading3Char">
    <w:name w:val="Heading 3 Char"/>
    <w:basedOn w:val="DefaultParagraphFont"/>
    <w:link w:val="Heading3"/>
    <w:uiPriority w:val="9"/>
    <w:rsid w:val="005D27C7"/>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
    <w:uiPriority w:val="9"/>
    <w:rsid w:val="00CE30BD"/>
    <w:rPr>
      <w:rFonts w:asciiTheme="majorHAnsi" w:eastAsiaTheme="majorEastAsia" w:hAnsiTheme="majorHAnsi" w:cstheme="majorBidi"/>
      <w:b/>
      <w:spacing w:val="-2"/>
      <w:sz w:val="24"/>
      <w:szCs w:val="26"/>
    </w:rPr>
  </w:style>
  <w:style w:type="character" w:customStyle="1" w:styleId="Heading4Char">
    <w:name w:val="Heading 4 Char"/>
    <w:basedOn w:val="DefaultParagraphFont"/>
    <w:link w:val="Heading4"/>
    <w:uiPriority w:val="9"/>
    <w:rsid w:val="00B17122"/>
    <w:rPr>
      <w:rFonts w:asciiTheme="majorHAnsi" w:eastAsiaTheme="majorEastAsia" w:hAnsiTheme="majorHAnsi" w:cstheme="majorBidi"/>
      <w:iCs/>
      <w:spacing w:val="-2"/>
      <w:szCs w:val="26"/>
    </w:rPr>
  </w:style>
  <w:style w:type="paragraph" w:customStyle="1" w:styleId="Subheading">
    <w:name w:val="Subheading"/>
    <w:basedOn w:val="Normal"/>
    <w:next w:val="TableUnits"/>
    <w:uiPriority w:val="49"/>
    <w:qFormat/>
    <w:rsid w:val="007C5D19"/>
    <w:pPr>
      <w:keepNext/>
      <w:tabs>
        <w:tab w:val="right" w:pos="9582"/>
        <w:tab w:val="right" w:pos="14742"/>
      </w:tabs>
      <w:spacing w:before="200" w:after="160"/>
    </w:pPr>
    <w:rPr>
      <w:rFonts w:asciiTheme="majorHAnsi" w:hAnsiTheme="majorHAnsi"/>
      <w:b/>
      <w:spacing w:val="-2"/>
    </w:rPr>
  </w:style>
  <w:style w:type="paragraph" w:customStyle="1" w:styleId="TableUnits">
    <w:name w:val="Table Units"/>
    <w:basedOn w:val="Normal"/>
    <w:next w:val="Normal"/>
    <w:link w:val="TableUnitsChar"/>
    <w:uiPriority w:val="50"/>
    <w:qFormat/>
    <w:rsid w:val="00573F75"/>
    <w:pPr>
      <w:keepNext/>
      <w:spacing w:after="0"/>
    </w:pPr>
    <w:rPr>
      <w:rFonts w:asciiTheme="majorHAnsi" w:hAnsiTheme="majorHAnsi"/>
      <w:spacing w:val="-2"/>
      <w:sz w:val="19"/>
    </w:rPr>
  </w:style>
  <w:style w:type="paragraph" w:customStyle="1" w:styleId="Source">
    <w:name w:val="Source"/>
    <w:basedOn w:val="Normal"/>
    <w:next w:val="Note"/>
    <w:uiPriority w:val="51"/>
    <w:qFormat/>
    <w:rsid w:val="00166D20"/>
    <w:pPr>
      <w:spacing w:line="240" w:lineRule="auto"/>
    </w:pPr>
    <w:rPr>
      <w:rFonts w:asciiTheme="majorHAnsi" w:hAnsiTheme="majorHAnsi"/>
      <w:i/>
      <w:spacing w:val="-2"/>
      <w:sz w:val="16"/>
    </w:rPr>
  </w:style>
  <w:style w:type="paragraph" w:customStyle="1" w:styleId="Note">
    <w:name w:val="Note"/>
    <w:basedOn w:val="Normal"/>
    <w:link w:val="NoteChar"/>
    <w:uiPriority w:val="52"/>
    <w:qFormat/>
    <w:rsid w:val="00166D20"/>
    <w:pPr>
      <w:spacing w:after="0" w:line="240" w:lineRule="auto"/>
      <w:ind w:left="397" w:hanging="397"/>
    </w:pPr>
    <w:rPr>
      <w:rFonts w:asciiTheme="majorHAnsi" w:hAnsiTheme="majorHAnsi"/>
      <w:i/>
      <w:spacing w:val="-2"/>
      <w:sz w:val="16"/>
    </w:rPr>
  </w:style>
  <w:style w:type="paragraph" w:customStyle="1" w:styleId="HighlightBoxText">
    <w:name w:val="Highlight Box Text"/>
    <w:basedOn w:val="BodyText"/>
    <w:uiPriority w:val="79"/>
    <w:qFormat/>
    <w:rsid w:val="003703D1"/>
    <w:p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pPr>
  </w:style>
  <w:style w:type="table" w:styleId="TableGrid">
    <w:name w:val="Table Grid"/>
    <w:basedOn w:val="TableNormal"/>
    <w:uiPriority w:val="59"/>
    <w:rsid w:val="006B6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pPr>
      <w:spacing w:after="0"/>
    </w:pPr>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pPr>
      <w:spacing w:after="0"/>
    </w:pPr>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styleId="FootnoteText">
    <w:name w:val="footnote text"/>
    <w:basedOn w:val="Normal"/>
    <w:link w:val="FootnoteTextChar"/>
    <w:uiPriority w:val="99"/>
    <w:semiHidden/>
    <w:qFormat/>
    <w:rsid w:val="00363B60"/>
    <w:pPr>
      <w:spacing w:after="0"/>
    </w:pPr>
    <w:rPr>
      <w:rFonts w:eastAsiaTheme="minorEastAsia"/>
      <w:sz w:val="20"/>
      <w:szCs w:val="20"/>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19"/>
    <w:semiHidden/>
    <w:rsid w:val="00363B60"/>
    <w:rPr>
      <w:i/>
      <w:iCs/>
      <w:color w:val="7F7F7F" w:themeColor="text1" w:themeTint="80"/>
    </w:rPr>
  </w:style>
  <w:style w:type="table" w:styleId="MediumShading2-Accent5">
    <w:name w:val="Medium Shading 2 Accent 5"/>
    <w:basedOn w:val="TableNormal"/>
    <w:uiPriority w:val="64"/>
    <w:rsid w:val="00363B60"/>
    <w:pPr>
      <w:spacing w:after="0"/>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97"/>
    <w:rsid w:val="00790E40"/>
    <w:pPr>
      <w:spacing w:after="180"/>
    </w:pPr>
    <w:rPr>
      <w:rFonts w:asciiTheme="majorHAnsi" w:hAnsiTheme="majorHAnsi"/>
      <w:b/>
      <w:caps/>
      <w:color w:val="0063A6" w:themeColor="accent1"/>
      <w:spacing w:val="2"/>
    </w:rPr>
  </w:style>
  <w:style w:type="character" w:customStyle="1" w:styleId="HeaderChar">
    <w:name w:val="Header Char"/>
    <w:basedOn w:val="DefaultParagraphFont"/>
    <w:link w:val="Header"/>
    <w:uiPriority w:val="97"/>
    <w:rsid w:val="00790E40"/>
    <w:rPr>
      <w:rFonts w:asciiTheme="majorHAnsi" w:hAnsiTheme="majorHAnsi"/>
      <w:b/>
      <w:caps/>
      <w:color w:val="0063A6" w:themeColor="accent1"/>
      <w:spacing w:val="2"/>
    </w:rPr>
  </w:style>
  <w:style w:type="paragraph" w:styleId="Footer">
    <w:name w:val="footer"/>
    <w:aliases w:val="Footer (Odd page)"/>
    <w:basedOn w:val="Normal"/>
    <w:link w:val="FooterChar"/>
    <w:uiPriority w:val="98"/>
    <w:unhideWhenUsed/>
    <w:rsid w:val="009F70BB"/>
    <w:pPr>
      <w:pBdr>
        <w:top w:val="single" w:sz="6" w:space="1" w:color="0063A6" w:themeColor="accent1"/>
      </w:pBdr>
      <w:tabs>
        <w:tab w:val="center" w:pos="5954"/>
        <w:tab w:val="right" w:pos="9639"/>
      </w:tabs>
      <w:spacing w:after="0"/>
    </w:pPr>
    <w:rPr>
      <w:rFonts w:asciiTheme="majorHAnsi" w:hAnsiTheme="majorHAnsi"/>
      <w:sz w:val="18"/>
    </w:rPr>
  </w:style>
  <w:style w:type="character" w:customStyle="1" w:styleId="FooterChar">
    <w:name w:val="Footer Char"/>
    <w:aliases w:val="Footer (Odd page) Char"/>
    <w:basedOn w:val="DefaultParagraphFont"/>
    <w:link w:val="Footer"/>
    <w:uiPriority w:val="98"/>
    <w:rsid w:val="009F70BB"/>
    <w:rPr>
      <w:rFonts w:asciiTheme="majorHAnsi" w:hAnsiTheme="majorHAnsi"/>
      <w:sz w:val="18"/>
    </w:rPr>
  </w:style>
  <w:style w:type="paragraph" w:customStyle="1" w:styleId="NoteDash">
    <w:name w:val="Note Dash"/>
    <w:basedOn w:val="Note"/>
    <w:next w:val="Note"/>
    <w:uiPriority w:val="53"/>
    <w:qFormat/>
    <w:rsid w:val="00B56B25"/>
    <w:pPr>
      <w:numPr>
        <w:numId w:val="3"/>
      </w:numPr>
      <w:ind w:left="794" w:hanging="397"/>
    </w:pPr>
  </w:style>
  <w:style w:type="character" w:customStyle="1" w:styleId="NoteChar">
    <w:name w:val="Note Char"/>
    <w:basedOn w:val="DefaultParagraphFont"/>
    <w:link w:val="Note"/>
    <w:uiPriority w:val="52"/>
    <w:rsid w:val="00166D20"/>
    <w:rPr>
      <w:rFonts w:asciiTheme="majorHAnsi" w:hAnsiTheme="majorHAnsi"/>
      <w:i/>
      <w:spacing w:val="-2"/>
      <w:sz w:val="16"/>
    </w:rPr>
  </w:style>
  <w:style w:type="paragraph" w:styleId="TOC1">
    <w:name w:val="toc 1"/>
    <w:basedOn w:val="Normal"/>
    <w:next w:val="Normal"/>
    <w:uiPriority w:val="39"/>
    <w:rsid w:val="000E2126"/>
    <w:pPr>
      <w:tabs>
        <w:tab w:val="right" w:leader="dot" w:pos="9072"/>
      </w:tabs>
      <w:spacing w:before="120"/>
      <w:ind w:right="567"/>
    </w:pPr>
    <w:rPr>
      <w:rFonts w:asciiTheme="majorHAnsi" w:hAnsiTheme="majorHAnsi"/>
      <w:b/>
      <w:spacing w:val="-2"/>
      <w:szCs w:val="19"/>
    </w:rPr>
  </w:style>
  <w:style w:type="numbering" w:customStyle="1" w:styleId="Bullet">
    <w:name w:val="Bullet"/>
    <w:uiPriority w:val="99"/>
    <w:rsid w:val="00257E89"/>
    <w:pPr>
      <w:numPr>
        <w:numId w:val="1"/>
      </w:numPr>
    </w:pPr>
  </w:style>
  <w:style w:type="paragraph" w:styleId="ListBullet2">
    <w:name w:val="List Bullet 2"/>
    <w:basedOn w:val="BodyText"/>
    <w:uiPriority w:val="26"/>
    <w:rsid w:val="000F5BCA"/>
    <w:pPr>
      <w:numPr>
        <w:ilvl w:val="1"/>
        <w:numId w:val="2"/>
      </w:numPr>
      <w:ind w:left="794" w:hanging="397"/>
    </w:pPr>
  </w:style>
  <w:style w:type="character" w:customStyle="1" w:styleId="Heading5Char">
    <w:name w:val="Heading 5 Char"/>
    <w:basedOn w:val="DefaultParagraphFont"/>
    <w:link w:val="Heading5"/>
    <w:uiPriority w:val="9"/>
    <w:rsid w:val="0062613A"/>
    <w:rPr>
      <w:rFonts w:asciiTheme="majorHAnsi" w:eastAsiaTheme="majorEastAsia" w:hAnsiTheme="majorHAnsi" w:cstheme="majorBidi"/>
      <w:b/>
      <w:i/>
      <w:iCs/>
      <w:spacing w:val="-2"/>
      <w:sz w:val="20"/>
      <w:szCs w:val="26"/>
    </w:rPr>
  </w:style>
  <w:style w:type="paragraph" w:styleId="ListBullet">
    <w:name w:val="List Bullet"/>
    <w:basedOn w:val="BodyText"/>
    <w:uiPriority w:val="23"/>
    <w:rsid w:val="00753E64"/>
    <w:pPr>
      <w:numPr>
        <w:numId w:val="2"/>
      </w:numPr>
      <w:spacing w:after="60"/>
      <w:ind w:left="397" w:hanging="397"/>
    </w:pPr>
  </w:style>
  <w:style w:type="paragraph" w:styleId="List">
    <w:name w:val="List"/>
    <w:basedOn w:val="Normal"/>
    <w:uiPriority w:val="29"/>
    <w:semiHidden/>
    <w:rsid w:val="004964EC"/>
    <w:pPr>
      <w:ind w:left="283" w:hanging="283"/>
      <w:contextualSpacing/>
    </w:pPr>
  </w:style>
  <w:style w:type="paragraph" w:styleId="ListContinue">
    <w:name w:val="List Continue"/>
    <w:basedOn w:val="BodyText"/>
    <w:uiPriority w:val="25"/>
    <w:rsid w:val="000F5BCA"/>
    <w:pPr>
      <w:ind w:left="397"/>
    </w:pPr>
  </w:style>
  <w:style w:type="paragraph" w:styleId="ListContinue2">
    <w:name w:val="List Continue 2"/>
    <w:basedOn w:val="BodyText"/>
    <w:uiPriority w:val="26"/>
    <w:rsid w:val="000F5BCA"/>
    <w:pPr>
      <w:ind w:left="1588" w:hanging="794"/>
    </w:pPr>
  </w:style>
  <w:style w:type="paragraph" w:styleId="ListNumber">
    <w:name w:val="List Number"/>
    <w:basedOn w:val="BodyText"/>
    <w:uiPriority w:val="23"/>
    <w:rsid w:val="00ED06E6"/>
    <w:pPr>
      <w:ind w:left="397" w:hanging="397"/>
    </w:pPr>
    <w:rPr>
      <w:spacing w:val="2"/>
    </w:rPr>
  </w:style>
  <w:style w:type="table" w:customStyle="1" w:styleId="TableDTFGeneral">
    <w:name w:val="Table DTF General"/>
    <w:basedOn w:val="TableNormal"/>
    <w:uiPriority w:val="99"/>
    <w:rsid w:val="00C800AF"/>
    <w:pPr>
      <w:spacing w:before="20" w:after="20" w:line="240" w:lineRule="auto"/>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TOC2">
    <w:name w:val="toc 2"/>
    <w:basedOn w:val="Normal"/>
    <w:next w:val="Normal"/>
    <w:uiPriority w:val="39"/>
    <w:rsid w:val="00F62BCA"/>
    <w:pPr>
      <w:tabs>
        <w:tab w:val="left" w:pos="567"/>
        <w:tab w:val="right" w:leader="dot" w:pos="9072"/>
      </w:tabs>
      <w:spacing w:before="60" w:after="60"/>
      <w:ind w:left="284" w:right="567"/>
    </w:pPr>
    <w:rPr>
      <w:rFonts w:asciiTheme="majorHAnsi" w:hAnsiTheme="majorHAnsi"/>
      <w:noProof/>
      <w:spacing w:val="-2"/>
      <w:sz w:val="20"/>
      <w:szCs w:val="19"/>
    </w:rPr>
  </w:style>
  <w:style w:type="paragraph" w:styleId="TOC3">
    <w:name w:val="toc 3"/>
    <w:basedOn w:val="Normal"/>
    <w:next w:val="Normal"/>
    <w:uiPriority w:val="99"/>
    <w:semiHidden/>
    <w:rsid w:val="00402880"/>
    <w:pPr>
      <w:spacing w:after="100"/>
      <w:ind w:left="420"/>
    </w:pPr>
  </w:style>
  <w:style w:type="paragraph" w:styleId="TOC4">
    <w:name w:val="toc 4"/>
    <w:next w:val="Normal"/>
    <w:uiPriority w:val="39"/>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uiPriority w:val="79"/>
    <w:qFormat/>
    <w:rsid w:val="00D75608"/>
    <w:pPr>
      <w:keepNext/>
    </w:pPr>
    <w:rPr>
      <w:rFonts w:asciiTheme="majorHAnsi" w:hAnsiTheme="majorHAnsi"/>
      <w:i/>
    </w:rPr>
  </w:style>
  <w:style w:type="paragraph" w:customStyle="1" w:styleId="HighlightBullet">
    <w:name w:val="Highlight Bullet"/>
    <w:basedOn w:val="ListBullet"/>
    <w:next w:val="HighlightBoxText"/>
    <w:uiPriority w:val="79"/>
    <w:qFormat/>
    <w:rsid w:val="003703D1"/>
    <w:p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ind w:left="284" w:hanging="284"/>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sz w:val="20"/>
      <w:szCs w:val="20"/>
    </w:rPr>
  </w:style>
  <w:style w:type="paragraph" w:customStyle="1" w:styleId="Heading1unnumbered">
    <w:name w:val="Heading 1 (unnumbered)"/>
    <w:basedOn w:val="Heading1"/>
    <w:next w:val="Normal"/>
    <w:uiPriority w:val="12"/>
    <w:qFormat/>
    <w:rsid w:val="00BE12EA"/>
    <w:pPr>
      <w:numPr>
        <w:numId w:val="0"/>
      </w:numPr>
      <w:spacing w:before="0"/>
    </w:pPr>
  </w:style>
  <w:style w:type="table" w:styleId="LightShading-Accent2">
    <w:name w:val="Light Shading Accent 2"/>
    <w:basedOn w:val="TableNormal"/>
    <w:uiPriority w:val="60"/>
    <w:rsid w:val="00A9345E"/>
    <w:pPr>
      <w:spacing w:after="0"/>
    </w:pPr>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customStyle="1" w:styleId="Subheadingunderline">
    <w:name w:val="Subheading (underline)"/>
    <w:basedOn w:val="Subheading"/>
    <w:next w:val="Normal"/>
    <w:uiPriority w:val="50"/>
    <w:qFormat/>
    <w:rsid w:val="00B56791"/>
    <w:pPr>
      <w:pBdr>
        <w:bottom w:val="single" w:sz="6" w:space="1" w:color="0063A6" w:themeColor="accent1"/>
      </w:pBdr>
      <w:spacing w:after="120"/>
    </w:pPr>
  </w:style>
  <w:style w:type="paragraph" w:styleId="BodyText">
    <w:name w:val="Body Text"/>
    <w:basedOn w:val="Normal"/>
    <w:link w:val="BodyTextChar"/>
    <w:uiPriority w:val="4"/>
    <w:rsid w:val="00D75608"/>
  </w:style>
  <w:style w:type="character" w:customStyle="1" w:styleId="BodyTextChar">
    <w:name w:val="Body Text Char"/>
    <w:basedOn w:val="DefaultParagraphFont"/>
    <w:link w:val="BodyText"/>
    <w:uiPriority w:val="4"/>
    <w:rsid w:val="00D75608"/>
  </w:style>
  <w:style w:type="character" w:customStyle="1" w:styleId="TableUnitsChar">
    <w:name w:val="Table Units Char"/>
    <w:basedOn w:val="DefaultParagraphFont"/>
    <w:link w:val="TableUnits"/>
    <w:uiPriority w:val="50"/>
    <w:rsid w:val="00573F75"/>
    <w:rPr>
      <w:rFonts w:asciiTheme="majorHAnsi" w:hAnsiTheme="majorHAnsi"/>
      <w:spacing w:val="-2"/>
      <w:sz w:val="19"/>
    </w:rPr>
  </w:style>
  <w:style w:type="table" w:styleId="LightList">
    <w:name w:val="Light List"/>
    <w:basedOn w:val="TableNormal"/>
    <w:uiPriority w:val="61"/>
    <w:rsid w:val="0065194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unhideWhenUsed/>
    <w:rsid w:val="00A30D6D"/>
    <w:pPr>
      <w:tabs>
        <w:tab w:val="left" w:pos="567"/>
        <w:tab w:val="right" w:leader="dot" w:pos="4423"/>
      </w:tabs>
      <w:spacing w:after="100"/>
      <w:ind w:left="567" w:right="340" w:hanging="567"/>
    </w:pPr>
    <w:rPr>
      <w:sz w:val="20"/>
    </w:rPr>
  </w:style>
  <w:style w:type="table" w:customStyle="1" w:styleId="TableGrid1">
    <w:name w:val="Table Grid1"/>
    <w:basedOn w:val="TableNormal"/>
    <w:next w:val="TableGrid"/>
    <w:rsid w:val="00FE3386"/>
    <w:pPr>
      <w:spacing w:line="240" w:lineRule="auto"/>
      <w:jc w:val="both"/>
    </w:pPr>
    <w:rPr>
      <w:rFonts w:ascii="Calibri" w:eastAsia="Times New Roman" w:hAnsi="Calibri" w:cs="Times New Roman"/>
      <w:sz w:val="20"/>
      <w:szCs w:val="20"/>
      <w:lang w:eastAsia="en-AU"/>
    </w:rPr>
    <w:tblPr/>
  </w:style>
  <w:style w:type="paragraph" w:styleId="ListParagraph">
    <w:name w:val="List Paragraph"/>
    <w:basedOn w:val="Normal"/>
    <w:uiPriority w:val="34"/>
    <w:qFormat/>
    <w:rsid w:val="00EE5F4A"/>
    <w:pPr>
      <w:ind w:left="720"/>
      <w:contextualSpacing/>
    </w:pPr>
  </w:style>
  <w:style w:type="table" w:customStyle="1" w:styleId="TableGrid2">
    <w:name w:val="Table Grid2"/>
    <w:basedOn w:val="TableNormal"/>
    <w:next w:val="TableGrid"/>
    <w:uiPriority w:val="59"/>
    <w:rsid w:val="006C5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olledEntitiesHeading1">
    <w:name w:val="ControlledEntitiesHeading1"/>
    <w:qFormat/>
    <w:rsid w:val="004C13CF"/>
    <w:pPr>
      <w:shd w:val="clear" w:color="auto" w:fill="000000" w:themeFill="text1"/>
      <w:spacing w:after="0" w:line="240" w:lineRule="auto"/>
      <w:jc w:val="center"/>
    </w:pPr>
    <w:rPr>
      <w:rFonts w:asciiTheme="majorHAnsi" w:eastAsia="Times New Roman" w:hAnsiTheme="majorHAnsi" w:cstheme="minorHAnsi"/>
      <w:b/>
      <w:i/>
      <w:color w:val="FFFFFF" w:themeColor="background1"/>
      <w:lang w:eastAsia="en-AU"/>
    </w:rPr>
  </w:style>
  <w:style w:type="paragraph" w:customStyle="1" w:styleId="ControlledEntitiesHeading2">
    <w:name w:val="ControlledEntitiesHeading2"/>
    <w:qFormat/>
    <w:rsid w:val="004C13CF"/>
    <w:pPr>
      <w:shd w:val="clear" w:color="auto" w:fill="D9D9D9" w:themeFill="background1" w:themeFillShade="D9"/>
      <w:spacing w:before="120" w:after="0" w:line="240" w:lineRule="auto"/>
    </w:pPr>
    <w:rPr>
      <w:rFonts w:ascii="Calibri" w:eastAsia="Times New Roman" w:hAnsi="Calibri" w:cs="Times New Roman"/>
      <w:b/>
      <w:bCs/>
      <w:color w:val="000000" w:themeColor="text1"/>
      <w:sz w:val="18"/>
      <w:szCs w:val="18"/>
      <w:lang w:eastAsia="en-AU"/>
    </w:rPr>
  </w:style>
  <w:style w:type="paragraph" w:customStyle="1" w:styleId="ControlledEntitiesText">
    <w:name w:val="ControlledEntitiesText"/>
    <w:qFormat/>
    <w:rsid w:val="004C13CF"/>
    <w:pPr>
      <w:spacing w:before="20" w:after="20" w:line="240" w:lineRule="auto"/>
      <w:ind w:left="170" w:hanging="170"/>
    </w:pPr>
    <w:rPr>
      <w:rFonts w:ascii="Calibri" w:eastAsia="Times New Roman" w:hAnsi="Calibri" w:cs="Times New Roman"/>
      <w:color w:val="000000" w:themeColor="text1"/>
      <w:sz w:val="18"/>
      <w:szCs w:val="18"/>
      <w:lang w:eastAsia="en-AU"/>
    </w:rPr>
  </w:style>
  <w:style w:type="paragraph" w:customStyle="1" w:styleId="ControlledEntitiesDash">
    <w:name w:val="ControlledEntitiesDash"/>
    <w:qFormat/>
    <w:rsid w:val="003026DE"/>
    <w:pPr>
      <w:spacing w:before="20" w:after="20" w:line="240" w:lineRule="auto"/>
      <w:ind w:left="216" w:hanging="216"/>
      <w:contextualSpacing/>
    </w:pPr>
    <w:rPr>
      <w:rFonts w:ascii="Calibri" w:eastAsia="Times New Roman" w:hAnsi="Calibri" w:cs="Times New Roman"/>
      <w:iCs/>
      <w:color w:val="000000" w:themeColor="text1"/>
      <w:sz w:val="18"/>
      <w:szCs w:val="18"/>
      <w:lang w:eastAsia="en-AU"/>
    </w:rPr>
  </w:style>
  <w:style w:type="paragraph" w:customStyle="1" w:styleId="BulletText">
    <w:name w:val="Bullet Text"/>
    <w:basedOn w:val="Normal"/>
    <w:qFormat/>
    <w:rsid w:val="003026DE"/>
    <w:pPr>
      <w:tabs>
        <w:tab w:val="num" w:pos="360"/>
      </w:tabs>
      <w:spacing w:line="240" w:lineRule="auto"/>
      <w:ind w:left="360" w:hanging="360"/>
    </w:pPr>
    <w:rPr>
      <w:rFonts w:ascii="Garamond" w:eastAsia="Times New Roman" w:hAnsi="Garamond" w:cs="Times New Roman"/>
      <w:sz w:val="24"/>
      <w:szCs w:val="20"/>
    </w:rPr>
  </w:style>
  <w:style w:type="character" w:styleId="PageNumber">
    <w:name w:val="page number"/>
    <w:uiPriority w:val="99"/>
    <w:rsid w:val="003026DE"/>
    <w:rPr>
      <w:rFonts w:ascii="Calibri" w:hAnsi="Calibri"/>
      <w:sz w:val="22"/>
    </w:rPr>
  </w:style>
  <w:style w:type="paragraph" w:customStyle="1" w:styleId="Heading2NotesContd">
    <w:name w:val="Heading 2 Notes Cont'd"/>
    <w:basedOn w:val="Normal"/>
    <w:link w:val="Heading2NotesContdChar"/>
    <w:rsid w:val="003026DE"/>
    <w:pPr>
      <w:keepNext/>
      <w:tabs>
        <w:tab w:val="left" w:pos="1152"/>
      </w:tabs>
      <w:spacing w:before="240" w:line="240" w:lineRule="auto"/>
      <w:ind w:left="1152" w:hanging="1152"/>
      <w:outlineLvl w:val="1"/>
    </w:pPr>
    <w:rPr>
      <w:rFonts w:ascii="Calibri" w:eastAsia="Times New Roman" w:hAnsi="Calibri" w:cs="Times New Roman"/>
      <w:b/>
      <w:kern w:val="28"/>
      <w:sz w:val="28"/>
    </w:rPr>
  </w:style>
  <w:style w:type="paragraph" w:customStyle="1" w:styleId="DashText">
    <w:name w:val="Dash Text"/>
    <w:basedOn w:val="Normal"/>
    <w:qFormat/>
    <w:rsid w:val="003026DE"/>
    <w:pPr>
      <w:tabs>
        <w:tab w:val="num" w:pos="720"/>
      </w:tabs>
      <w:spacing w:line="240" w:lineRule="auto"/>
      <w:ind w:left="720" w:hanging="360"/>
    </w:pPr>
    <w:rPr>
      <w:rFonts w:ascii="Garamond" w:eastAsia="Times New Roman" w:hAnsi="Garamond" w:cs="Times New Roman"/>
      <w:sz w:val="24"/>
      <w:szCs w:val="20"/>
    </w:rPr>
  </w:style>
  <w:style w:type="paragraph" w:customStyle="1" w:styleId="TableTextindent">
    <w:name w:val="Table Text indent"/>
    <w:basedOn w:val="Normal"/>
    <w:rsid w:val="003026DE"/>
    <w:pPr>
      <w:spacing w:after="0" w:line="240" w:lineRule="auto"/>
      <w:ind w:left="360"/>
    </w:pPr>
    <w:rPr>
      <w:rFonts w:ascii="Calibri" w:eastAsia="Times New Roman" w:hAnsi="Calibri" w:cs="Times New Roman"/>
      <w:szCs w:val="18"/>
    </w:rPr>
  </w:style>
  <w:style w:type="character" w:customStyle="1" w:styleId="Heading2NotesContdChar">
    <w:name w:val="Heading 2 Notes Cont'd Char"/>
    <w:link w:val="Heading2NotesContd"/>
    <w:locked/>
    <w:rsid w:val="003026DE"/>
    <w:rPr>
      <w:rFonts w:ascii="Calibri" w:eastAsia="Times New Roman" w:hAnsi="Calibri" w:cs="Times New Roman"/>
      <w:b/>
      <w:kern w:val="28"/>
      <w:sz w:val="28"/>
    </w:rPr>
  </w:style>
  <w:style w:type="paragraph" w:styleId="TOCHeading">
    <w:name w:val="TOC Heading"/>
    <w:basedOn w:val="Heading1"/>
    <w:next w:val="Normal"/>
    <w:uiPriority w:val="99"/>
    <w:unhideWhenUsed/>
    <w:rsid w:val="003026DE"/>
    <w:pPr>
      <w:numPr>
        <w:numId w:val="0"/>
      </w:numPr>
      <w:pBdr>
        <w:bottom w:val="none" w:sz="0" w:space="0" w:color="auto"/>
      </w:pBdr>
      <w:spacing w:before="480" w:after="0"/>
      <w:outlineLvl w:val="9"/>
    </w:pPr>
    <w:rPr>
      <w:caps w:val="0"/>
      <w:color w:val="004A7C" w:themeColor="accent1" w:themeShade="BF"/>
      <w:spacing w:val="0"/>
      <w:sz w:val="28"/>
    </w:rPr>
  </w:style>
  <w:style w:type="paragraph" w:customStyle="1" w:styleId="Notes">
    <w:name w:val="Notes"/>
    <w:basedOn w:val="Normal"/>
    <w:link w:val="NotesChar"/>
    <w:qFormat/>
    <w:rsid w:val="006C491A"/>
    <w:pPr>
      <w:tabs>
        <w:tab w:val="left" w:pos="360"/>
      </w:tabs>
      <w:spacing w:after="0" w:line="240" w:lineRule="auto"/>
      <w:ind w:left="360" w:hanging="360"/>
    </w:pPr>
    <w:rPr>
      <w:rFonts w:ascii="Calibri" w:eastAsia="Times New Roman" w:hAnsi="Calibri" w:cs="Times New Roman"/>
      <w:i/>
      <w:sz w:val="16"/>
      <w:szCs w:val="20"/>
      <w:lang w:eastAsia="en-AU"/>
    </w:rPr>
  </w:style>
  <w:style w:type="character" w:customStyle="1" w:styleId="NotesChar">
    <w:name w:val="Notes Char"/>
    <w:link w:val="Notes"/>
    <w:locked/>
    <w:rsid w:val="006C491A"/>
    <w:rPr>
      <w:rFonts w:ascii="Calibri" w:eastAsia="Times New Roman" w:hAnsi="Calibri" w:cs="Times New Roman"/>
      <w:i/>
      <w:sz w:val="16"/>
      <w:szCs w:val="20"/>
      <w:lang w:eastAsia="en-AU"/>
    </w:rPr>
  </w:style>
  <w:style w:type="numbering" w:customStyle="1" w:styleId="ListAlphaStyle">
    <w:name w:val="List Alpha Style"/>
    <w:uiPriority w:val="99"/>
    <w:rsid w:val="00496AC4"/>
    <w:pPr>
      <w:numPr>
        <w:numId w:val="5"/>
      </w:numPr>
    </w:pPr>
  </w:style>
  <w:style w:type="paragraph" w:customStyle="1" w:styleId="ListAlpha">
    <w:name w:val="List Alpha"/>
    <w:basedOn w:val="Normal"/>
    <w:uiPriority w:val="24"/>
    <w:rsid w:val="00496AC4"/>
    <w:pPr>
      <w:numPr>
        <w:numId w:val="6"/>
      </w:numPr>
    </w:pPr>
  </w:style>
  <w:style w:type="numbering" w:customStyle="1" w:styleId="ListBulletStyle">
    <w:name w:val="List Bullet Style"/>
    <w:uiPriority w:val="99"/>
    <w:rsid w:val="00496AC4"/>
    <w:pPr>
      <w:numPr>
        <w:numId w:val="7"/>
      </w:numPr>
    </w:pPr>
  </w:style>
  <w:style w:type="numbering" w:customStyle="1" w:styleId="ListNumberStyle">
    <w:name w:val="List Number Style"/>
    <w:uiPriority w:val="99"/>
    <w:rsid w:val="00496AC4"/>
    <w:pPr>
      <w:numPr>
        <w:numId w:val="8"/>
      </w:numPr>
    </w:pPr>
  </w:style>
  <w:style w:type="paragraph" w:styleId="EndnoteText">
    <w:name w:val="endnote text"/>
    <w:basedOn w:val="Normal"/>
    <w:link w:val="EndnoteTextChar"/>
    <w:uiPriority w:val="99"/>
    <w:semiHidden/>
    <w:unhideWhenUsed/>
    <w:rsid w:val="00ED26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26BE"/>
    <w:rPr>
      <w:sz w:val="20"/>
      <w:szCs w:val="20"/>
    </w:rPr>
  </w:style>
  <w:style w:type="character" w:styleId="EndnoteReference">
    <w:name w:val="endnote reference"/>
    <w:basedOn w:val="DefaultParagraphFont"/>
    <w:uiPriority w:val="99"/>
    <w:semiHidden/>
    <w:unhideWhenUsed/>
    <w:rsid w:val="00ED26BE"/>
    <w:rPr>
      <w:vertAlign w:val="superscript"/>
    </w:rPr>
  </w:style>
  <w:style w:type="paragraph" w:styleId="NormalWeb">
    <w:name w:val="Normal (Web)"/>
    <w:basedOn w:val="Normal"/>
    <w:uiPriority w:val="99"/>
    <w:unhideWhenUsed/>
    <w:rsid w:val="00ED26BE"/>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A">
    <w:name w:val="(A)"/>
    <w:uiPriority w:val="99"/>
    <w:rsid w:val="001D40F4"/>
    <w:pPr>
      <w:numPr>
        <w:numId w:val="10"/>
      </w:numPr>
    </w:pPr>
  </w:style>
  <w:style w:type="paragraph" w:customStyle="1" w:styleId="DecimalAligned">
    <w:name w:val="Decimal Aligned"/>
    <w:basedOn w:val="Normal"/>
    <w:uiPriority w:val="40"/>
    <w:semiHidden/>
    <w:rsid w:val="001D40F4"/>
    <w:pPr>
      <w:keepLines/>
      <w:tabs>
        <w:tab w:val="decimal" w:pos="360"/>
      </w:tabs>
      <w:spacing w:after="200" w:line="276" w:lineRule="auto"/>
    </w:pPr>
    <w:rPr>
      <w:lang w:val="en-US" w:eastAsia="ja-JP"/>
    </w:rPr>
  </w:style>
  <w:style w:type="paragraph" w:customStyle="1" w:styleId="Headingnote">
    <w:name w:val="Heading (note)"/>
    <w:basedOn w:val="Heading2"/>
    <w:next w:val="Normal"/>
    <w:uiPriority w:val="14"/>
    <w:qFormat/>
    <w:rsid w:val="001D40F4"/>
    <w:pPr>
      <w:numPr>
        <w:ilvl w:val="0"/>
        <w:numId w:val="0"/>
      </w:numPr>
      <w:tabs>
        <w:tab w:val="left" w:pos="1134"/>
      </w:tabs>
      <w:spacing w:line="240" w:lineRule="auto"/>
      <w:ind w:left="1134" w:hanging="1134"/>
    </w:pPr>
  </w:style>
  <w:style w:type="paragraph" w:customStyle="1" w:styleId="NotesDash">
    <w:name w:val="Notes Dash"/>
    <w:basedOn w:val="Note"/>
    <w:next w:val="Note"/>
    <w:uiPriority w:val="53"/>
    <w:qFormat/>
    <w:rsid w:val="001D40F4"/>
    <w:pPr>
      <w:keepLines/>
      <w:spacing w:after="20"/>
      <w:ind w:left="794"/>
    </w:pPr>
  </w:style>
  <w:style w:type="paragraph" w:customStyle="1" w:styleId="Headingnotecontinued">
    <w:name w:val="Heading (note continued)"/>
    <w:basedOn w:val="Headingnote"/>
    <w:next w:val="Normal"/>
    <w:uiPriority w:val="15"/>
    <w:qFormat/>
    <w:rsid w:val="001D40F4"/>
  </w:style>
  <w:style w:type="paragraph" w:customStyle="1" w:styleId="TableofContentsheading">
    <w:name w:val="Table of Contents heading"/>
    <w:basedOn w:val="Normal"/>
    <w:next w:val="Normal"/>
    <w:rsid w:val="00600DD6"/>
    <w:pPr>
      <w:keepNext/>
      <w:pBdr>
        <w:bottom w:val="single" w:sz="12" w:space="7" w:color="0063A6" w:themeColor="accent1"/>
      </w:pBdr>
      <w:spacing w:before="1440" w:after="360" w:line="240" w:lineRule="auto"/>
    </w:pPr>
    <w:rPr>
      <w:rFonts w:ascii="Calibri" w:eastAsia="Times New Roman" w:hAnsi="Calibri" w:cs="Times New Roman"/>
      <w:b/>
      <w:caps/>
      <w:color w:val="0063A6" w:themeColor="accent1"/>
      <w:sz w:val="38"/>
      <w:szCs w:val="28"/>
    </w:rPr>
  </w:style>
  <w:style w:type="paragraph" w:customStyle="1" w:styleId="FooterEvenpage">
    <w:name w:val="Footer (Even page)"/>
    <w:basedOn w:val="Footer"/>
    <w:uiPriority w:val="98"/>
    <w:qFormat/>
    <w:rsid w:val="009F70BB"/>
    <w:pPr>
      <w:tabs>
        <w:tab w:val="clear" w:pos="5954"/>
        <w:tab w:val="center" w:pos="3686"/>
      </w:tabs>
    </w:pPr>
  </w:style>
  <w:style w:type="character" w:styleId="CommentReference">
    <w:name w:val="annotation reference"/>
    <w:basedOn w:val="DefaultParagraphFont"/>
    <w:uiPriority w:val="99"/>
    <w:semiHidden/>
    <w:unhideWhenUsed/>
    <w:rsid w:val="00422A06"/>
    <w:rPr>
      <w:sz w:val="16"/>
      <w:szCs w:val="16"/>
    </w:rPr>
  </w:style>
  <w:style w:type="paragraph" w:styleId="CommentText">
    <w:name w:val="annotation text"/>
    <w:basedOn w:val="Normal"/>
    <w:link w:val="CommentTextChar"/>
    <w:uiPriority w:val="99"/>
    <w:semiHidden/>
    <w:unhideWhenUsed/>
    <w:rsid w:val="00422A06"/>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422A06"/>
    <w:rPr>
      <w:sz w:val="20"/>
      <w:szCs w:val="20"/>
    </w:rPr>
  </w:style>
  <w:style w:type="paragraph" w:styleId="Bibliography">
    <w:name w:val="Bibliography"/>
    <w:basedOn w:val="Normal"/>
    <w:next w:val="Normal"/>
    <w:uiPriority w:val="37"/>
    <w:semiHidden/>
    <w:unhideWhenUsed/>
    <w:rsid w:val="003749A3"/>
  </w:style>
  <w:style w:type="paragraph" w:styleId="BlockText">
    <w:name w:val="Block Text"/>
    <w:basedOn w:val="Normal"/>
    <w:uiPriority w:val="99"/>
    <w:semiHidden/>
    <w:unhideWhenUsed/>
    <w:rsid w:val="003749A3"/>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2">
    <w:name w:val="Body Text 2"/>
    <w:basedOn w:val="Normal"/>
    <w:link w:val="BodyText2Char"/>
    <w:uiPriority w:val="99"/>
    <w:semiHidden/>
    <w:unhideWhenUsed/>
    <w:rsid w:val="003749A3"/>
    <w:pPr>
      <w:spacing w:line="480" w:lineRule="auto"/>
    </w:pPr>
  </w:style>
  <w:style w:type="character" w:customStyle="1" w:styleId="BodyText2Char">
    <w:name w:val="Body Text 2 Char"/>
    <w:basedOn w:val="DefaultParagraphFont"/>
    <w:link w:val="BodyText2"/>
    <w:uiPriority w:val="99"/>
    <w:semiHidden/>
    <w:rsid w:val="003749A3"/>
  </w:style>
  <w:style w:type="paragraph" w:styleId="BodyText3">
    <w:name w:val="Body Text 3"/>
    <w:basedOn w:val="Normal"/>
    <w:link w:val="BodyText3Char"/>
    <w:uiPriority w:val="99"/>
    <w:semiHidden/>
    <w:unhideWhenUsed/>
    <w:rsid w:val="003749A3"/>
    <w:rPr>
      <w:sz w:val="16"/>
      <w:szCs w:val="16"/>
    </w:rPr>
  </w:style>
  <w:style w:type="character" w:customStyle="1" w:styleId="BodyText3Char">
    <w:name w:val="Body Text 3 Char"/>
    <w:basedOn w:val="DefaultParagraphFont"/>
    <w:link w:val="BodyText3"/>
    <w:uiPriority w:val="99"/>
    <w:semiHidden/>
    <w:rsid w:val="003749A3"/>
    <w:rPr>
      <w:sz w:val="16"/>
      <w:szCs w:val="16"/>
    </w:rPr>
  </w:style>
  <w:style w:type="paragraph" w:styleId="BodyTextFirstIndent">
    <w:name w:val="Body Text First Indent"/>
    <w:basedOn w:val="BodyText"/>
    <w:link w:val="BodyTextFirstIndentChar"/>
    <w:uiPriority w:val="99"/>
    <w:semiHidden/>
    <w:unhideWhenUsed/>
    <w:rsid w:val="003749A3"/>
    <w:pPr>
      <w:ind w:firstLine="360"/>
    </w:pPr>
  </w:style>
  <w:style w:type="character" w:customStyle="1" w:styleId="BodyTextFirstIndentChar">
    <w:name w:val="Body Text First Indent Char"/>
    <w:basedOn w:val="BodyTextChar"/>
    <w:link w:val="BodyTextFirstIndent"/>
    <w:uiPriority w:val="99"/>
    <w:semiHidden/>
    <w:rsid w:val="003749A3"/>
  </w:style>
  <w:style w:type="paragraph" w:styleId="BodyTextIndent">
    <w:name w:val="Body Text Indent"/>
    <w:basedOn w:val="Normal"/>
    <w:link w:val="BodyTextIndentChar"/>
    <w:uiPriority w:val="99"/>
    <w:semiHidden/>
    <w:unhideWhenUsed/>
    <w:rsid w:val="003749A3"/>
    <w:pPr>
      <w:ind w:left="283"/>
    </w:pPr>
  </w:style>
  <w:style w:type="character" w:customStyle="1" w:styleId="BodyTextIndentChar">
    <w:name w:val="Body Text Indent Char"/>
    <w:basedOn w:val="DefaultParagraphFont"/>
    <w:link w:val="BodyTextIndent"/>
    <w:uiPriority w:val="99"/>
    <w:semiHidden/>
    <w:rsid w:val="003749A3"/>
  </w:style>
  <w:style w:type="paragraph" w:styleId="BodyTextFirstIndent2">
    <w:name w:val="Body Text First Indent 2"/>
    <w:basedOn w:val="BodyTextIndent"/>
    <w:link w:val="BodyTextFirstIndent2Char"/>
    <w:uiPriority w:val="99"/>
    <w:semiHidden/>
    <w:unhideWhenUsed/>
    <w:rsid w:val="003749A3"/>
    <w:pPr>
      <w:ind w:left="360" w:firstLine="360"/>
    </w:pPr>
  </w:style>
  <w:style w:type="character" w:customStyle="1" w:styleId="BodyTextFirstIndent2Char">
    <w:name w:val="Body Text First Indent 2 Char"/>
    <w:basedOn w:val="BodyTextIndentChar"/>
    <w:link w:val="BodyTextFirstIndent2"/>
    <w:uiPriority w:val="99"/>
    <w:semiHidden/>
    <w:rsid w:val="003749A3"/>
  </w:style>
  <w:style w:type="paragraph" w:styleId="BodyTextIndent2">
    <w:name w:val="Body Text Indent 2"/>
    <w:basedOn w:val="Normal"/>
    <w:link w:val="BodyTextIndent2Char"/>
    <w:uiPriority w:val="99"/>
    <w:semiHidden/>
    <w:unhideWhenUsed/>
    <w:rsid w:val="003749A3"/>
    <w:pPr>
      <w:spacing w:line="480" w:lineRule="auto"/>
      <w:ind w:left="283"/>
    </w:pPr>
  </w:style>
  <w:style w:type="character" w:customStyle="1" w:styleId="BodyTextIndent2Char">
    <w:name w:val="Body Text Indent 2 Char"/>
    <w:basedOn w:val="DefaultParagraphFont"/>
    <w:link w:val="BodyTextIndent2"/>
    <w:uiPriority w:val="99"/>
    <w:semiHidden/>
    <w:rsid w:val="003749A3"/>
  </w:style>
  <w:style w:type="paragraph" w:styleId="BodyTextIndent3">
    <w:name w:val="Body Text Indent 3"/>
    <w:basedOn w:val="Normal"/>
    <w:link w:val="BodyTextIndent3Char"/>
    <w:uiPriority w:val="99"/>
    <w:semiHidden/>
    <w:unhideWhenUsed/>
    <w:rsid w:val="003749A3"/>
    <w:pPr>
      <w:ind w:left="283"/>
    </w:pPr>
    <w:rPr>
      <w:sz w:val="16"/>
      <w:szCs w:val="16"/>
    </w:rPr>
  </w:style>
  <w:style w:type="character" w:customStyle="1" w:styleId="BodyTextIndent3Char">
    <w:name w:val="Body Text Indent 3 Char"/>
    <w:basedOn w:val="DefaultParagraphFont"/>
    <w:link w:val="BodyTextIndent3"/>
    <w:uiPriority w:val="99"/>
    <w:semiHidden/>
    <w:rsid w:val="003749A3"/>
    <w:rPr>
      <w:sz w:val="16"/>
      <w:szCs w:val="16"/>
    </w:rPr>
  </w:style>
  <w:style w:type="paragraph" w:styleId="Caption">
    <w:name w:val="caption"/>
    <w:basedOn w:val="Normal"/>
    <w:next w:val="Normal"/>
    <w:uiPriority w:val="35"/>
    <w:semiHidden/>
    <w:unhideWhenUsed/>
    <w:qFormat/>
    <w:rsid w:val="003749A3"/>
    <w:pPr>
      <w:spacing w:after="200" w:line="240" w:lineRule="auto"/>
    </w:pPr>
    <w:rPr>
      <w:b/>
      <w:bCs/>
      <w:color w:val="0063A6" w:themeColor="accent1"/>
      <w:sz w:val="18"/>
      <w:szCs w:val="18"/>
    </w:rPr>
  </w:style>
  <w:style w:type="paragraph" w:styleId="Closing">
    <w:name w:val="Closing"/>
    <w:basedOn w:val="Normal"/>
    <w:link w:val="ClosingChar"/>
    <w:uiPriority w:val="99"/>
    <w:semiHidden/>
    <w:unhideWhenUsed/>
    <w:rsid w:val="003749A3"/>
    <w:pPr>
      <w:spacing w:after="0" w:line="240" w:lineRule="auto"/>
      <w:ind w:left="4252"/>
    </w:pPr>
  </w:style>
  <w:style w:type="character" w:customStyle="1" w:styleId="ClosingChar">
    <w:name w:val="Closing Char"/>
    <w:basedOn w:val="DefaultParagraphFont"/>
    <w:link w:val="Closing"/>
    <w:uiPriority w:val="99"/>
    <w:semiHidden/>
    <w:rsid w:val="003749A3"/>
  </w:style>
  <w:style w:type="paragraph" w:styleId="CommentSubject">
    <w:name w:val="annotation subject"/>
    <w:basedOn w:val="CommentText"/>
    <w:next w:val="CommentText"/>
    <w:link w:val="CommentSubjectChar"/>
    <w:uiPriority w:val="99"/>
    <w:semiHidden/>
    <w:unhideWhenUsed/>
    <w:rsid w:val="003749A3"/>
    <w:pPr>
      <w:spacing w:after="120"/>
    </w:pPr>
    <w:rPr>
      <w:b/>
      <w:bCs/>
    </w:rPr>
  </w:style>
  <w:style w:type="character" w:customStyle="1" w:styleId="CommentSubjectChar">
    <w:name w:val="Comment Subject Char"/>
    <w:basedOn w:val="CommentTextChar"/>
    <w:link w:val="CommentSubject"/>
    <w:uiPriority w:val="99"/>
    <w:semiHidden/>
    <w:rsid w:val="003749A3"/>
    <w:rPr>
      <w:b/>
      <w:bCs/>
      <w:sz w:val="20"/>
      <w:szCs w:val="20"/>
    </w:rPr>
  </w:style>
  <w:style w:type="paragraph" w:styleId="Date">
    <w:name w:val="Date"/>
    <w:basedOn w:val="Normal"/>
    <w:next w:val="Normal"/>
    <w:link w:val="DateChar"/>
    <w:uiPriority w:val="99"/>
    <w:semiHidden/>
    <w:unhideWhenUsed/>
    <w:rsid w:val="003749A3"/>
  </w:style>
  <w:style w:type="character" w:customStyle="1" w:styleId="DateChar">
    <w:name w:val="Date Char"/>
    <w:basedOn w:val="DefaultParagraphFont"/>
    <w:link w:val="Date"/>
    <w:uiPriority w:val="99"/>
    <w:semiHidden/>
    <w:rsid w:val="003749A3"/>
  </w:style>
  <w:style w:type="paragraph" w:styleId="DocumentMap">
    <w:name w:val="Document Map"/>
    <w:basedOn w:val="Normal"/>
    <w:link w:val="DocumentMapChar"/>
    <w:uiPriority w:val="99"/>
    <w:semiHidden/>
    <w:unhideWhenUsed/>
    <w:rsid w:val="003749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49A3"/>
    <w:rPr>
      <w:rFonts w:ascii="Tahoma" w:hAnsi="Tahoma" w:cs="Tahoma"/>
      <w:sz w:val="16"/>
      <w:szCs w:val="16"/>
    </w:rPr>
  </w:style>
  <w:style w:type="paragraph" w:styleId="E-mailSignature">
    <w:name w:val="E-mail Signature"/>
    <w:basedOn w:val="Normal"/>
    <w:link w:val="E-mailSignatureChar"/>
    <w:uiPriority w:val="99"/>
    <w:semiHidden/>
    <w:unhideWhenUsed/>
    <w:rsid w:val="003749A3"/>
    <w:pPr>
      <w:spacing w:after="0" w:line="240" w:lineRule="auto"/>
    </w:pPr>
  </w:style>
  <w:style w:type="character" w:customStyle="1" w:styleId="E-mailSignatureChar">
    <w:name w:val="E-mail Signature Char"/>
    <w:basedOn w:val="DefaultParagraphFont"/>
    <w:link w:val="E-mailSignature"/>
    <w:uiPriority w:val="99"/>
    <w:semiHidden/>
    <w:rsid w:val="003749A3"/>
  </w:style>
  <w:style w:type="paragraph" w:styleId="EnvelopeAddress">
    <w:name w:val="envelope address"/>
    <w:basedOn w:val="Normal"/>
    <w:uiPriority w:val="99"/>
    <w:semiHidden/>
    <w:unhideWhenUsed/>
    <w:rsid w:val="003749A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749A3"/>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749A3"/>
    <w:pPr>
      <w:spacing w:after="0" w:line="240" w:lineRule="auto"/>
    </w:pPr>
    <w:rPr>
      <w:i/>
      <w:iCs/>
    </w:rPr>
  </w:style>
  <w:style w:type="character" w:customStyle="1" w:styleId="HTMLAddressChar">
    <w:name w:val="HTML Address Char"/>
    <w:basedOn w:val="DefaultParagraphFont"/>
    <w:link w:val="HTMLAddress"/>
    <w:uiPriority w:val="99"/>
    <w:semiHidden/>
    <w:rsid w:val="003749A3"/>
    <w:rPr>
      <w:i/>
      <w:iCs/>
    </w:rPr>
  </w:style>
  <w:style w:type="paragraph" w:styleId="HTMLPreformatted">
    <w:name w:val="HTML Preformatted"/>
    <w:basedOn w:val="Normal"/>
    <w:link w:val="HTMLPreformattedChar"/>
    <w:uiPriority w:val="99"/>
    <w:semiHidden/>
    <w:unhideWhenUsed/>
    <w:rsid w:val="003749A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749A3"/>
    <w:rPr>
      <w:rFonts w:ascii="Consolas" w:hAnsi="Consolas" w:cs="Consolas"/>
      <w:sz w:val="20"/>
      <w:szCs w:val="20"/>
    </w:rPr>
  </w:style>
  <w:style w:type="paragraph" w:styleId="Index1">
    <w:name w:val="index 1"/>
    <w:basedOn w:val="Normal"/>
    <w:next w:val="Normal"/>
    <w:autoRedefine/>
    <w:uiPriority w:val="99"/>
    <w:semiHidden/>
    <w:unhideWhenUsed/>
    <w:rsid w:val="003749A3"/>
    <w:pPr>
      <w:spacing w:after="0" w:line="240" w:lineRule="auto"/>
      <w:ind w:left="220" w:hanging="220"/>
    </w:pPr>
  </w:style>
  <w:style w:type="paragraph" w:styleId="Index2">
    <w:name w:val="index 2"/>
    <w:basedOn w:val="Normal"/>
    <w:next w:val="Normal"/>
    <w:autoRedefine/>
    <w:uiPriority w:val="99"/>
    <w:semiHidden/>
    <w:unhideWhenUsed/>
    <w:rsid w:val="003749A3"/>
    <w:pPr>
      <w:spacing w:after="0" w:line="240" w:lineRule="auto"/>
      <w:ind w:left="440" w:hanging="220"/>
    </w:pPr>
  </w:style>
  <w:style w:type="paragraph" w:styleId="Index3">
    <w:name w:val="index 3"/>
    <w:basedOn w:val="Normal"/>
    <w:next w:val="Normal"/>
    <w:autoRedefine/>
    <w:uiPriority w:val="99"/>
    <w:semiHidden/>
    <w:unhideWhenUsed/>
    <w:rsid w:val="003749A3"/>
    <w:pPr>
      <w:spacing w:after="0" w:line="240" w:lineRule="auto"/>
      <w:ind w:left="660" w:hanging="220"/>
    </w:pPr>
  </w:style>
  <w:style w:type="paragraph" w:styleId="Index4">
    <w:name w:val="index 4"/>
    <w:basedOn w:val="Normal"/>
    <w:next w:val="Normal"/>
    <w:autoRedefine/>
    <w:uiPriority w:val="99"/>
    <w:semiHidden/>
    <w:unhideWhenUsed/>
    <w:rsid w:val="003749A3"/>
    <w:pPr>
      <w:spacing w:after="0" w:line="240" w:lineRule="auto"/>
      <w:ind w:left="880" w:hanging="220"/>
    </w:pPr>
  </w:style>
  <w:style w:type="paragraph" w:styleId="Index5">
    <w:name w:val="index 5"/>
    <w:basedOn w:val="Normal"/>
    <w:next w:val="Normal"/>
    <w:autoRedefine/>
    <w:uiPriority w:val="99"/>
    <w:semiHidden/>
    <w:unhideWhenUsed/>
    <w:rsid w:val="003749A3"/>
    <w:pPr>
      <w:spacing w:after="0" w:line="240" w:lineRule="auto"/>
      <w:ind w:left="1100" w:hanging="220"/>
    </w:pPr>
  </w:style>
  <w:style w:type="paragraph" w:styleId="Index6">
    <w:name w:val="index 6"/>
    <w:basedOn w:val="Normal"/>
    <w:next w:val="Normal"/>
    <w:autoRedefine/>
    <w:uiPriority w:val="99"/>
    <w:semiHidden/>
    <w:unhideWhenUsed/>
    <w:rsid w:val="003749A3"/>
    <w:pPr>
      <w:spacing w:after="0" w:line="240" w:lineRule="auto"/>
      <w:ind w:left="1320" w:hanging="220"/>
    </w:pPr>
  </w:style>
  <w:style w:type="paragraph" w:styleId="Index7">
    <w:name w:val="index 7"/>
    <w:basedOn w:val="Normal"/>
    <w:next w:val="Normal"/>
    <w:autoRedefine/>
    <w:uiPriority w:val="99"/>
    <w:semiHidden/>
    <w:unhideWhenUsed/>
    <w:rsid w:val="003749A3"/>
    <w:pPr>
      <w:spacing w:after="0" w:line="240" w:lineRule="auto"/>
      <w:ind w:left="1540" w:hanging="220"/>
    </w:pPr>
  </w:style>
  <w:style w:type="paragraph" w:styleId="Index8">
    <w:name w:val="index 8"/>
    <w:basedOn w:val="Normal"/>
    <w:next w:val="Normal"/>
    <w:autoRedefine/>
    <w:uiPriority w:val="99"/>
    <w:semiHidden/>
    <w:unhideWhenUsed/>
    <w:rsid w:val="003749A3"/>
    <w:pPr>
      <w:spacing w:after="0" w:line="240" w:lineRule="auto"/>
      <w:ind w:left="1760" w:hanging="220"/>
    </w:pPr>
  </w:style>
  <w:style w:type="paragraph" w:styleId="Index9">
    <w:name w:val="index 9"/>
    <w:basedOn w:val="Normal"/>
    <w:next w:val="Normal"/>
    <w:autoRedefine/>
    <w:uiPriority w:val="99"/>
    <w:semiHidden/>
    <w:unhideWhenUsed/>
    <w:rsid w:val="003749A3"/>
    <w:pPr>
      <w:spacing w:after="0" w:line="240" w:lineRule="auto"/>
      <w:ind w:left="1980" w:hanging="220"/>
    </w:pPr>
  </w:style>
  <w:style w:type="paragraph" w:styleId="IndexHeading">
    <w:name w:val="index heading"/>
    <w:basedOn w:val="Normal"/>
    <w:next w:val="Index1"/>
    <w:uiPriority w:val="99"/>
    <w:semiHidden/>
    <w:unhideWhenUsed/>
    <w:rsid w:val="003749A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3749A3"/>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3749A3"/>
    <w:rPr>
      <w:b/>
      <w:bCs/>
      <w:i/>
      <w:iCs/>
      <w:color w:val="0063A6" w:themeColor="accent1"/>
    </w:rPr>
  </w:style>
  <w:style w:type="paragraph" w:styleId="List2">
    <w:name w:val="List 2"/>
    <w:basedOn w:val="Normal"/>
    <w:uiPriority w:val="29"/>
    <w:semiHidden/>
    <w:rsid w:val="003749A3"/>
    <w:pPr>
      <w:ind w:left="566" w:hanging="283"/>
      <w:contextualSpacing/>
    </w:pPr>
  </w:style>
  <w:style w:type="paragraph" w:styleId="List3">
    <w:name w:val="List 3"/>
    <w:basedOn w:val="Normal"/>
    <w:uiPriority w:val="99"/>
    <w:semiHidden/>
    <w:unhideWhenUsed/>
    <w:rsid w:val="003749A3"/>
    <w:pPr>
      <w:ind w:left="849" w:hanging="283"/>
      <w:contextualSpacing/>
    </w:pPr>
  </w:style>
  <w:style w:type="paragraph" w:styleId="List4">
    <w:name w:val="List 4"/>
    <w:basedOn w:val="Normal"/>
    <w:uiPriority w:val="99"/>
    <w:semiHidden/>
    <w:unhideWhenUsed/>
    <w:rsid w:val="003749A3"/>
    <w:pPr>
      <w:ind w:left="1132" w:hanging="283"/>
      <w:contextualSpacing/>
    </w:pPr>
  </w:style>
  <w:style w:type="paragraph" w:styleId="List5">
    <w:name w:val="List 5"/>
    <w:basedOn w:val="Normal"/>
    <w:uiPriority w:val="99"/>
    <w:semiHidden/>
    <w:unhideWhenUsed/>
    <w:rsid w:val="003749A3"/>
    <w:pPr>
      <w:ind w:left="1415" w:hanging="283"/>
      <w:contextualSpacing/>
    </w:pPr>
  </w:style>
  <w:style w:type="paragraph" w:styleId="ListBullet3">
    <w:name w:val="List Bullet 3"/>
    <w:basedOn w:val="Normal"/>
    <w:uiPriority w:val="99"/>
    <w:semiHidden/>
    <w:unhideWhenUsed/>
    <w:rsid w:val="003749A3"/>
    <w:pPr>
      <w:numPr>
        <w:numId w:val="32"/>
      </w:numPr>
      <w:contextualSpacing/>
    </w:pPr>
  </w:style>
  <w:style w:type="paragraph" w:styleId="ListBullet4">
    <w:name w:val="List Bullet 4"/>
    <w:basedOn w:val="Normal"/>
    <w:uiPriority w:val="99"/>
    <w:semiHidden/>
    <w:unhideWhenUsed/>
    <w:rsid w:val="003749A3"/>
    <w:pPr>
      <w:numPr>
        <w:numId w:val="33"/>
      </w:numPr>
      <w:contextualSpacing/>
    </w:pPr>
  </w:style>
  <w:style w:type="paragraph" w:styleId="ListBullet5">
    <w:name w:val="List Bullet 5"/>
    <w:basedOn w:val="Normal"/>
    <w:uiPriority w:val="99"/>
    <w:semiHidden/>
    <w:unhideWhenUsed/>
    <w:rsid w:val="003749A3"/>
    <w:pPr>
      <w:numPr>
        <w:numId w:val="34"/>
      </w:numPr>
      <w:contextualSpacing/>
    </w:pPr>
  </w:style>
  <w:style w:type="paragraph" w:styleId="ListContinue3">
    <w:name w:val="List Continue 3"/>
    <w:basedOn w:val="Normal"/>
    <w:uiPriority w:val="99"/>
    <w:semiHidden/>
    <w:unhideWhenUsed/>
    <w:rsid w:val="003749A3"/>
    <w:pPr>
      <w:ind w:left="849"/>
      <w:contextualSpacing/>
    </w:pPr>
  </w:style>
  <w:style w:type="paragraph" w:styleId="ListContinue4">
    <w:name w:val="List Continue 4"/>
    <w:basedOn w:val="Normal"/>
    <w:uiPriority w:val="99"/>
    <w:semiHidden/>
    <w:unhideWhenUsed/>
    <w:rsid w:val="003749A3"/>
    <w:pPr>
      <w:ind w:left="1132"/>
      <w:contextualSpacing/>
    </w:pPr>
  </w:style>
  <w:style w:type="paragraph" w:styleId="ListContinue5">
    <w:name w:val="List Continue 5"/>
    <w:basedOn w:val="Normal"/>
    <w:uiPriority w:val="99"/>
    <w:semiHidden/>
    <w:unhideWhenUsed/>
    <w:rsid w:val="003749A3"/>
    <w:pPr>
      <w:ind w:left="1415"/>
      <w:contextualSpacing/>
    </w:pPr>
  </w:style>
  <w:style w:type="paragraph" w:styleId="ListNumber2">
    <w:name w:val="List Number 2"/>
    <w:basedOn w:val="Normal"/>
    <w:uiPriority w:val="99"/>
    <w:semiHidden/>
    <w:unhideWhenUsed/>
    <w:rsid w:val="003749A3"/>
    <w:pPr>
      <w:numPr>
        <w:numId w:val="35"/>
      </w:numPr>
      <w:contextualSpacing/>
    </w:pPr>
  </w:style>
  <w:style w:type="paragraph" w:styleId="ListNumber3">
    <w:name w:val="List Number 3"/>
    <w:basedOn w:val="Normal"/>
    <w:uiPriority w:val="99"/>
    <w:semiHidden/>
    <w:unhideWhenUsed/>
    <w:rsid w:val="003749A3"/>
    <w:pPr>
      <w:numPr>
        <w:numId w:val="36"/>
      </w:numPr>
      <w:contextualSpacing/>
    </w:pPr>
  </w:style>
  <w:style w:type="paragraph" w:styleId="ListNumber4">
    <w:name w:val="List Number 4"/>
    <w:basedOn w:val="Normal"/>
    <w:uiPriority w:val="99"/>
    <w:semiHidden/>
    <w:unhideWhenUsed/>
    <w:rsid w:val="003749A3"/>
    <w:pPr>
      <w:numPr>
        <w:numId w:val="37"/>
      </w:numPr>
      <w:contextualSpacing/>
    </w:pPr>
  </w:style>
  <w:style w:type="paragraph" w:styleId="ListNumber5">
    <w:name w:val="List Number 5"/>
    <w:basedOn w:val="Normal"/>
    <w:uiPriority w:val="99"/>
    <w:semiHidden/>
    <w:unhideWhenUsed/>
    <w:rsid w:val="003749A3"/>
    <w:pPr>
      <w:numPr>
        <w:numId w:val="38"/>
      </w:numPr>
      <w:contextualSpacing/>
    </w:pPr>
  </w:style>
  <w:style w:type="paragraph" w:styleId="MacroText">
    <w:name w:val="macro"/>
    <w:link w:val="MacroTextChar"/>
    <w:uiPriority w:val="99"/>
    <w:semiHidden/>
    <w:unhideWhenUsed/>
    <w:rsid w:val="003749A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749A3"/>
    <w:rPr>
      <w:rFonts w:ascii="Consolas" w:hAnsi="Consolas" w:cs="Consolas"/>
      <w:sz w:val="20"/>
      <w:szCs w:val="20"/>
    </w:rPr>
  </w:style>
  <w:style w:type="paragraph" w:styleId="MessageHeader">
    <w:name w:val="Message Header"/>
    <w:basedOn w:val="Normal"/>
    <w:link w:val="MessageHeaderChar"/>
    <w:uiPriority w:val="99"/>
    <w:semiHidden/>
    <w:unhideWhenUsed/>
    <w:rsid w:val="003749A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49A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749A3"/>
    <w:pPr>
      <w:spacing w:after="0" w:line="240" w:lineRule="auto"/>
    </w:pPr>
  </w:style>
  <w:style w:type="paragraph" w:styleId="NormalIndent">
    <w:name w:val="Normal Indent"/>
    <w:basedOn w:val="Normal"/>
    <w:semiHidden/>
    <w:unhideWhenUsed/>
    <w:rsid w:val="003749A3"/>
    <w:pPr>
      <w:ind w:left="720"/>
    </w:pPr>
  </w:style>
  <w:style w:type="paragraph" w:styleId="NoteHeading">
    <w:name w:val="Note Heading"/>
    <w:basedOn w:val="Normal"/>
    <w:next w:val="Normal"/>
    <w:link w:val="NoteHeadingChar"/>
    <w:uiPriority w:val="99"/>
    <w:semiHidden/>
    <w:unhideWhenUsed/>
    <w:rsid w:val="003749A3"/>
    <w:pPr>
      <w:spacing w:after="0" w:line="240" w:lineRule="auto"/>
    </w:pPr>
  </w:style>
  <w:style w:type="character" w:customStyle="1" w:styleId="NoteHeadingChar">
    <w:name w:val="Note Heading Char"/>
    <w:basedOn w:val="DefaultParagraphFont"/>
    <w:link w:val="NoteHeading"/>
    <w:uiPriority w:val="99"/>
    <w:semiHidden/>
    <w:rsid w:val="003749A3"/>
  </w:style>
  <w:style w:type="paragraph" w:styleId="PlainText">
    <w:name w:val="Plain Text"/>
    <w:basedOn w:val="Normal"/>
    <w:link w:val="PlainTextChar"/>
    <w:uiPriority w:val="99"/>
    <w:semiHidden/>
    <w:unhideWhenUsed/>
    <w:rsid w:val="003749A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749A3"/>
    <w:rPr>
      <w:rFonts w:ascii="Consolas" w:hAnsi="Consolas" w:cs="Consolas"/>
      <w:sz w:val="21"/>
      <w:szCs w:val="21"/>
    </w:rPr>
  </w:style>
  <w:style w:type="paragraph" w:styleId="Quote">
    <w:name w:val="Quote"/>
    <w:basedOn w:val="Normal"/>
    <w:next w:val="Normal"/>
    <w:link w:val="QuoteChar"/>
    <w:uiPriority w:val="29"/>
    <w:semiHidden/>
    <w:qFormat/>
    <w:rsid w:val="003749A3"/>
    <w:rPr>
      <w:i/>
      <w:iCs/>
      <w:color w:val="000000" w:themeColor="text1"/>
    </w:rPr>
  </w:style>
  <w:style w:type="character" w:customStyle="1" w:styleId="QuoteChar">
    <w:name w:val="Quote Char"/>
    <w:basedOn w:val="DefaultParagraphFont"/>
    <w:link w:val="Quote"/>
    <w:uiPriority w:val="29"/>
    <w:semiHidden/>
    <w:rsid w:val="003749A3"/>
    <w:rPr>
      <w:i/>
      <w:iCs/>
      <w:color w:val="000000" w:themeColor="text1"/>
    </w:rPr>
  </w:style>
  <w:style w:type="paragraph" w:styleId="Salutation">
    <w:name w:val="Salutation"/>
    <w:basedOn w:val="Normal"/>
    <w:next w:val="Normal"/>
    <w:link w:val="SalutationChar"/>
    <w:uiPriority w:val="99"/>
    <w:semiHidden/>
    <w:unhideWhenUsed/>
    <w:rsid w:val="003749A3"/>
  </w:style>
  <w:style w:type="character" w:customStyle="1" w:styleId="SalutationChar">
    <w:name w:val="Salutation Char"/>
    <w:basedOn w:val="DefaultParagraphFont"/>
    <w:link w:val="Salutation"/>
    <w:uiPriority w:val="99"/>
    <w:semiHidden/>
    <w:rsid w:val="003749A3"/>
  </w:style>
  <w:style w:type="paragraph" w:styleId="Signature">
    <w:name w:val="Signature"/>
    <w:basedOn w:val="Normal"/>
    <w:link w:val="SignatureChar"/>
    <w:uiPriority w:val="99"/>
    <w:semiHidden/>
    <w:unhideWhenUsed/>
    <w:rsid w:val="003749A3"/>
    <w:pPr>
      <w:spacing w:after="0" w:line="240" w:lineRule="auto"/>
      <w:ind w:left="4252"/>
    </w:pPr>
  </w:style>
  <w:style w:type="character" w:customStyle="1" w:styleId="SignatureChar">
    <w:name w:val="Signature Char"/>
    <w:basedOn w:val="DefaultParagraphFont"/>
    <w:link w:val="Signature"/>
    <w:uiPriority w:val="99"/>
    <w:semiHidden/>
    <w:rsid w:val="003749A3"/>
  </w:style>
  <w:style w:type="paragraph" w:styleId="Subtitle">
    <w:name w:val="Subtitle"/>
    <w:basedOn w:val="Normal"/>
    <w:next w:val="Normal"/>
    <w:link w:val="SubtitleChar"/>
    <w:uiPriority w:val="11"/>
    <w:semiHidden/>
    <w:qFormat/>
    <w:rsid w:val="003749A3"/>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3749A3"/>
    <w:rPr>
      <w:rFonts w:asciiTheme="majorHAnsi" w:eastAsiaTheme="majorEastAsia" w:hAnsiTheme="majorHAnsi" w:cstheme="majorBidi"/>
      <w:i/>
      <w:iCs/>
      <w:color w:val="0063A6" w:themeColor="accent1"/>
      <w:spacing w:val="15"/>
      <w:sz w:val="24"/>
      <w:szCs w:val="24"/>
    </w:rPr>
  </w:style>
  <w:style w:type="paragraph" w:styleId="TableofAuthorities">
    <w:name w:val="table of authorities"/>
    <w:basedOn w:val="Normal"/>
    <w:next w:val="Normal"/>
    <w:uiPriority w:val="99"/>
    <w:semiHidden/>
    <w:unhideWhenUsed/>
    <w:rsid w:val="003749A3"/>
    <w:pPr>
      <w:spacing w:after="0"/>
      <w:ind w:left="220" w:hanging="220"/>
    </w:pPr>
  </w:style>
  <w:style w:type="paragraph" w:styleId="TableofFigures">
    <w:name w:val="table of figures"/>
    <w:basedOn w:val="Normal"/>
    <w:next w:val="Normal"/>
    <w:uiPriority w:val="99"/>
    <w:semiHidden/>
    <w:unhideWhenUsed/>
    <w:rsid w:val="003749A3"/>
    <w:pPr>
      <w:spacing w:after="0"/>
    </w:pPr>
  </w:style>
  <w:style w:type="paragraph" w:styleId="Title">
    <w:name w:val="Title"/>
    <w:basedOn w:val="Normal"/>
    <w:next w:val="Normal"/>
    <w:link w:val="TitleChar"/>
    <w:uiPriority w:val="10"/>
    <w:semiHidden/>
    <w:qFormat/>
    <w:rsid w:val="003749A3"/>
    <w:pPr>
      <w:pBdr>
        <w:bottom w:val="single" w:sz="8" w:space="4" w:color="0063A6" w:themeColor="accent1"/>
      </w:pBdr>
      <w:spacing w:after="300" w:line="240" w:lineRule="auto"/>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3749A3"/>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3749A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3749A3"/>
    <w:pPr>
      <w:spacing w:after="100"/>
      <w:ind w:left="880"/>
    </w:pPr>
  </w:style>
  <w:style w:type="paragraph" w:styleId="TOC6">
    <w:name w:val="toc 6"/>
    <w:basedOn w:val="Normal"/>
    <w:next w:val="Normal"/>
    <w:autoRedefine/>
    <w:uiPriority w:val="39"/>
    <w:semiHidden/>
    <w:unhideWhenUsed/>
    <w:rsid w:val="003749A3"/>
    <w:pPr>
      <w:spacing w:after="100"/>
      <w:ind w:left="1100"/>
    </w:pPr>
  </w:style>
  <w:style w:type="paragraph" w:styleId="TOC7">
    <w:name w:val="toc 7"/>
    <w:basedOn w:val="Normal"/>
    <w:next w:val="Normal"/>
    <w:autoRedefine/>
    <w:uiPriority w:val="39"/>
    <w:semiHidden/>
    <w:unhideWhenUsed/>
    <w:rsid w:val="003749A3"/>
    <w:pPr>
      <w:spacing w:after="100"/>
      <w:ind w:left="1320"/>
    </w:pPr>
  </w:style>
  <w:style w:type="paragraph" w:styleId="TOC8">
    <w:name w:val="toc 8"/>
    <w:basedOn w:val="Normal"/>
    <w:next w:val="Normal"/>
    <w:autoRedefine/>
    <w:uiPriority w:val="39"/>
    <w:semiHidden/>
    <w:unhideWhenUsed/>
    <w:rsid w:val="003749A3"/>
    <w:pPr>
      <w:spacing w:after="100"/>
      <w:ind w:left="15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nhideWhenUsed="0"/>
    <w:lsdException w:name="toc 4" w:uiPriority="39" w:unhideWhenUsed="0"/>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97"/>
    <w:lsdException w:name="footer" w:uiPriority="98"/>
    <w:lsdException w:name="caption" w:uiPriority="35" w:qFormat="1"/>
    <w:lsdException w:name="List" w:semiHidden="0" w:uiPriority="29" w:unhideWhenUsed="0"/>
    <w:lsdException w:name="List Bullet" w:uiPriority="23"/>
    <w:lsdException w:name="List Number" w:semiHidden="0" w:uiPriority="23" w:unhideWhenUsed="0"/>
    <w:lsdException w:name="List 2" w:uiPriority="29" w:unhideWhenUsed="0"/>
    <w:lsdException w:name="List Bullet 2" w:uiPriority="26"/>
    <w:lsdException w:name="Title" w:uiPriority="10" w:unhideWhenUsed="0" w:qFormat="1"/>
    <w:lsdException w:name="Default Paragraph Font" w:uiPriority="1"/>
    <w:lsdException w:name="Body Text" w:uiPriority="4"/>
    <w:lsdException w:name="List Continue" w:semiHidden="0" w:uiPriority="25" w:unhideWhenUsed="0"/>
    <w:lsdException w:name="List Continue 2" w:semiHidden="0" w:uiPriority="26" w:unhideWhenUsed="0"/>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atentStyles>
  <w:style w:type="paragraph" w:default="1" w:styleId="Normal">
    <w:name w:val="Normal"/>
    <w:qFormat/>
    <w:rsid w:val="00A432AC"/>
  </w:style>
  <w:style w:type="paragraph" w:styleId="Heading1">
    <w:name w:val="heading 1"/>
    <w:next w:val="Normal"/>
    <w:link w:val="Heading1Char"/>
    <w:uiPriority w:val="9"/>
    <w:qFormat/>
    <w:rsid w:val="00CE30BD"/>
    <w:pPr>
      <w:keepNext/>
      <w:keepLines/>
      <w:numPr>
        <w:numId w:val="4"/>
      </w:numPr>
      <w:pBdr>
        <w:bottom w:val="single" w:sz="12" w:space="1" w:color="0063A6" w:themeColor="accent1"/>
      </w:pBdr>
      <w:spacing w:before="360"/>
      <w:outlineLvl w:val="0"/>
    </w:pPr>
    <w:rPr>
      <w:rFonts w:asciiTheme="majorHAnsi" w:eastAsiaTheme="majorEastAsia" w:hAnsiTheme="majorHAnsi" w:cstheme="majorBidi"/>
      <w:b/>
      <w:bCs/>
      <w:caps/>
      <w:color w:val="0063A6" w:themeColor="accent1"/>
      <w:spacing w:val="-2"/>
      <w:sz w:val="32"/>
      <w:szCs w:val="28"/>
    </w:rPr>
  </w:style>
  <w:style w:type="paragraph" w:styleId="Heading2">
    <w:name w:val="heading 2"/>
    <w:basedOn w:val="Heading1"/>
    <w:next w:val="Normal"/>
    <w:link w:val="Heading2Char"/>
    <w:uiPriority w:val="9"/>
    <w:qFormat/>
    <w:rsid w:val="00CE30BD"/>
    <w:pPr>
      <w:numPr>
        <w:ilvl w:val="1"/>
      </w:numPr>
      <w:pBdr>
        <w:bottom w:val="none" w:sz="0" w:space="0" w:color="auto"/>
      </w:pBdr>
      <w:tabs>
        <w:tab w:val="right" w:pos="9582"/>
      </w:tabs>
      <w:spacing w:before="240"/>
      <w:outlineLvl w:val="1"/>
    </w:pPr>
    <w:rPr>
      <w:bCs w:val="0"/>
      <w:caps w:val="0"/>
      <w:color w:val="auto"/>
      <w:sz w:val="24"/>
      <w:szCs w:val="26"/>
    </w:rPr>
  </w:style>
  <w:style w:type="paragraph" w:styleId="Heading3">
    <w:name w:val="heading 3"/>
    <w:basedOn w:val="Heading2"/>
    <w:next w:val="Normal"/>
    <w:link w:val="Heading3Char"/>
    <w:uiPriority w:val="9"/>
    <w:qFormat/>
    <w:rsid w:val="005D27C7"/>
    <w:pPr>
      <w:numPr>
        <w:ilvl w:val="2"/>
      </w:numPr>
      <w:outlineLvl w:val="2"/>
    </w:pPr>
    <w:rPr>
      <w:bCs/>
      <w:sz w:val="22"/>
    </w:rPr>
  </w:style>
  <w:style w:type="paragraph" w:styleId="Heading4">
    <w:name w:val="heading 4"/>
    <w:basedOn w:val="Heading3"/>
    <w:next w:val="Normal"/>
    <w:link w:val="Heading4Char"/>
    <w:uiPriority w:val="9"/>
    <w:rsid w:val="007116A2"/>
    <w:pPr>
      <w:numPr>
        <w:ilvl w:val="3"/>
      </w:numPr>
      <w:outlineLvl w:val="3"/>
    </w:pPr>
    <w:rPr>
      <w:b w:val="0"/>
      <w:bCs w:val="0"/>
      <w:iCs/>
    </w:rPr>
  </w:style>
  <w:style w:type="paragraph" w:styleId="Heading5">
    <w:name w:val="heading 5"/>
    <w:basedOn w:val="Heading4"/>
    <w:next w:val="Normal"/>
    <w:link w:val="Heading5Char"/>
    <w:uiPriority w:val="9"/>
    <w:rsid w:val="0062613A"/>
    <w:pPr>
      <w:numPr>
        <w:ilvl w:val="4"/>
      </w:numPr>
      <w:outlineLvl w:val="4"/>
    </w:pPr>
    <w:rPr>
      <w:b/>
      <w:i/>
      <w:sz w:val="20"/>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D"/>
    <w:rPr>
      <w:rFonts w:asciiTheme="majorHAnsi" w:eastAsiaTheme="majorEastAsia" w:hAnsiTheme="majorHAnsi" w:cstheme="majorBidi"/>
      <w:b/>
      <w:bCs/>
      <w:caps/>
      <w:color w:val="0063A6" w:themeColor="accent1"/>
      <w:spacing w:val="-2"/>
      <w:sz w:val="32"/>
      <w:szCs w:val="28"/>
    </w:rPr>
  </w:style>
  <w:style w:type="paragraph" w:customStyle="1" w:styleId="Chapterheading">
    <w:name w:val="Chapter heading"/>
    <w:basedOn w:val="Heading1unnumbered"/>
    <w:next w:val="Heading2"/>
    <w:uiPriority w:val="99"/>
    <w:rsid w:val="00545C39"/>
    <w:pPr>
      <w:spacing w:before="1440"/>
    </w:pPr>
    <w:rPr>
      <w:sz w:val="48"/>
    </w:rPr>
  </w:style>
  <w:style w:type="character" w:customStyle="1" w:styleId="Heading3Char">
    <w:name w:val="Heading 3 Char"/>
    <w:basedOn w:val="DefaultParagraphFont"/>
    <w:link w:val="Heading3"/>
    <w:uiPriority w:val="9"/>
    <w:rsid w:val="005D27C7"/>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
    <w:uiPriority w:val="9"/>
    <w:rsid w:val="00CE30BD"/>
    <w:rPr>
      <w:rFonts w:asciiTheme="majorHAnsi" w:eastAsiaTheme="majorEastAsia" w:hAnsiTheme="majorHAnsi" w:cstheme="majorBidi"/>
      <w:b/>
      <w:spacing w:val="-2"/>
      <w:sz w:val="24"/>
      <w:szCs w:val="26"/>
    </w:rPr>
  </w:style>
  <w:style w:type="character" w:customStyle="1" w:styleId="Heading4Char">
    <w:name w:val="Heading 4 Char"/>
    <w:basedOn w:val="DefaultParagraphFont"/>
    <w:link w:val="Heading4"/>
    <w:uiPriority w:val="9"/>
    <w:rsid w:val="00B17122"/>
    <w:rPr>
      <w:rFonts w:asciiTheme="majorHAnsi" w:eastAsiaTheme="majorEastAsia" w:hAnsiTheme="majorHAnsi" w:cstheme="majorBidi"/>
      <w:iCs/>
      <w:spacing w:val="-2"/>
      <w:szCs w:val="26"/>
    </w:rPr>
  </w:style>
  <w:style w:type="paragraph" w:customStyle="1" w:styleId="Subheading">
    <w:name w:val="Subheading"/>
    <w:basedOn w:val="Normal"/>
    <w:next w:val="TableUnits"/>
    <w:uiPriority w:val="49"/>
    <w:qFormat/>
    <w:rsid w:val="007C5D19"/>
    <w:pPr>
      <w:keepNext/>
      <w:tabs>
        <w:tab w:val="right" w:pos="9582"/>
        <w:tab w:val="right" w:pos="14742"/>
      </w:tabs>
      <w:spacing w:before="200" w:after="160"/>
    </w:pPr>
    <w:rPr>
      <w:rFonts w:asciiTheme="majorHAnsi" w:hAnsiTheme="majorHAnsi"/>
      <w:b/>
      <w:spacing w:val="-2"/>
    </w:rPr>
  </w:style>
  <w:style w:type="paragraph" w:customStyle="1" w:styleId="TableUnits">
    <w:name w:val="Table Units"/>
    <w:basedOn w:val="Normal"/>
    <w:next w:val="Normal"/>
    <w:link w:val="TableUnitsChar"/>
    <w:uiPriority w:val="50"/>
    <w:qFormat/>
    <w:rsid w:val="00573F75"/>
    <w:pPr>
      <w:keepNext/>
      <w:spacing w:after="0"/>
    </w:pPr>
    <w:rPr>
      <w:rFonts w:asciiTheme="majorHAnsi" w:hAnsiTheme="majorHAnsi"/>
      <w:spacing w:val="-2"/>
      <w:sz w:val="19"/>
    </w:rPr>
  </w:style>
  <w:style w:type="paragraph" w:customStyle="1" w:styleId="Source">
    <w:name w:val="Source"/>
    <w:basedOn w:val="Normal"/>
    <w:next w:val="Note"/>
    <w:uiPriority w:val="51"/>
    <w:qFormat/>
    <w:rsid w:val="00166D20"/>
    <w:pPr>
      <w:spacing w:line="240" w:lineRule="auto"/>
    </w:pPr>
    <w:rPr>
      <w:rFonts w:asciiTheme="majorHAnsi" w:hAnsiTheme="majorHAnsi"/>
      <w:i/>
      <w:spacing w:val="-2"/>
      <w:sz w:val="16"/>
    </w:rPr>
  </w:style>
  <w:style w:type="paragraph" w:customStyle="1" w:styleId="Note">
    <w:name w:val="Note"/>
    <w:basedOn w:val="Normal"/>
    <w:link w:val="NoteChar"/>
    <w:uiPriority w:val="52"/>
    <w:qFormat/>
    <w:rsid w:val="00166D20"/>
    <w:pPr>
      <w:spacing w:after="0" w:line="240" w:lineRule="auto"/>
      <w:ind w:left="397" w:hanging="397"/>
    </w:pPr>
    <w:rPr>
      <w:rFonts w:asciiTheme="majorHAnsi" w:hAnsiTheme="majorHAnsi"/>
      <w:i/>
      <w:spacing w:val="-2"/>
      <w:sz w:val="16"/>
    </w:rPr>
  </w:style>
  <w:style w:type="paragraph" w:customStyle="1" w:styleId="HighlightBoxText">
    <w:name w:val="Highlight Box Text"/>
    <w:basedOn w:val="BodyText"/>
    <w:uiPriority w:val="79"/>
    <w:qFormat/>
    <w:rsid w:val="003703D1"/>
    <w:p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pPr>
  </w:style>
  <w:style w:type="table" w:styleId="TableGrid">
    <w:name w:val="Table Grid"/>
    <w:basedOn w:val="TableNormal"/>
    <w:uiPriority w:val="59"/>
    <w:rsid w:val="006B6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pPr>
      <w:spacing w:after="0"/>
    </w:pPr>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pPr>
      <w:spacing w:after="0"/>
    </w:pPr>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styleId="FootnoteText">
    <w:name w:val="footnote text"/>
    <w:basedOn w:val="Normal"/>
    <w:link w:val="FootnoteTextChar"/>
    <w:uiPriority w:val="99"/>
    <w:semiHidden/>
    <w:qFormat/>
    <w:rsid w:val="00363B60"/>
    <w:pPr>
      <w:spacing w:after="0"/>
    </w:pPr>
    <w:rPr>
      <w:rFonts w:eastAsiaTheme="minorEastAsia"/>
      <w:sz w:val="20"/>
      <w:szCs w:val="20"/>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19"/>
    <w:semiHidden/>
    <w:rsid w:val="00363B60"/>
    <w:rPr>
      <w:i/>
      <w:iCs/>
      <w:color w:val="7F7F7F" w:themeColor="text1" w:themeTint="80"/>
    </w:rPr>
  </w:style>
  <w:style w:type="table" w:styleId="MediumShading2-Accent5">
    <w:name w:val="Medium Shading 2 Accent 5"/>
    <w:basedOn w:val="TableNormal"/>
    <w:uiPriority w:val="64"/>
    <w:rsid w:val="00363B60"/>
    <w:pPr>
      <w:spacing w:after="0"/>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97"/>
    <w:rsid w:val="00790E40"/>
    <w:pPr>
      <w:spacing w:after="180"/>
    </w:pPr>
    <w:rPr>
      <w:rFonts w:asciiTheme="majorHAnsi" w:hAnsiTheme="majorHAnsi"/>
      <w:b/>
      <w:caps/>
      <w:color w:val="0063A6" w:themeColor="accent1"/>
      <w:spacing w:val="2"/>
    </w:rPr>
  </w:style>
  <w:style w:type="character" w:customStyle="1" w:styleId="HeaderChar">
    <w:name w:val="Header Char"/>
    <w:basedOn w:val="DefaultParagraphFont"/>
    <w:link w:val="Header"/>
    <w:uiPriority w:val="97"/>
    <w:rsid w:val="00790E40"/>
    <w:rPr>
      <w:rFonts w:asciiTheme="majorHAnsi" w:hAnsiTheme="majorHAnsi"/>
      <w:b/>
      <w:caps/>
      <w:color w:val="0063A6" w:themeColor="accent1"/>
      <w:spacing w:val="2"/>
    </w:rPr>
  </w:style>
  <w:style w:type="paragraph" w:styleId="Footer">
    <w:name w:val="footer"/>
    <w:aliases w:val="Footer (Odd page)"/>
    <w:basedOn w:val="Normal"/>
    <w:link w:val="FooterChar"/>
    <w:uiPriority w:val="98"/>
    <w:unhideWhenUsed/>
    <w:rsid w:val="009F70BB"/>
    <w:pPr>
      <w:pBdr>
        <w:top w:val="single" w:sz="6" w:space="1" w:color="0063A6" w:themeColor="accent1"/>
      </w:pBdr>
      <w:tabs>
        <w:tab w:val="center" w:pos="5954"/>
        <w:tab w:val="right" w:pos="9639"/>
      </w:tabs>
      <w:spacing w:after="0"/>
    </w:pPr>
    <w:rPr>
      <w:rFonts w:asciiTheme="majorHAnsi" w:hAnsiTheme="majorHAnsi"/>
      <w:sz w:val="18"/>
    </w:rPr>
  </w:style>
  <w:style w:type="character" w:customStyle="1" w:styleId="FooterChar">
    <w:name w:val="Footer Char"/>
    <w:aliases w:val="Footer (Odd page) Char"/>
    <w:basedOn w:val="DefaultParagraphFont"/>
    <w:link w:val="Footer"/>
    <w:uiPriority w:val="98"/>
    <w:rsid w:val="009F70BB"/>
    <w:rPr>
      <w:rFonts w:asciiTheme="majorHAnsi" w:hAnsiTheme="majorHAnsi"/>
      <w:sz w:val="18"/>
    </w:rPr>
  </w:style>
  <w:style w:type="paragraph" w:customStyle="1" w:styleId="NoteDash">
    <w:name w:val="Note Dash"/>
    <w:basedOn w:val="Note"/>
    <w:next w:val="Note"/>
    <w:uiPriority w:val="53"/>
    <w:qFormat/>
    <w:rsid w:val="00B56B25"/>
    <w:pPr>
      <w:numPr>
        <w:numId w:val="3"/>
      </w:numPr>
      <w:ind w:left="794" w:hanging="397"/>
    </w:pPr>
  </w:style>
  <w:style w:type="character" w:customStyle="1" w:styleId="NoteChar">
    <w:name w:val="Note Char"/>
    <w:basedOn w:val="DefaultParagraphFont"/>
    <w:link w:val="Note"/>
    <w:uiPriority w:val="52"/>
    <w:rsid w:val="00166D20"/>
    <w:rPr>
      <w:rFonts w:asciiTheme="majorHAnsi" w:hAnsiTheme="majorHAnsi"/>
      <w:i/>
      <w:spacing w:val="-2"/>
      <w:sz w:val="16"/>
    </w:rPr>
  </w:style>
  <w:style w:type="paragraph" w:styleId="TOC1">
    <w:name w:val="toc 1"/>
    <w:basedOn w:val="Normal"/>
    <w:next w:val="Normal"/>
    <w:uiPriority w:val="39"/>
    <w:rsid w:val="000E2126"/>
    <w:pPr>
      <w:tabs>
        <w:tab w:val="right" w:leader="dot" w:pos="9072"/>
      </w:tabs>
      <w:spacing w:before="120"/>
      <w:ind w:right="567"/>
    </w:pPr>
    <w:rPr>
      <w:rFonts w:asciiTheme="majorHAnsi" w:hAnsiTheme="majorHAnsi"/>
      <w:b/>
      <w:spacing w:val="-2"/>
      <w:szCs w:val="19"/>
    </w:rPr>
  </w:style>
  <w:style w:type="numbering" w:customStyle="1" w:styleId="Bullet">
    <w:name w:val="Bullet"/>
    <w:uiPriority w:val="99"/>
    <w:rsid w:val="00257E89"/>
    <w:pPr>
      <w:numPr>
        <w:numId w:val="1"/>
      </w:numPr>
    </w:pPr>
  </w:style>
  <w:style w:type="paragraph" w:styleId="ListBullet2">
    <w:name w:val="List Bullet 2"/>
    <w:basedOn w:val="BodyText"/>
    <w:uiPriority w:val="26"/>
    <w:rsid w:val="000F5BCA"/>
    <w:pPr>
      <w:numPr>
        <w:ilvl w:val="1"/>
        <w:numId w:val="2"/>
      </w:numPr>
      <w:ind w:left="794" w:hanging="397"/>
    </w:pPr>
  </w:style>
  <w:style w:type="character" w:customStyle="1" w:styleId="Heading5Char">
    <w:name w:val="Heading 5 Char"/>
    <w:basedOn w:val="DefaultParagraphFont"/>
    <w:link w:val="Heading5"/>
    <w:uiPriority w:val="9"/>
    <w:rsid w:val="0062613A"/>
    <w:rPr>
      <w:rFonts w:asciiTheme="majorHAnsi" w:eastAsiaTheme="majorEastAsia" w:hAnsiTheme="majorHAnsi" w:cstheme="majorBidi"/>
      <w:b/>
      <w:i/>
      <w:iCs/>
      <w:spacing w:val="-2"/>
      <w:sz w:val="20"/>
      <w:szCs w:val="26"/>
    </w:rPr>
  </w:style>
  <w:style w:type="paragraph" w:styleId="ListBullet">
    <w:name w:val="List Bullet"/>
    <w:basedOn w:val="BodyText"/>
    <w:uiPriority w:val="23"/>
    <w:rsid w:val="00753E64"/>
    <w:pPr>
      <w:numPr>
        <w:numId w:val="2"/>
      </w:numPr>
      <w:spacing w:after="60"/>
      <w:ind w:left="397" w:hanging="397"/>
    </w:pPr>
  </w:style>
  <w:style w:type="paragraph" w:styleId="List">
    <w:name w:val="List"/>
    <w:basedOn w:val="Normal"/>
    <w:uiPriority w:val="29"/>
    <w:semiHidden/>
    <w:rsid w:val="004964EC"/>
    <w:pPr>
      <w:ind w:left="283" w:hanging="283"/>
      <w:contextualSpacing/>
    </w:pPr>
  </w:style>
  <w:style w:type="paragraph" w:styleId="ListContinue">
    <w:name w:val="List Continue"/>
    <w:basedOn w:val="BodyText"/>
    <w:uiPriority w:val="25"/>
    <w:rsid w:val="000F5BCA"/>
    <w:pPr>
      <w:ind w:left="397"/>
    </w:pPr>
  </w:style>
  <w:style w:type="paragraph" w:styleId="ListContinue2">
    <w:name w:val="List Continue 2"/>
    <w:basedOn w:val="BodyText"/>
    <w:uiPriority w:val="26"/>
    <w:rsid w:val="000F5BCA"/>
    <w:pPr>
      <w:ind w:left="1588" w:hanging="794"/>
    </w:pPr>
  </w:style>
  <w:style w:type="paragraph" w:styleId="ListNumber">
    <w:name w:val="List Number"/>
    <w:basedOn w:val="BodyText"/>
    <w:uiPriority w:val="23"/>
    <w:rsid w:val="00ED06E6"/>
    <w:pPr>
      <w:ind w:left="397" w:hanging="397"/>
    </w:pPr>
    <w:rPr>
      <w:spacing w:val="2"/>
    </w:rPr>
  </w:style>
  <w:style w:type="table" w:customStyle="1" w:styleId="TableDTFGeneral">
    <w:name w:val="Table DTF General"/>
    <w:basedOn w:val="TableNormal"/>
    <w:uiPriority w:val="99"/>
    <w:rsid w:val="00C800AF"/>
    <w:pPr>
      <w:spacing w:before="20" w:after="20" w:line="240" w:lineRule="auto"/>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TOC2">
    <w:name w:val="toc 2"/>
    <w:basedOn w:val="Normal"/>
    <w:next w:val="Normal"/>
    <w:uiPriority w:val="39"/>
    <w:rsid w:val="00F62BCA"/>
    <w:pPr>
      <w:tabs>
        <w:tab w:val="left" w:pos="567"/>
        <w:tab w:val="right" w:leader="dot" w:pos="9072"/>
      </w:tabs>
      <w:spacing w:before="60" w:after="60"/>
      <w:ind w:left="284" w:right="567"/>
    </w:pPr>
    <w:rPr>
      <w:rFonts w:asciiTheme="majorHAnsi" w:hAnsiTheme="majorHAnsi"/>
      <w:noProof/>
      <w:spacing w:val="-2"/>
      <w:sz w:val="20"/>
      <w:szCs w:val="19"/>
    </w:rPr>
  </w:style>
  <w:style w:type="paragraph" w:styleId="TOC3">
    <w:name w:val="toc 3"/>
    <w:basedOn w:val="Normal"/>
    <w:next w:val="Normal"/>
    <w:uiPriority w:val="99"/>
    <w:semiHidden/>
    <w:rsid w:val="00402880"/>
    <w:pPr>
      <w:spacing w:after="100"/>
      <w:ind w:left="420"/>
    </w:pPr>
  </w:style>
  <w:style w:type="paragraph" w:styleId="TOC4">
    <w:name w:val="toc 4"/>
    <w:next w:val="Normal"/>
    <w:uiPriority w:val="39"/>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uiPriority w:val="79"/>
    <w:qFormat/>
    <w:rsid w:val="00D75608"/>
    <w:pPr>
      <w:keepNext/>
    </w:pPr>
    <w:rPr>
      <w:rFonts w:asciiTheme="majorHAnsi" w:hAnsiTheme="majorHAnsi"/>
      <w:i/>
    </w:rPr>
  </w:style>
  <w:style w:type="paragraph" w:customStyle="1" w:styleId="HighlightBullet">
    <w:name w:val="Highlight Bullet"/>
    <w:basedOn w:val="ListBullet"/>
    <w:next w:val="HighlightBoxText"/>
    <w:uiPriority w:val="79"/>
    <w:qFormat/>
    <w:rsid w:val="003703D1"/>
    <w:p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ind w:left="284" w:hanging="284"/>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sz w:val="20"/>
      <w:szCs w:val="20"/>
    </w:rPr>
  </w:style>
  <w:style w:type="paragraph" w:customStyle="1" w:styleId="Heading1unnumbered">
    <w:name w:val="Heading 1 (unnumbered)"/>
    <w:basedOn w:val="Heading1"/>
    <w:next w:val="Normal"/>
    <w:uiPriority w:val="12"/>
    <w:qFormat/>
    <w:rsid w:val="00BE12EA"/>
    <w:pPr>
      <w:numPr>
        <w:numId w:val="0"/>
      </w:numPr>
      <w:spacing w:before="0"/>
    </w:pPr>
  </w:style>
  <w:style w:type="table" w:styleId="LightShading-Accent2">
    <w:name w:val="Light Shading Accent 2"/>
    <w:basedOn w:val="TableNormal"/>
    <w:uiPriority w:val="60"/>
    <w:rsid w:val="00A9345E"/>
    <w:pPr>
      <w:spacing w:after="0"/>
    </w:pPr>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customStyle="1" w:styleId="Subheadingunderline">
    <w:name w:val="Subheading (underline)"/>
    <w:basedOn w:val="Subheading"/>
    <w:next w:val="Normal"/>
    <w:uiPriority w:val="50"/>
    <w:qFormat/>
    <w:rsid w:val="00B56791"/>
    <w:pPr>
      <w:pBdr>
        <w:bottom w:val="single" w:sz="6" w:space="1" w:color="0063A6" w:themeColor="accent1"/>
      </w:pBdr>
      <w:spacing w:after="120"/>
    </w:pPr>
  </w:style>
  <w:style w:type="paragraph" w:styleId="BodyText">
    <w:name w:val="Body Text"/>
    <w:basedOn w:val="Normal"/>
    <w:link w:val="BodyTextChar"/>
    <w:uiPriority w:val="4"/>
    <w:rsid w:val="00D75608"/>
  </w:style>
  <w:style w:type="character" w:customStyle="1" w:styleId="BodyTextChar">
    <w:name w:val="Body Text Char"/>
    <w:basedOn w:val="DefaultParagraphFont"/>
    <w:link w:val="BodyText"/>
    <w:uiPriority w:val="4"/>
    <w:rsid w:val="00D75608"/>
  </w:style>
  <w:style w:type="character" w:customStyle="1" w:styleId="TableUnitsChar">
    <w:name w:val="Table Units Char"/>
    <w:basedOn w:val="DefaultParagraphFont"/>
    <w:link w:val="TableUnits"/>
    <w:uiPriority w:val="50"/>
    <w:rsid w:val="00573F75"/>
    <w:rPr>
      <w:rFonts w:asciiTheme="majorHAnsi" w:hAnsiTheme="majorHAnsi"/>
      <w:spacing w:val="-2"/>
      <w:sz w:val="19"/>
    </w:rPr>
  </w:style>
  <w:style w:type="table" w:styleId="LightList">
    <w:name w:val="Light List"/>
    <w:basedOn w:val="TableNormal"/>
    <w:uiPriority w:val="61"/>
    <w:rsid w:val="0065194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unhideWhenUsed/>
    <w:rsid w:val="00A30D6D"/>
    <w:pPr>
      <w:tabs>
        <w:tab w:val="left" w:pos="567"/>
        <w:tab w:val="right" w:leader="dot" w:pos="4423"/>
      </w:tabs>
      <w:spacing w:after="100"/>
      <w:ind w:left="567" w:right="340" w:hanging="567"/>
    </w:pPr>
    <w:rPr>
      <w:sz w:val="20"/>
    </w:rPr>
  </w:style>
  <w:style w:type="table" w:customStyle="1" w:styleId="TableGrid1">
    <w:name w:val="Table Grid1"/>
    <w:basedOn w:val="TableNormal"/>
    <w:next w:val="TableGrid"/>
    <w:rsid w:val="00FE3386"/>
    <w:pPr>
      <w:spacing w:line="240" w:lineRule="auto"/>
      <w:jc w:val="both"/>
    </w:pPr>
    <w:rPr>
      <w:rFonts w:ascii="Calibri" w:eastAsia="Times New Roman" w:hAnsi="Calibri" w:cs="Times New Roman"/>
      <w:sz w:val="20"/>
      <w:szCs w:val="20"/>
      <w:lang w:eastAsia="en-AU"/>
    </w:rPr>
    <w:tblPr/>
  </w:style>
  <w:style w:type="paragraph" w:styleId="ListParagraph">
    <w:name w:val="List Paragraph"/>
    <w:basedOn w:val="Normal"/>
    <w:uiPriority w:val="34"/>
    <w:qFormat/>
    <w:rsid w:val="00EE5F4A"/>
    <w:pPr>
      <w:ind w:left="720"/>
      <w:contextualSpacing/>
    </w:pPr>
  </w:style>
  <w:style w:type="table" w:customStyle="1" w:styleId="TableGrid2">
    <w:name w:val="Table Grid2"/>
    <w:basedOn w:val="TableNormal"/>
    <w:next w:val="TableGrid"/>
    <w:uiPriority w:val="59"/>
    <w:rsid w:val="006C5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olledEntitiesHeading1">
    <w:name w:val="ControlledEntitiesHeading1"/>
    <w:qFormat/>
    <w:rsid w:val="004C13CF"/>
    <w:pPr>
      <w:shd w:val="clear" w:color="auto" w:fill="000000" w:themeFill="text1"/>
      <w:spacing w:after="0" w:line="240" w:lineRule="auto"/>
      <w:jc w:val="center"/>
    </w:pPr>
    <w:rPr>
      <w:rFonts w:asciiTheme="majorHAnsi" w:eastAsia="Times New Roman" w:hAnsiTheme="majorHAnsi" w:cstheme="minorHAnsi"/>
      <w:b/>
      <w:i/>
      <w:color w:val="FFFFFF" w:themeColor="background1"/>
      <w:lang w:eastAsia="en-AU"/>
    </w:rPr>
  </w:style>
  <w:style w:type="paragraph" w:customStyle="1" w:styleId="ControlledEntitiesHeading2">
    <w:name w:val="ControlledEntitiesHeading2"/>
    <w:qFormat/>
    <w:rsid w:val="004C13CF"/>
    <w:pPr>
      <w:shd w:val="clear" w:color="auto" w:fill="D9D9D9" w:themeFill="background1" w:themeFillShade="D9"/>
      <w:spacing w:before="120" w:after="0" w:line="240" w:lineRule="auto"/>
    </w:pPr>
    <w:rPr>
      <w:rFonts w:ascii="Calibri" w:eastAsia="Times New Roman" w:hAnsi="Calibri" w:cs="Times New Roman"/>
      <w:b/>
      <w:bCs/>
      <w:color w:val="000000" w:themeColor="text1"/>
      <w:sz w:val="18"/>
      <w:szCs w:val="18"/>
      <w:lang w:eastAsia="en-AU"/>
    </w:rPr>
  </w:style>
  <w:style w:type="paragraph" w:customStyle="1" w:styleId="ControlledEntitiesText">
    <w:name w:val="ControlledEntitiesText"/>
    <w:qFormat/>
    <w:rsid w:val="004C13CF"/>
    <w:pPr>
      <w:spacing w:before="20" w:after="20" w:line="240" w:lineRule="auto"/>
      <w:ind w:left="170" w:hanging="170"/>
    </w:pPr>
    <w:rPr>
      <w:rFonts w:ascii="Calibri" w:eastAsia="Times New Roman" w:hAnsi="Calibri" w:cs="Times New Roman"/>
      <w:color w:val="000000" w:themeColor="text1"/>
      <w:sz w:val="18"/>
      <w:szCs w:val="18"/>
      <w:lang w:eastAsia="en-AU"/>
    </w:rPr>
  </w:style>
  <w:style w:type="paragraph" w:customStyle="1" w:styleId="ControlledEntitiesDash">
    <w:name w:val="ControlledEntitiesDash"/>
    <w:qFormat/>
    <w:rsid w:val="003026DE"/>
    <w:pPr>
      <w:spacing w:before="20" w:after="20" w:line="240" w:lineRule="auto"/>
      <w:ind w:left="216" w:hanging="216"/>
      <w:contextualSpacing/>
    </w:pPr>
    <w:rPr>
      <w:rFonts w:ascii="Calibri" w:eastAsia="Times New Roman" w:hAnsi="Calibri" w:cs="Times New Roman"/>
      <w:iCs/>
      <w:color w:val="000000" w:themeColor="text1"/>
      <w:sz w:val="18"/>
      <w:szCs w:val="18"/>
      <w:lang w:eastAsia="en-AU"/>
    </w:rPr>
  </w:style>
  <w:style w:type="paragraph" w:customStyle="1" w:styleId="BulletText">
    <w:name w:val="Bullet Text"/>
    <w:basedOn w:val="Normal"/>
    <w:qFormat/>
    <w:rsid w:val="003026DE"/>
    <w:pPr>
      <w:tabs>
        <w:tab w:val="num" w:pos="360"/>
      </w:tabs>
      <w:spacing w:line="240" w:lineRule="auto"/>
      <w:ind w:left="360" w:hanging="360"/>
    </w:pPr>
    <w:rPr>
      <w:rFonts w:ascii="Garamond" w:eastAsia="Times New Roman" w:hAnsi="Garamond" w:cs="Times New Roman"/>
      <w:sz w:val="24"/>
      <w:szCs w:val="20"/>
    </w:rPr>
  </w:style>
  <w:style w:type="character" w:styleId="PageNumber">
    <w:name w:val="page number"/>
    <w:uiPriority w:val="99"/>
    <w:rsid w:val="003026DE"/>
    <w:rPr>
      <w:rFonts w:ascii="Calibri" w:hAnsi="Calibri"/>
      <w:sz w:val="22"/>
    </w:rPr>
  </w:style>
  <w:style w:type="paragraph" w:customStyle="1" w:styleId="Heading2NotesContd">
    <w:name w:val="Heading 2 Notes Cont'd"/>
    <w:basedOn w:val="Normal"/>
    <w:link w:val="Heading2NotesContdChar"/>
    <w:rsid w:val="003026DE"/>
    <w:pPr>
      <w:keepNext/>
      <w:tabs>
        <w:tab w:val="left" w:pos="1152"/>
      </w:tabs>
      <w:spacing w:before="240" w:line="240" w:lineRule="auto"/>
      <w:ind w:left="1152" w:hanging="1152"/>
      <w:outlineLvl w:val="1"/>
    </w:pPr>
    <w:rPr>
      <w:rFonts w:ascii="Calibri" w:eastAsia="Times New Roman" w:hAnsi="Calibri" w:cs="Times New Roman"/>
      <w:b/>
      <w:kern w:val="28"/>
      <w:sz w:val="28"/>
    </w:rPr>
  </w:style>
  <w:style w:type="paragraph" w:customStyle="1" w:styleId="DashText">
    <w:name w:val="Dash Text"/>
    <w:basedOn w:val="Normal"/>
    <w:qFormat/>
    <w:rsid w:val="003026DE"/>
    <w:pPr>
      <w:tabs>
        <w:tab w:val="num" w:pos="720"/>
      </w:tabs>
      <w:spacing w:line="240" w:lineRule="auto"/>
      <w:ind w:left="720" w:hanging="360"/>
    </w:pPr>
    <w:rPr>
      <w:rFonts w:ascii="Garamond" w:eastAsia="Times New Roman" w:hAnsi="Garamond" w:cs="Times New Roman"/>
      <w:sz w:val="24"/>
      <w:szCs w:val="20"/>
    </w:rPr>
  </w:style>
  <w:style w:type="paragraph" w:customStyle="1" w:styleId="TableTextindent">
    <w:name w:val="Table Text indent"/>
    <w:basedOn w:val="Normal"/>
    <w:rsid w:val="003026DE"/>
    <w:pPr>
      <w:spacing w:after="0" w:line="240" w:lineRule="auto"/>
      <w:ind w:left="360"/>
    </w:pPr>
    <w:rPr>
      <w:rFonts w:ascii="Calibri" w:eastAsia="Times New Roman" w:hAnsi="Calibri" w:cs="Times New Roman"/>
      <w:szCs w:val="18"/>
    </w:rPr>
  </w:style>
  <w:style w:type="character" w:customStyle="1" w:styleId="Heading2NotesContdChar">
    <w:name w:val="Heading 2 Notes Cont'd Char"/>
    <w:link w:val="Heading2NotesContd"/>
    <w:locked/>
    <w:rsid w:val="003026DE"/>
    <w:rPr>
      <w:rFonts w:ascii="Calibri" w:eastAsia="Times New Roman" w:hAnsi="Calibri" w:cs="Times New Roman"/>
      <w:b/>
      <w:kern w:val="28"/>
      <w:sz w:val="28"/>
    </w:rPr>
  </w:style>
  <w:style w:type="paragraph" w:styleId="TOCHeading">
    <w:name w:val="TOC Heading"/>
    <w:basedOn w:val="Heading1"/>
    <w:next w:val="Normal"/>
    <w:uiPriority w:val="99"/>
    <w:unhideWhenUsed/>
    <w:rsid w:val="003026DE"/>
    <w:pPr>
      <w:numPr>
        <w:numId w:val="0"/>
      </w:numPr>
      <w:pBdr>
        <w:bottom w:val="none" w:sz="0" w:space="0" w:color="auto"/>
      </w:pBdr>
      <w:spacing w:before="480" w:after="0"/>
      <w:outlineLvl w:val="9"/>
    </w:pPr>
    <w:rPr>
      <w:caps w:val="0"/>
      <w:color w:val="004A7C" w:themeColor="accent1" w:themeShade="BF"/>
      <w:spacing w:val="0"/>
      <w:sz w:val="28"/>
    </w:rPr>
  </w:style>
  <w:style w:type="paragraph" w:customStyle="1" w:styleId="Notes">
    <w:name w:val="Notes"/>
    <w:basedOn w:val="Normal"/>
    <w:link w:val="NotesChar"/>
    <w:qFormat/>
    <w:rsid w:val="006C491A"/>
    <w:pPr>
      <w:tabs>
        <w:tab w:val="left" w:pos="360"/>
      </w:tabs>
      <w:spacing w:after="0" w:line="240" w:lineRule="auto"/>
      <w:ind w:left="360" w:hanging="360"/>
    </w:pPr>
    <w:rPr>
      <w:rFonts w:ascii="Calibri" w:eastAsia="Times New Roman" w:hAnsi="Calibri" w:cs="Times New Roman"/>
      <w:i/>
      <w:sz w:val="16"/>
      <w:szCs w:val="20"/>
      <w:lang w:eastAsia="en-AU"/>
    </w:rPr>
  </w:style>
  <w:style w:type="character" w:customStyle="1" w:styleId="NotesChar">
    <w:name w:val="Notes Char"/>
    <w:link w:val="Notes"/>
    <w:locked/>
    <w:rsid w:val="006C491A"/>
    <w:rPr>
      <w:rFonts w:ascii="Calibri" w:eastAsia="Times New Roman" w:hAnsi="Calibri" w:cs="Times New Roman"/>
      <w:i/>
      <w:sz w:val="16"/>
      <w:szCs w:val="20"/>
      <w:lang w:eastAsia="en-AU"/>
    </w:rPr>
  </w:style>
  <w:style w:type="numbering" w:customStyle="1" w:styleId="ListAlphaStyle">
    <w:name w:val="List Alpha Style"/>
    <w:uiPriority w:val="99"/>
    <w:rsid w:val="00496AC4"/>
    <w:pPr>
      <w:numPr>
        <w:numId w:val="5"/>
      </w:numPr>
    </w:pPr>
  </w:style>
  <w:style w:type="paragraph" w:customStyle="1" w:styleId="ListAlpha">
    <w:name w:val="List Alpha"/>
    <w:basedOn w:val="Normal"/>
    <w:uiPriority w:val="24"/>
    <w:rsid w:val="00496AC4"/>
    <w:pPr>
      <w:numPr>
        <w:numId w:val="6"/>
      </w:numPr>
    </w:pPr>
  </w:style>
  <w:style w:type="numbering" w:customStyle="1" w:styleId="ListBulletStyle">
    <w:name w:val="List Bullet Style"/>
    <w:uiPriority w:val="99"/>
    <w:rsid w:val="00496AC4"/>
    <w:pPr>
      <w:numPr>
        <w:numId w:val="7"/>
      </w:numPr>
    </w:pPr>
  </w:style>
  <w:style w:type="numbering" w:customStyle="1" w:styleId="ListNumberStyle">
    <w:name w:val="List Number Style"/>
    <w:uiPriority w:val="99"/>
    <w:rsid w:val="00496AC4"/>
    <w:pPr>
      <w:numPr>
        <w:numId w:val="8"/>
      </w:numPr>
    </w:pPr>
  </w:style>
  <w:style w:type="paragraph" w:styleId="EndnoteText">
    <w:name w:val="endnote text"/>
    <w:basedOn w:val="Normal"/>
    <w:link w:val="EndnoteTextChar"/>
    <w:uiPriority w:val="99"/>
    <w:semiHidden/>
    <w:unhideWhenUsed/>
    <w:rsid w:val="00ED26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26BE"/>
    <w:rPr>
      <w:sz w:val="20"/>
      <w:szCs w:val="20"/>
    </w:rPr>
  </w:style>
  <w:style w:type="character" w:styleId="EndnoteReference">
    <w:name w:val="endnote reference"/>
    <w:basedOn w:val="DefaultParagraphFont"/>
    <w:uiPriority w:val="99"/>
    <w:semiHidden/>
    <w:unhideWhenUsed/>
    <w:rsid w:val="00ED26BE"/>
    <w:rPr>
      <w:vertAlign w:val="superscript"/>
    </w:rPr>
  </w:style>
  <w:style w:type="paragraph" w:styleId="NormalWeb">
    <w:name w:val="Normal (Web)"/>
    <w:basedOn w:val="Normal"/>
    <w:uiPriority w:val="99"/>
    <w:unhideWhenUsed/>
    <w:rsid w:val="00ED26BE"/>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A">
    <w:name w:val="(A)"/>
    <w:uiPriority w:val="99"/>
    <w:rsid w:val="001D40F4"/>
    <w:pPr>
      <w:numPr>
        <w:numId w:val="10"/>
      </w:numPr>
    </w:pPr>
  </w:style>
  <w:style w:type="paragraph" w:customStyle="1" w:styleId="DecimalAligned">
    <w:name w:val="Decimal Aligned"/>
    <w:basedOn w:val="Normal"/>
    <w:uiPriority w:val="40"/>
    <w:semiHidden/>
    <w:rsid w:val="001D40F4"/>
    <w:pPr>
      <w:keepLines/>
      <w:tabs>
        <w:tab w:val="decimal" w:pos="360"/>
      </w:tabs>
      <w:spacing w:after="200" w:line="276" w:lineRule="auto"/>
    </w:pPr>
    <w:rPr>
      <w:lang w:val="en-US" w:eastAsia="ja-JP"/>
    </w:rPr>
  </w:style>
  <w:style w:type="paragraph" w:customStyle="1" w:styleId="Headingnote">
    <w:name w:val="Heading (note)"/>
    <w:basedOn w:val="Heading2"/>
    <w:next w:val="Normal"/>
    <w:uiPriority w:val="14"/>
    <w:qFormat/>
    <w:rsid w:val="001D40F4"/>
    <w:pPr>
      <w:numPr>
        <w:ilvl w:val="0"/>
        <w:numId w:val="0"/>
      </w:numPr>
      <w:tabs>
        <w:tab w:val="left" w:pos="1134"/>
      </w:tabs>
      <w:spacing w:line="240" w:lineRule="auto"/>
      <w:ind w:left="1134" w:hanging="1134"/>
    </w:pPr>
  </w:style>
  <w:style w:type="paragraph" w:customStyle="1" w:styleId="NotesDash">
    <w:name w:val="Notes Dash"/>
    <w:basedOn w:val="Note"/>
    <w:next w:val="Note"/>
    <w:uiPriority w:val="53"/>
    <w:qFormat/>
    <w:rsid w:val="001D40F4"/>
    <w:pPr>
      <w:keepLines/>
      <w:spacing w:after="20"/>
      <w:ind w:left="794"/>
    </w:pPr>
  </w:style>
  <w:style w:type="paragraph" w:customStyle="1" w:styleId="Headingnotecontinued">
    <w:name w:val="Heading (note continued)"/>
    <w:basedOn w:val="Headingnote"/>
    <w:next w:val="Normal"/>
    <w:uiPriority w:val="15"/>
    <w:qFormat/>
    <w:rsid w:val="001D40F4"/>
  </w:style>
  <w:style w:type="paragraph" w:customStyle="1" w:styleId="TableofContentsheading">
    <w:name w:val="Table of Contents heading"/>
    <w:basedOn w:val="Normal"/>
    <w:next w:val="Normal"/>
    <w:rsid w:val="00600DD6"/>
    <w:pPr>
      <w:keepNext/>
      <w:pBdr>
        <w:bottom w:val="single" w:sz="12" w:space="7" w:color="0063A6" w:themeColor="accent1"/>
      </w:pBdr>
      <w:spacing w:before="1440" w:after="360" w:line="240" w:lineRule="auto"/>
    </w:pPr>
    <w:rPr>
      <w:rFonts w:ascii="Calibri" w:eastAsia="Times New Roman" w:hAnsi="Calibri" w:cs="Times New Roman"/>
      <w:b/>
      <w:caps/>
      <w:color w:val="0063A6" w:themeColor="accent1"/>
      <w:sz w:val="38"/>
      <w:szCs w:val="28"/>
    </w:rPr>
  </w:style>
  <w:style w:type="paragraph" w:customStyle="1" w:styleId="FooterEvenpage">
    <w:name w:val="Footer (Even page)"/>
    <w:basedOn w:val="Footer"/>
    <w:uiPriority w:val="98"/>
    <w:qFormat/>
    <w:rsid w:val="009F70BB"/>
    <w:pPr>
      <w:tabs>
        <w:tab w:val="clear" w:pos="5954"/>
        <w:tab w:val="center" w:pos="3686"/>
      </w:tabs>
    </w:pPr>
  </w:style>
  <w:style w:type="character" w:styleId="CommentReference">
    <w:name w:val="annotation reference"/>
    <w:basedOn w:val="DefaultParagraphFont"/>
    <w:uiPriority w:val="99"/>
    <w:semiHidden/>
    <w:unhideWhenUsed/>
    <w:rsid w:val="00422A06"/>
    <w:rPr>
      <w:sz w:val="16"/>
      <w:szCs w:val="16"/>
    </w:rPr>
  </w:style>
  <w:style w:type="paragraph" w:styleId="CommentText">
    <w:name w:val="annotation text"/>
    <w:basedOn w:val="Normal"/>
    <w:link w:val="CommentTextChar"/>
    <w:uiPriority w:val="99"/>
    <w:semiHidden/>
    <w:unhideWhenUsed/>
    <w:rsid w:val="00422A06"/>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422A06"/>
    <w:rPr>
      <w:sz w:val="20"/>
      <w:szCs w:val="20"/>
    </w:rPr>
  </w:style>
  <w:style w:type="paragraph" w:styleId="Bibliography">
    <w:name w:val="Bibliography"/>
    <w:basedOn w:val="Normal"/>
    <w:next w:val="Normal"/>
    <w:uiPriority w:val="37"/>
    <w:semiHidden/>
    <w:unhideWhenUsed/>
    <w:rsid w:val="003749A3"/>
  </w:style>
  <w:style w:type="paragraph" w:styleId="BlockText">
    <w:name w:val="Block Text"/>
    <w:basedOn w:val="Normal"/>
    <w:uiPriority w:val="99"/>
    <w:semiHidden/>
    <w:unhideWhenUsed/>
    <w:rsid w:val="003749A3"/>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2">
    <w:name w:val="Body Text 2"/>
    <w:basedOn w:val="Normal"/>
    <w:link w:val="BodyText2Char"/>
    <w:uiPriority w:val="99"/>
    <w:semiHidden/>
    <w:unhideWhenUsed/>
    <w:rsid w:val="003749A3"/>
    <w:pPr>
      <w:spacing w:line="480" w:lineRule="auto"/>
    </w:pPr>
  </w:style>
  <w:style w:type="character" w:customStyle="1" w:styleId="BodyText2Char">
    <w:name w:val="Body Text 2 Char"/>
    <w:basedOn w:val="DefaultParagraphFont"/>
    <w:link w:val="BodyText2"/>
    <w:uiPriority w:val="99"/>
    <w:semiHidden/>
    <w:rsid w:val="003749A3"/>
  </w:style>
  <w:style w:type="paragraph" w:styleId="BodyText3">
    <w:name w:val="Body Text 3"/>
    <w:basedOn w:val="Normal"/>
    <w:link w:val="BodyText3Char"/>
    <w:uiPriority w:val="99"/>
    <w:semiHidden/>
    <w:unhideWhenUsed/>
    <w:rsid w:val="003749A3"/>
    <w:rPr>
      <w:sz w:val="16"/>
      <w:szCs w:val="16"/>
    </w:rPr>
  </w:style>
  <w:style w:type="character" w:customStyle="1" w:styleId="BodyText3Char">
    <w:name w:val="Body Text 3 Char"/>
    <w:basedOn w:val="DefaultParagraphFont"/>
    <w:link w:val="BodyText3"/>
    <w:uiPriority w:val="99"/>
    <w:semiHidden/>
    <w:rsid w:val="003749A3"/>
    <w:rPr>
      <w:sz w:val="16"/>
      <w:szCs w:val="16"/>
    </w:rPr>
  </w:style>
  <w:style w:type="paragraph" w:styleId="BodyTextFirstIndent">
    <w:name w:val="Body Text First Indent"/>
    <w:basedOn w:val="BodyText"/>
    <w:link w:val="BodyTextFirstIndentChar"/>
    <w:uiPriority w:val="99"/>
    <w:semiHidden/>
    <w:unhideWhenUsed/>
    <w:rsid w:val="003749A3"/>
    <w:pPr>
      <w:ind w:firstLine="360"/>
    </w:pPr>
  </w:style>
  <w:style w:type="character" w:customStyle="1" w:styleId="BodyTextFirstIndentChar">
    <w:name w:val="Body Text First Indent Char"/>
    <w:basedOn w:val="BodyTextChar"/>
    <w:link w:val="BodyTextFirstIndent"/>
    <w:uiPriority w:val="99"/>
    <w:semiHidden/>
    <w:rsid w:val="003749A3"/>
  </w:style>
  <w:style w:type="paragraph" w:styleId="BodyTextIndent">
    <w:name w:val="Body Text Indent"/>
    <w:basedOn w:val="Normal"/>
    <w:link w:val="BodyTextIndentChar"/>
    <w:uiPriority w:val="99"/>
    <w:semiHidden/>
    <w:unhideWhenUsed/>
    <w:rsid w:val="003749A3"/>
    <w:pPr>
      <w:ind w:left="283"/>
    </w:pPr>
  </w:style>
  <w:style w:type="character" w:customStyle="1" w:styleId="BodyTextIndentChar">
    <w:name w:val="Body Text Indent Char"/>
    <w:basedOn w:val="DefaultParagraphFont"/>
    <w:link w:val="BodyTextIndent"/>
    <w:uiPriority w:val="99"/>
    <w:semiHidden/>
    <w:rsid w:val="003749A3"/>
  </w:style>
  <w:style w:type="paragraph" w:styleId="BodyTextFirstIndent2">
    <w:name w:val="Body Text First Indent 2"/>
    <w:basedOn w:val="BodyTextIndent"/>
    <w:link w:val="BodyTextFirstIndent2Char"/>
    <w:uiPriority w:val="99"/>
    <w:semiHidden/>
    <w:unhideWhenUsed/>
    <w:rsid w:val="003749A3"/>
    <w:pPr>
      <w:ind w:left="360" w:firstLine="360"/>
    </w:pPr>
  </w:style>
  <w:style w:type="character" w:customStyle="1" w:styleId="BodyTextFirstIndent2Char">
    <w:name w:val="Body Text First Indent 2 Char"/>
    <w:basedOn w:val="BodyTextIndentChar"/>
    <w:link w:val="BodyTextFirstIndent2"/>
    <w:uiPriority w:val="99"/>
    <w:semiHidden/>
    <w:rsid w:val="003749A3"/>
  </w:style>
  <w:style w:type="paragraph" w:styleId="BodyTextIndent2">
    <w:name w:val="Body Text Indent 2"/>
    <w:basedOn w:val="Normal"/>
    <w:link w:val="BodyTextIndent2Char"/>
    <w:uiPriority w:val="99"/>
    <w:semiHidden/>
    <w:unhideWhenUsed/>
    <w:rsid w:val="003749A3"/>
    <w:pPr>
      <w:spacing w:line="480" w:lineRule="auto"/>
      <w:ind w:left="283"/>
    </w:pPr>
  </w:style>
  <w:style w:type="character" w:customStyle="1" w:styleId="BodyTextIndent2Char">
    <w:name w:val="Body Text Indent 2 Char"/>
    <w:basedOn w:val="DefaultParagraphFont"/>
    <w:link w:val="BodyTextIndent2"/>
    <w:uiPriority w:val="99"/>
    <w:semiHidden/>
    <w:rsid w:val="003749A3"/>
  </w:style>
  <w:style w:type="paragraph" w:styleId="BodyTextIndent3">
    <w:name w:val="Body Text Indent 3"/>
    <w:basedOn w:val="Normal"/>
    <w:link w:val="BodyTextIndent3Char"/>
    <w:uiPriority w:val="99"/>
    <w:semiHidden/>
    <w:unhideWhenUsed/>
    <w:rsid w:val="003749A3"/>
    <w:pPr>
      <w:ind w:left="283"/>
    </w:pPr>
    <w:rPr>
      <w:sz w:val="16"/>
      <w:szCs w:val="16"/>
    </w:rPr>
  </w:style>
  <w:style w:type="character" w:customStyle="1" w:styleId="BodyTextIndent3Char">
    <w:name w:val="Body Text Indent 3 Char"/>
    <w:basedOn w:val="DefaultParagraphFont"/>
    <w:link w:val="BodyTextIndent3"/>
    <w:uiPriority w:val="99"/>
    <w:semiHidden/>
    <w:rsid w:val="003749A3"/>
    <w:rPr>
      <w:sz w:val="16"/>
      <w:szCs w:val="16"/>
    </w:rPr>
  </w:style>
  <w:style w:type="paragraph" w:styleId="Caption">
    <w:name w:val="caption"/>
    <w:basedOn w:val="Normal"/>
    <w:next w:val="Normal"/>
    <w:uiPriority w:val="35"/>
    <w:semiHidden/>
    <w:unhideWhenUsed/>
    <w:qFormat/>
    <w:rsid w:val="003749A3"/>
    <w:pPr>
      <w:spacing w:after="200" w:line="240" w:lineRule="auto"/>
    </w:pPr>
    <w:rPr>
      <w:b/>
      <w:bCs/>
      <w:color w:val="0063A6" w:themeColor="accent1"/>
      <w:sz w:val="18"/>
      <w:szCs w:val="18"/>
    </w:rPr>
  </w:style>
  <w:style w:type="paragraph" w:styleId="Closing">
    <w:name w:val="Closing"/>
    <w:basedOn w:val="Normal"/>
    <w:link w:val="ClosingChar"/>
    <w:uiPriority w:val="99"/>
    <w:semiHidden/>
    <w:unhideWhenUsed/>
    <w:rsid w:val="003749A3"/>
    <w:pPr>
      <w:spacing w:after="0" w:line="240" w:lineRule="auto"/>
      <w:ind w:left="4252"/>
    </w:pPr>
  </w:style>
  <w:style w:type="character" w:customStyle="1" w:styleId="ClosingChar">
    <w:name w:val="Closing Char"/>
    <w:basedOn w:val="DefaultParagraphFont"/>
    <w:link w:val="Closing"/>
    <w:uiPriority w:val="99"/>
    <w:semiHidden/>
    <w:rsid w:val="003749A3"/>
  </w:style>
  <w:style w:type="paragraph" w:styleId="CommentSubject">
    <w:name w:val="annotation subject"/>
    <w:basedOn w:val="CommentText"/>
    <w:next w:val="CommentText"/>
    <w:link w:val="CommentSubjectChar"/>
    <w:uiPriority w:val="99"/>
    <w:semiHidden/>
    <w:unhideWhenUsed/>
    <w:rsid w:val="003749A3"/>
    <w:pPr>
      <w:spacing w:after="120"/>
    </w:pPr>
    <w:rPr>
      <w:b/>
      <w:bCs/>
    </w:rPr>
  </w:style>
  <w:style w:type="character" w:customStyle="1" w:styleId="CommentSubjectChar">
    <w:name w:val="Comment Subject Char"/>
    <w:basedOn w:val="CommentTextChar"/>
    <w:link w:val="CommentSubject"/>
    <w:uiPriority w:val="99"/>
    <w:semiHidden/>
    <w:rsid w:val="003749A3"/>
    <w:rPr>
      <w:b/>
      <w:bCs/>
      <w:sz w:val="20"/>
      <w:szCs w:val="20"/>
    </w:rPr>
  </w:style>
  <w:style w:type="paragraph" w:styleId="Date">
    <w:name w:val="Date"/>
    <w:basedOn w:val="Normal"/>
    <w:next w:val="Normal"/>
    <w:link w:val="DateChar"/>
    <w:uiPriority w:val="99"/>
    <w:semiHidden/>
    <w:unhideWhenUsed/>
    <w:rsid w:val="003749A3"/>
  </w:style>
  <w:style w:type="character" w:customStyle="1" w:styleId="DateChar">
    <w:name w:val="Date Char"/>
    <w:basedOn w:val="DefaultParagraphFont"/>
    <w:link w:val="Date"/>
    <w:uiPriority w:val="99"/>
    <w:semiHidden/>
    <w:rsid w:val="003749A3"/>
  </w:style>
  <w:style w:type="paragraph" w:styleId="DocumentMap">
    <w:name w:val="Document Map"/>
    <w:basedOn w:val="Normal"/>
    <w:link w:val="DocumentMapChar"/>
    <w:uiPriority w:val="99"/>
    <w:semiHidden/>
    <w:unhideWhenUsed/>
    <w:rsid w:val="003749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49A3"/>
    <w:rPr>
      <w:rFonts w:ascii="Tahoma" w:hAnsi="Tahoma" w:cs="Tahoma"/>
      <w:sz w:val="16"/>
      <w:szCs w:val="16"/>
    </w:rPr>
  </w:style>
  <w:style w:type="paragraph" w:styleId="E-mailSignature">
    <w:name w:val="E-mail Signature"/>
    <w:basedOn w:val="Normal"/>
    <w:link w:val="E-mailSignatureChar"/>
    <w:uiPriority w:val="99"/>
    <w:semiHidden/>
    <w:unhideWhenUsed/>
    <w:rsid w:val="003749A3"/>
    <w:pPr>
      <w:spacing w:after="0" w:line="240" w:lineRule="auto"/>
    </w:pPr>
  </w:style>
  <w:style w:type="character" w:customStyle="1" w:styleId="E-mailSignatureChar">
    <w:name w:val="E-mail Signature Char"/>
    <w:basedOn w:val="DefaultParagraphFont"/>
    <w:link w:val="E-mailSignature"/>
    <w:uiPriority w:val="99"/>
    <w:semiHidden/>
    <w:rsid w:val="003749A3"/>
  </w:style>
  <w:style w:type="paragraph" w:styleId="EnvelopeAddress">
    <w:name w:val="envelope address"/>
    <w:basedOn w:val="Normal"/>
    <w:uiPriority w:val="99"/>
    <w:semiHidden/>
    <w:unhideWhenUsed/>
    <w:rsid w:val="003749A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749A3"/>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749A3"/>
    <w:pPr>
      <w:spacing w:after="0" w:line="240" w:lineRule="auto"/>
    </w:pPr>
    <w:rPr>
      <w:i/>
      <w:iCs/>
    </w:rPr>
  </w:style>
  <w:style w:type="character" w:customStyle="1" w:styleId="HTMLAddressChar">
    <w:name w:val="HTML Address Char"/>
    <w:basedOn w:val="DefaultParagraphFont"/>
    <w:link w:val="HTMLAddress"/>
    <w:uiPriority w:val="99"/>
    <w:semiHidden/>
    <w:rsid w:val="003749A3"/>
    <w:rPr>
      <w:i/>
      <w:iCs/>
    </w:rPr>
  </w:style>
  <w:style w:type="paragraph" w:styleId="HTMLPreformatted">
    <w:name w:val="HTML Preformatted"/>
    <w:basedOn w:val="Normal"/>
    <w:link w:val="HTMLPreformattedChar"/>
    <w:uiPriority w:val="99"/>
    <w:semiHidden/>
    <w:unhideWhenUsed/>
    <w:rsid w:val="003749A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749A3"/>
    <w:rPr>
      <w:rFonts w:ascii="Consolas" w:hAnsi="Consolas" w:cs="Consolas"/>
      <w:sz w:val="20"/>
      <w:szCs w:val="20"/>
    </w:rPr>
  </w:style>
  <w:style w:type="paragraph" w:styleId="Index1">
    <w:name w:val="index 1"/>
    <w:basedOn w:val="Normal"/>
    <w:next w:val="Normal"/>
    <w:autoRedefine/>
    <w:uiPriority w:val="99"/>
    <w:semiHidden/>
    <w:unhideWhenUsed/>
    <w:rsid w:val="003749A3"/>
    <w:pPr>
      <w:spacing w:after="0" w:line="240" w:lineRule="auto"/>
      <w:ind w:left="220" w:hanging="220"/>
    </w:pPr>
  </w:style>
  <w:style w:type="paragraph" w:styleId="Index2">
    <w:name w:val="index 2"/>
    <w:basedOn w:val="Normal"/>
    <w:next w:val="Normal"/>
    <w:autoRedefine/>
    <w:uiPriority w:val="99"/>
    <w:semiHidden/>
    <w:unhideWhenUsed/>
    <w:rsid w:val="003749A3"/>
    <w:pPr>
      <w:spacing w:after="0" w:line="240" w:lineRule="auto"/>
      <w:ind w:left="440" w:hanging="220"/>
    </w:pPr>
  </w:style>
  <w:style w:type="paragraph" w:styleId="Index3">
    <w:name w:val="index 3"/>
    <w:basedOn w:val="Normal"/>
    <w:next w:val="Normal"/>
    <w:autoRedefine/>
    <w:uiPriority w:val="99"/>
    <w:semiHidden/>
    <w:unhideWhenUsed/>
    <w:rsid w:val="003749A3"/>
    <w:pPr>
      <w:spacing w:after="0" w:line="240" w:lineRule="auto"/>
      <w:ind w:left="660" w:hanging="220"/>
    </w:pPr>
  </w:style>
  <w:style w:type="paragraph" w:styleId="Index4">
    <w:name w:val="index 4"/>
    <w:basedOn w:val="Normal"/>
    <w:next w:val="Normal"/>
    <w:autoRedefine/>
    <w:uiPriority w:val="99"/>
    <w:semiHidden/>
    <w:unhideWhenUsed/>
    <w:rsid w:val="003749A3"/>
    <w:pPr>
      <w:spacing w:after="0" w:line="240" w:lineRule="auto"/>
      <w:ind w:left="880" w:hanging="220"/>
    </w:pPr>
  </w:style>
  <w:style w:type="paragraph" w:styleId="Index5">
    <w:name w:val="index 5"/>
    <w:basedOn w:val="Normal"/>
    <w:next w:val="Normal"/>
    <w:autoRedefine/>
    <w:uiPriority w:val="99"/>
    <w:semiHidden/>
    <w:unhideWhenUsed/>
    <w:rsid w:val="003749A3"/>
    <w:pPr>
      <w:spacing w:after="0" w:line="240" w:lineRule="auto"/>
      <w:ind w:left="1100" w:hanging="220"/>
    </w:pPr>
  </w:style>
  <w:style w:type="paragraph" w:styleId="Index6">
    <w:name w:val="index 6"/>
    <w:basedOn w:val="Normal"/>
    <w:next w:val="Normal"/>
    <w:autoRedefine/>
    <w:uiPriority w:val="99"/>
    <w:semiHidden/>
    <w:unhideWhenUsed/>
    <w:rsid w:val="003749A3"/>
    <w:pPr>
      <w:spacing w:after="0" w:line="240" w:lineRule="auto"/>
      <w:ind w:left="1320" w:hanging="220"/>
    </w:pPr>
  </w:style>
  <w:style w:type="paragraph" w:styleId="Index7">
    <w:name w:val="index 7"/>
    <w:basedOn w:val="Normal"/>
    <w:next w:val="Normal"/>
    <w:autoRedefine/>
    <w:uiPriority w:val="99"/>
    <w:semiHidden/>
    <w:unhideWhenUsed/>
    <w:rsid w:val="003749A3"/>
    <w:pPr>
      <w:spacing w:after="0" w:line="240" w:lineRule="auto"/>
      <w:ind w:left="1540" w:hanging="220"/>
    </w:pPr>
  </w:style>
  <w:style w:type="paragraph" w:styleId="Index8">
    <w:name w:val="index 8"/>
    <w:basedOn w:val="Normal"/>
    <w:next w:val="Normal"/>
    <w:autoRedefine/>
    <w:uiPriority w:val="99"/>
    <w:semiHidden/>
    <w:unhideWhenUsed/>
    <w:rsid w:val="003749A3"/>
    <w:pPr>
      <w:spacing w:after="0" w:line="240" w:lineRule="auto"/>
      <w:ind w:left="1760" w:hanging="220"/>
    </w:pPr>
  </w:style>
  <w:style w:type="paragraph" w:styleId="Index9">
    <w:name w:val="index 9"/>
    <w:basedOn w:val="Normal"/>
    <w:next w:val="Normal"/>
    <w:autoRedefine/>
    <w:uiPriority w:val="99"/>
    <w:semiHidden/>
    <w:unhideWhenUsed/>
    <w:rsid w:val="003749A3"/>
    <w:pPr>
      <w:spacing w:after="0" w:line="240" w:lineRule="auto"/>
      <w:ind w:left="1980" w:hanging="220"/>
    </w:pPr>
  </w:style>
  <w:style w:type="paragraph" w:styleId="IndexHeading">
    <w:name w:val="index heading"/>
    <w:basedOn w:val="Normal"/>
    <w:next w:val="Index1"/>
    <w:uiPriority w:val="99"/>
    <w:semiHidden/>
    <w:unhideWhenUsed/>
    <w:rsid w:val="003749A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3749A3"/>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3749A3"/>
    <w:rPr>
      <w:b/>
      <w:bCs/>
      <w:i/>
      <w:iCs/>
      <w:color w:val="0063A6" w:themeColor="accent1"/>
    </w:rPr>
  </w:style>
  <w:style w:type="paragraph" w:styleId="List2">
    <w:name w:val="List 2"/>
    <w:basedOn w:val="Normal"/>
    <w:uiPriority w:val="29"/>
    <w:semiHidden/>
    <w:rsid w:val="003749A3"/>
    <w:pPr>
      <w:ind w:left="566" w:hanging="283"/>
      <w:contextualSpacing/>
    </w:pPr>
  </w:style>
  <w:style w:type="paragraph" w:styleId="List3">
    <w:name w:val="List 3"/>
    <w:basedOn w:val="Normal"/>
    <w:uiPriority w:val="99"/>
    <w:semiHidden/>
    <w:unhideWhenUsed/>
    <w:rsid w:val="003749A3"/>
    <w:pPr>
      <w:ind w:left="849" w:hanging="283"/>
      <w:contextualSpacing/>
    </w:pPr>
  </w:style>
  <w:style w:type="paragraph" w:styleId="List4">
    <w:name w:val="List 4"/>
    <w:basedOn w:val="Normal"/>
    <w:uiPriority w:val="99"/>
    <w:semiHidden/>
    <w:unhideWhenUsed/>
    <w:rsid w:val="003749A3"/>
    <w:pPr>
      <w:ind w:left="1132" w:hanging="283"/>
      <w:contextualSpacing/>
    </w:pPr>
  </w:style>
  <w:style w:type="paragraph" w:styleId="List5">
    <w:name w:val="List 5"/>
    <w:basedOn w:val="Normal"/>
    <w:uiPriority w:val="99"/>
    <w:semiHidden/>
    <w:unhideWhenUsed/>
    <w:rsid w:val="003749A3"/>
    <w:pPr>
      <w:ind w:left="1415" w:hanging="283"/>
      <w:contextualSpacing/>
    </w:pPr>
  </w:style>
  <w:style w:type="paragraph" w:styleId="ListBullet3">
    <w:name w:val="List Bullet 3"/>
    <w:basedOn w:val="Normal"/>
    <w:uiPriority w:val="99"/>
    <w:semiHidden/>
    <w:unhideWhenUsed/>
    <w:rsid w:val="003749A3"/>
    <w:pPr>
      <w:numPr>
        <w:numId w:val="32"/>
      </w:numPr>
      <w:contextualSpacing/>
    </w:pPr>
  </w:style>
  <w:style w:type="paragraph" w:styleId="ListBullet4">
    <w:name w:val="List Bullet 4"/>
    <w:basedOn w:val="Normal"/>
    <w:uiPriority w:val="99"/>
    <w:semiHidden/>
    <w:unhideWhenUsed/>
    <w:rsid w:val="003749A3"/>
    <w:pPr>
      <w:numPr>
        <w:numId w:val="33"/>
      </w:numPr>
      <w:contextualSpacing/>
    </w:pPr>
  </w:style>
  <w:style w:type="paragraph" w:styleId="ListBullet5">
    <w:name w:val="List Bullet 5"/>
    <w:basedOn w:val="Normal"/>
    <w:uiPriority w:val="99"/>
    <w:semiHidden/>
    <w:unhideWhenUsed/>
    <w:rsid w:val="003749A3"/>
    <w:pPr>
      <w:numPr>
        <w:numId w:val="34"/>
      </w:numPr>
      <w:contextualSpacing/>
    </w:pPr>
  </w:style>
  <w:style w:type="paragraph" w:styleId="ListContinue3">
    <w:name w:val="List Continue 3"/>
    <w:basedOn w:val="Normal"/>
    <w:uiPriority w:val="99"/>
    <w:semiHidden/>
    <w:unhideWhenUsed/>
    <w:rsid w:val="003749A3"/>
    <w:pPr>
      <w:ind w:left="849"/>
      <w:contextualSpacing/>
    </w:pPr>
  </w:style>
  <w:style w:type="paragraph" w:styleId="ListContinue4">
    <w:name w:val="List Continue 4"/>
    <w:basedOn w:val="Normal"/>
    <w:uiPriority w:val="99"/>
    <w:semiHidden/>
    <w:unhideWhenUsed/>
    <w:rsid w:val="003749A3"/>
    <w:pPr>
      <w:ind w:left="1132"/>
      <w:contextualSpacing/>
    </w:pPr>
  </w:style>
  <w:style w:type="paragraph" w:styleId="ListContinue5">
    <w:name w:val="List Continue 5"/>
    <w:basedOn w:val="Normal"/>
    <w:uiPriority w:val="99"/>
    <w:semiHidden/>
    <w:unhideWhenUsed/>
    <w:rsid w:val="003749A3"/>
    <w:pPr>
      <w:ind w:left="1415"/>
      <w:contextualSpacing/>
    </w:pPr>
  </w:style>
  <w:style w:type="paragraph" w:styleId="ListNumber2">
    <w:name w:val="List Number 2"/>
    <w:basedOn w:val="Normal"/>
    <w:uiPriority w:val="99"/>
    <w:semiHidden/>
    <w:unhideWhenUsed/>
    <w:rsid w:val="003749A3"/>
    <w:pPr>
      <w:numPr>
        <w:numId w:val="35"/>
      </w:numPr>
      <w:contextualSpacing/>
    </w:pPr>
  </w:style>
  <w:style w:type="paragraph" w:styleId="ListNumber3">
    <w:name w:val="List Number 3"/>
    <w:basedOn w:val="Normal"/>
    <w:uiPriority w:val="99"/>
    <w:semiHidden/>
    <w:unhideWhenUsed/>
    <w:rsid w:val="003749A3"/>
    <w:pPr>
      <w:numPr>
        <w:numId w:val="36"/>
      </w:numPr>
      <w:contextualSpacing/>
    </w:pPr>
  </w:style>
  <w:style w:type="paragraph" w:styleId="ListNumber4">
    <w:name w:val="List Number 4"/>
    <w:basedOn w:val="Normal"/>
    <w:uiPriority w:val="99"/>
    <w:semiHidden/>
    <w:unhideWhenUsed/>
    <w:rsid w:val="003749A3"/>
    <w:pPr>
      <w:numPr>
        <w:numId w:val="37"/>
      </w:numPr>
      <w:contextualSpacing/>
    </w:pPr>
  </w:style>
  <w:style w:type="paragraph" w:styleId="ListNumber5">
    <w:name w:val="List Number 5"/>
    <w:basedOn w:val="Normal"/>
    <w:uiPriority w:val="99"/>
    <w:semiHidden/>
    <w:unhideWhenUsed/>
    <w:rsid w:val="003749A3"/>
    <w:pPr>
      <w:numPr>
        <w:numId w:val="38"/>
      </w:numPr>
      <w:contextualSpacing/>
    </w:pPr>
  </w:style>
  <w:style w:type="paragraph" w:styleId="MacroText">
    <w:name w:val="macro"/>
    <w:link w:val="MacroTextChar"/>
    <w:uiPriority w:val="99"/>
    <w:semiHidden/>
    <w:unhideWhenUsed/>
    <w:rsid w:val="003749A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749A3"/>
    <w:rPr>
      <w:rFonts w:ascii="Consolas" w:hAnsi="Consolas" w:cs="Consolas"/>
      <w:sz w:val="20"/>
      <w:szCs w:val="20"/>
    </w:rPr>
  </w:style>
  <w:style w:type="paragraph" w:styleId="MessageHeader">
    <w:name w:val="Message Header"/>
    <w:basedOn w:val="Normal"/>
    <w:link w:val="MessageHeaderChar"/>
    <w:uiPriority w:val="99"/>
    <w:semiHidden/>
    <w:unhideWhenUsed/>
    <w:rsid w:val="003749A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49A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749A3"/>
    <w:pPr>
      <w:spacing w:after="0" w:line="240" w:lineRule="auto"/>
    </w:pPr>
  </w:style>
  <w:style w:type="paragraph" w:styleId="NormalIndent">
    <w:name w:val="Normal Indent"/>
    <w:basedOn w:val="Normal"/>
    <w:semiHidden/>
    <w:unhideWhenUsed/>
    <w:rsid w:val="003749A3"/>
    <w:pPr>
      <w:ind w:left="720"/>
    </w:pPr>
  </w:style>
  <w:style w:type="paragraph" w:styleId="NoteHeading">
    <w:name w:val="Note Heading"/>
    <w:basedOn w:val="Normal"/>
    <w:next w:val="Normal"/>
    <w:link w:val="NoteHeadingChar"/>
    <w:uiPriority w:val="99"/>
    <w:semiHidden/>
    <w:unhideWhenUsed/>
    <w:rsid w:val="003749A3"/>
    <w:pPr>
      <w:spacing w:after="0" w:line="240" w:lineRule="auto"/>
    </w:pPr>
  </w:style>
  <w:style w:type="character" w:customStyle="1" w:styleId="NoteHeadingChar">
    <w:name w:val="Note Heading Char"/>
    <w:basedOn w:val="DefaultParagraphFont"/>
    <w:link w:val="NoteHeading"/>
    <w:uiPriority w:val="99"/>
    <w:semiHidden/>
    <w:rsid w:val="003749A3"/>
  </w:style>
  <w:style w:type="paragraph" w:styleId="PlainText">
    <w:name w:val="Plain Text"/>
    <w:basedOn w:val="Normal"/>
    <w:link w:val="PlainTextChar"/>
    <w:uiPriority w:val="99"/>
    <w:semiHidden/>
    <w:unhideWhenUsed/>
    <w:rsid w:val="003749A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749A3"/>
    <w:rPr>
      <w:rFonts w:ascii="Consolas" w:hAnsi="Consolas" w:cs="Consolas"/>
      <w:sz w:val="21"/>
      <w:szCs w:val="21"/>
    </w:rPr>
  </w:style>
  <w:style w:type="paragraph" w:styleId="Quote">
    <w:name w:val="Quote"/>
    <w:basedOn w:val="Normal"/>
    <w:next w:val="Normal"/>
    <w:link w:val="QuoteChar"/>
    <w:uiPriority w:val="29"/>
    <w:semiHidden/>
    <w:qFormat/>
    <w:rsid w:val="003749A3"/>
    <w:rPr>
      <w:i/>
      <w:iCs/>
      <w:color w:val="000000" w:themeColor="text1"/>
    </w:rPr>
  </w:style>
  <w:style w:type="character" w:customStyle="1" w:styleId="QuoteChar">
    <w:name w:val="Quote Char"/>
    <w:basedOn w:val="DefaultParagraphFont"/>
    <w:link w:val="Quote"/>
    <w:uiPriority w:val="29"/>
    <w:semiHidden/>
    <w:rsid w:val="003749A3"/>
    <w:rPr>
      <w:i/>
      <w:iCs/>
      <w:color w:val="000000" w:themeColor="text1"/>
    </w:rPr>
  </w:style>
  <w:style w:type="paragraph" w:styleId="Salutation">
    <w:name w:val="Salutation"/>
    <w:basedOn w:val="Normal"/>
    <w:next w:val="Normal"/>
    <w:link w:val="SalutationChar"/>
    <w:uiPriority w:val="99"/>
    <w:semiHidden/>
    <w:unhideWhenUsed/>
    <w:rsid w:val="003749A3"/>
  </w:style>
  <w:style w:type="character" w:customStyle="1" w:styleId="SalutationChar">
    <w:name w:val="Salutation Char"/>
    <w:basedOn w:val="DefaultParagraphFont"/>
    <w:link w:val="Salutation"/>
    <w:uiPriority w:val="99"/>
    <w:semiHidden/>
    <w:rsid w:val="003749A3"/>
  </w:style>
  <w:style w:type="paragraph" w:styleId="Signature">
    <w:name w:val="Signature"/>
    <w:basedOn w:val="Normal"/>
    <w:link w:val="SignatureChar"/>
    <w:uiPriority w:val="99"/>
    <w:semiHidden/>
    <w:unhideWhenUsed/>
    <w:rsid w:val="003749A3"/>
    <w:pPr>
      <w:spacing w:after="0" w:line="240" w:lineRule="auto"/>
      <w:ind w:left="4252"/>
    </w:pPr>
  </w:style>
  <w:style w:type="character" w:customStyle="1" w:styleId="SignatureChar">
    <w:name w:val="Signature Char"/>
    <w:basedOn w:val="DefaultParagraphFont"/>
    <w:link w:val="Signature"/>
    <w:uiPriority w:val="99"/>
    <w:semiHidden/>
    <w:rsid w:val="003749A3"/>
  </w:style>
  <w:style w:type="paragraph" w:styleId="Subtitle">
    <w:name w:val="Subtitle"/>
    <w:basedOn w:val="Normal"/>
    <w:next w:val="Normal"/>
    <w:link w:val="SubtitleChar"/>
    <w:uiPriority w:val="11"/>
    <w:semiHidden/>
    <w:qFormat/>
    <w:rsid w:val="003749A3"/>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3749A3"/>
    <w:rPr>
      <w:rFonts w:asciiTheme="majorHAnsi" w:eastAsiaTheme="majorEastAsia" w:hAnsiTheme="majorHAnsi" w:cstheme="majorBidi"/>
      <w:i/>
      <w:iCs/>
      <w:color w:val="0063A6" w:themeColor="accent1"/>
      <w:spacing w:val="15"/>
      <w:sz w:val="24"/>
      <w:szCs w:val="24"/>
    </w:rPr>
  </w:style>
  <w:style w:type="paragraph" w:styleId="TableofAuthorities">
    <w:name w:val="table of authorities"/>
    <w:basedOn w:val="Normal"/>
    <w:next w:val="Normal"/>
    <w:uiPriority w:val="99"/>
    <w:semiHidden/>
    <w:unhideWhenUsed/>
    <w:rsid w:val="003749A3"/>
    <w:pPr>
      <w:spacing w:after="0"/>
      <w:ind w:left="220" w:hanging="220"/>
    </w:pPr>
  </w:style>
  <w:style w:type="paragraph" w:styleId="TableofFigures">
    <w:name w:val="table of figures"/>
    <w:basedOn w:val="Normal"/>
    <w:next w:val="Normal"/>
    <w:uiPriority w:val="99"/>
    <w:semiHidden/>
    <w:unhideWhenUsed/>
    <w:rsid w:val="003749A3"/>
    <w:pPr>
      <w:spacing w:after="0"/>
    </w:pPr>
  </w:style>
  <w:style w:type="paragraph" w:styleId="Title">
    <w:name w:val="Title"/>
    <w:basedOn w:val="Normal"/>
    <w:next w:val="Normal"/>
    <w:link w:val="TitleChar"/>
    <w:uiPriority w:val="10"/>
    <w:semiHidden/>
    <w:qFormat/>
    <w:rsid w:val="003749A3"/>
    <w:pPr>
      <w:pBdr>
        <w:bottom w:val="single" w:sz="8" w:space="4" w:color="0063A6" w:themeColor="accent1"/>
      </w:pBdr>
      <w:spacing w:after="300" w:line="240" w:lineRule="auto"/>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3749A3"/>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3749A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3749A3"/>
    <w:pPr>
      <w:spacing w:after="100"/>
      <w:ind w:left="880"/>
    </w:pPr>
  </w:style>
  <w:style w:type="paragraph" w:styleId="TOC6">
    <w:name w:val="toc 6"/>
    <w:basedOn w:val="Normal"/>
    <w:next w:val="Normal"/>
    <w:autoRedefine/>
    <w:uiPriority w:val="39"/>
    <w:semiHidden/>
    <w:unhideWhenUsed/>
    <w:rsid w:val="003749A3"/>
    <w:pPr>
      <w:spacing w:after="100"/>
      <w:ind w:left="1100"/>
    </w:pPr>
  </w:style>
  <w:style w:type="paragraph" w:styleId="TOC7">
    <w:name w:val="toc 7"/>
    <w:basedOn w:val="Normal"/>
    <w:next w:val="Normal"/>
    <w:autoRedefine/>
    <w:uiPriority w:val="39"/>
    <w:semiHidden/>
    <w:unhideWhenUsed/>
    <w:rsid w:val="003749A3"/>
    <w:pPr>
      <w:spacing w:after="100"/>
      <w:ind w:left="1320"/>
    </w:pPr>
  </w:style>
  <w:style w:type="paragraph" w:styleId="TOC8">
    <w:name w:val="toc 8"/>
    <w:basedOn w:val="Normal"/>
    <w:next w:val="Normal"/>
    <w:autoRedefine/>
    <w:uiPriority w:val="39"/>
    <w:semiHidden/>
    <w:unhideWhenUsed/>
    <w:rsid w:val="003749A3"/>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9.xml"/><Relationship Id="rId299" Type="http://schemas.openxmlformats.org/officeDocument/2006/relationships/footer" Target="footer123.xml"/><Relationship Id="rId303" Type="http://schemas.openxmlformats.org/officeDocument/2006/relationships/footer" Target="footer127.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footer" Target="footer26.xml"/><Relationship Id="rId84" Type="http://schemas.openxmlformats.org/officeDocument/2006/relationships/header" Target="header38.xml"/><Relationship Id="rId138" Type="http://schemas.openxmlformats.org/officeDocument/2006/relationships/header" Target="header71.xml"/><Relationship Id="rId159" Type="http://schemas.openxmlformats.org/officeDocument/2006/relationships/header" Target="header85.xml"/><Relationship Id="rId170" Type="http://schemas.openxmlformats.org/officeDocument/2006/relationships/footer" Target="footer65.xml"/><Relationship Id="rId191" Type="http://schemas.openxmlformats.org/officeDocument/2006/relationships/footer" Target="footer73.xml"/><Relationship Id="rId205" Type="http://schemas.openxmlformats.org/officeDocument/2006/relationships/diagramData" Target="diagrams/data1.xml"/><Relationship Id="rId226" Type="http://schemas.openxmlformats.org/officeDocument/2006/relationships/footer" Target="footer87.xml"/><Relationship Id="rId247" Type="http://schemas.openxmlformats.org/officeDocument/2006/relationships/header" Target="header131.xml"/><Relationship Id="rId107" Type="http://schemas.openxmlformats.org/officeDocument/2006/relationships/footer" Target="footer37.xml"/><Relationship Id="rId268" Type="http://schemas.openxmlformats.org/officeDocument/2006/relationships/footer" Target="footer106.xml"/><Relationship Id="rId289" Type="http://schemas.openxmlformats.org/officeDocument/2006/relationships/header" Target="header152.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23.xml"/><Relationship Id="rId74" Type="http://schemas.openxmlformats.org/officeDocument/2006/relationships/header" Target="header31.xml"/><Relationship Id="rId128" Type="http://schemas.openxmlformats.org/officeDocument/2006/relationships/header" Target="header65.xml"/><Relationship Id="rId149" Type="http://schemas.openxmlformats.org/officeDocument/2006/relationships/header" Target="header77.xm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footer" Target="footer34.xml"/><Relationship Id="rId160" Type="http://schemas.openxmlformats.org/officeDocument/2006/relationships/header" Target="header86.xml"/><Relationship Id="rId181" Type="http://schemas.openxmlformats.org/officeDocument/2006/relationships/header" Target="header101.xml"/><Relationship Id="rId216" Type="http://schemas.openxmlformats.org/officeDocument/2006/relationships/footer" Target="footer82.xml"/><Relationship Id="rId237" Type="http://schemas.openxmlformats.org/officeDocument/2006/relationships/header" Target="header125.xml"/><Relationship Id="rId258" Type="http://schemas.openxmlformats.org/officeDocument/2006/relationships/header" Target="header138.xml"/><Relationship Id="rId279" Type="http://schemas.openxmlformats.org/officeDocument/2006/relationships/header" Target="header149.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footer" Target="footer27.xml"/><Relationship Id="rId118" Type="http://schemas.openxmlformats.org/officeDocument/2006/relationships/header" Target="header60.xml"/><Relationship Id="rId139" Type="http://schemas.openxmlformats.org/officeDocument/2006/relationships/header" Target="header72.xml"/><Relationship Id="rId290" Type="http://schemas.openxmlformats.org/officeDocument/2006/relationships/footer" Target="footer119.xml"/><Relationship Id="rId304" Type="http://schemas.openxmlformats.org/officeDocument/2006/relationships/footer" Target="footer128.xml"/><Relationship Id="rId85" Type="http://schemas.openxmlformats.org/officeDocument/2006/relationships/header" Target="header39.xml"/><Relationship Id="rId150" Type="http://schemas.openxmlformats.org/officeDocument/2006/relationships/header" Target="header78.xml"/><Relationship Id="rId171" Type="http://schemas.openxmlformats.org/officeDocument/2006/relationships/footer" Target="footer66.xml"/><Relationship Id="rId192" Type="http://schemas.openxmlformats.org/officeDocument/2006/relationships/header" Target="header105.xml"/><Relationship Id="rId206" Type="http://schemas.openxmlformats.org/officeDocument/2006/relationships/diagramLayout" Target="diagrams/layout1.xml"/><Relationship Id="rId227" Type="http://schemas.openxmlformats.org/officeDocument/2006/relationships/footer" Target="footer88.xml"/><Relationship Id="rId248" Type="http://schemas.openxmlformats.org/officeDocument/2006/relationships/header" Target="header132.xml"/><Relationship Id="rId269" Type="http://schemas.openxmlformats.org/officeDocument/2006/relationships/header" Target="header144.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footer" Target="footer38.xml"/><Relationship Id="rId129" Type="http://schemas.openxmlformats.org/officeDocument/2006/relationships/header" Target="header66.xml"/><Relationship Id="rId280" Type="http://schemas.openxmlformats.org/officeDocument/2006/relationships/footer" Target="footer112.xml"/><Relationship Id="rId315" Type="http://schemas.openxmlformats.org/officeDocument/2006/relationships/theme" Target="theme/theme1.xml"/><Relationship Id="rId54" Type="http://schemas.openxmlformats.org/officeDocument/2006/relationships/image" Target="media/image2.emf"/><Relationship Id="rId75" Type="http://schemas.openxmlformats.org/officeDocument/2006/relationships/header" Target="header32.xml"/><Relationship Id="rId96" Type="http://schemas.openxmlformats.org/officeDocument/2006/relationships/header" Target="header48.xml"/><Relationship Id="rId140" Type="http://schemas.openxmlformats.org/officeDocument/2006/relationships/footer" Target="footer54.xml"/><Relationship Id="rId161" Type="http://schemas.openxmlformats.org/officeDocument/2006/relationships/footer" Target="footer61.xml"/><Relationship Id="rId182" Type="http://schemas.openxmlformats.org/officeDocument/2006/relationships/footer" Target="footer67.xml"/><Relationship Id="rId217" Type="http://schemas.openxmlformats.org/officeDocument/2006/relationships/header" Target="header116.xml"/><Relationship Id="rId6" Type="http://schemas.openxmlformats.org/officeDocument/2006/relationships/footnotes" Target="footnotes.xml"/><Relationship Id="rId238" Type="http://schemas.openxmlformats.org/officeDocument/2006/relationships/footer" Target="footer94.xml"/><Relationship Id="rId259" Type="http://schemas.openxmlformats.org/officeDocument/2006/relationships/header" Target="header139.xml"/><Relationship Id="rId23" Type="http://schemas.openxmlformats.org/officeDocument/2006/relationships/footer" Target="footer7.xml"/><Relationship Id="rId119" Type="http://schemas.openxmlformats.org/officeDocument/2006/relationships/footer" Target="footer45.xml"/><Relationship Id="rId270" Type="http://schemas.openxmlformats.org/officeDocument/2006/relationships/header" Target="header145.xml"/><Relationship Id="rId291" Type="http://schemas.openxmlformats.org/officeDocument/2006/relationships/header" Target="header153.xml"/><Relationship Id="rId305" Type="http://schemas.openxmlformats.org/officeDocument/2006/relationships/header" Target="header158.xml"/><Relationship Id="rId44" Type="http://schemas.openxmlformats.org/officeDocument/2006/relationships/header" Target="header18.xml"/><Relationship Id="rId65" Type="http://schemas.openxmlformats.org/officeDocument/2006/relationships/header" Target="header27.xml"/><Relationship Id="rId86" Type="http://schemas.openxmlformats.org/officeDocument/2006/relationships/header" Target="header40.xml"/><Relationship Id="rId130" Type="http://schemas.openxmlformats.org/officeDocument/2006/relationships/header" Target="header67.xml"/><Relationship Id="rId151" Type="http://schemas.openxmlformats.org/officeDocument/2006/relationships/header" Target="header79.xml"/><Relationship Id="rId172" Type="http://schemas.openxmlformats.org/officeDocument/2006/relationships/header" Target="header92.xml"/><Relationship Id="rId193" Type="http://schemas.openxmlformats.org/officeDocument/2006/relationships/header" Target="header106.xml"/><Relationship Id="rId207" Type="http://schemas.openxmlformats.org/officeDocument/2006/relationships/diagramQuickStyle" Target="diagrams/quickStyle1.xml"/><Relationship Id="rId228" Type="http://schemas.openxmlformats.org/officeDocument/2006/relationships/footer" Target="footer89.xml"/><Relationship Id="rId249" Type="http://schemas.openxmlformats.org/officeDocument/2006/relationships/footer" Target="footer98.xml"/><Relationship Id="rId13" Type="http://schemas.openxmlformats.org/officeDocument/2006/relationships/header" Target="header3.xml"/><Relationship Id="rId109" Type="http://schemas.openxmlformats.org/officeDocument/2006/relationships/footer" Target="footer39.xml"/><Relationship Id="rId260" Type="http://schemas.openxmlformats.org/officeDocument/2006/relationships/header" Target="header140.xml"/><Relationship Id="rId281" Type="http://schemas.openxmlformats.org/officeDocument/2006/relationships/footer" Target="footer113.xml"/><Relationship Id="rId34" Type="http://schemas.openxmlformats.org/officeDocument/2006/relationships/footer" Target="footer13.xml"/><Relationship Id="rId55" Type="http://schemas.openxmlformats.org/officeDocument/2006/relationships/image" Target="media/image3.emf"/><Relationship Id="rId76" Type="http://schemas.openxmlformats.org/officeDocument/2006/relationships/footer" Target="footer30.xml"/><Relationship Id="rId97" Type="http://schemas.openxmlformats.org/officeDocument/2006/relationships/header" Target="header49.xml"/><Relationship Id="rId120" Type="http://schemas.openxmlformats.org/officeDocument/2006/relationships/footer" Target="footer46.xml"/><Relationship Id="rId141" Type="http://schemas.openxmlformats.org/officeDocument/2006/relationships/footer" Target="footer55.xml"/><Relationship Id="rId7" Type="http://schemas.openxmlformats.org/officeDocument/2006/relationships/endnotes" Target="endnotes.xml"/><Relationship Id="rId162" Type="http://schemas.openxmlformats.org/officeDocument/2006/relationships/footer" Target="footer62.xml"/><Relationship Id="rId183" Type="http://schemas.openxmlformats.org/officeDocument/2006/relationships/footer" Target="footer68.xml"/><Relationship Id="rId218" Type="http://schemas.openxmlformats.org/officeDocument/2006/relationships/footer" Target="footer83.xml"/><Relationship Id="rId239" Type="http://schemas.openxmlformats.org/officeDocument/2006/relationships/header" Target="header126.xml"/><Relationship Id="rId250" Type="http://schemas.openxmlformats.org/officeDocument/2006/relationships/footer" Target="footer99.xml"/><Relationship Id="rId271" Type="http://schemas.openxmlformats.org/officeDocument/2006/relationships/footer" Target="footer107.xml"/><Relationship Id="rId292" Type="http://schemas.openxmlformats.org/officeDocument/2006/relationships/header" Target="header154.xml"/><Relationship Id="rId306" Type="http://schemas.openxmlformats.org/officeDocument/2006/relationships/header" Target="header159.xml"/><Relationship Id="rId24" Type="http://schemas.openxmlformats.org/officeDocument/2006/relationships/footer" Target="footer8.xml"/><Relationship Id="rId45" Type="http://schemas.openxmlformats.org/officeDocument/2006/relationships/header" Target="header19.xml"/><Relationship Id="rId66" Type="http://schemas.openxmlformats.org/officeDocument/2006/relationships/footer" Target="footer28.xml"/><Relationship Id="rId87" Type="http://schemas.openxmlformats.org/officeDocument/2006/relationships/header" Target="header41.xml"/><Relationship Id="rId110" Type="http://schemas.openxmlformats.org/officeDocument/2006/relationships/footer" Target="footer40.xml"/><Relationship Id="rId131" Type="http://schemas.openxmlformats.org/officeDocument/2006/relationships/header" Target="header68.xml"/><Relationship Id="rId61" Type="http://schemas.openxmlformats.org/officeDocument/2006/relationships/header" Target="header25.xml"/><Relationship Id="rId82" Type="http://schemas.openxmlformats.org/officeDocument/2006/relationships/header" Target="header36.xml"/><Relationship Id="rId152" Type="http://schemas.openxmlformats.org/officeDocument/2006/relationships/header" Target="header80.xml"/><Relationship Id="rId173" Type="http://schemas.openxmlformats.org/officeDocument/2006/relationships/header" Target="header93.xml"/><Relationship Id="rId194" Type="http://schemas.openxmlformats.org/officeDocument/2006/relationships/footer" Target="footer74.xml"/><Relationship Id="rId199" Type="http://schemas.openxmlformats.org/officeDocument/2006/relationships/footer" Target="footer77.xml"/><Relationship Id="rId203" Type="http://schemas.openxmlformats.org/officeDocument/2006/relationships/footer" Target="footer79.xml"/><Relationship Id="rId208" Type="http://schemas.openxmlformats.org/officeDocument/2006/relationships/diagramColors" Target="diagrams/colors1.xml"/><Relationship Id="rId229" Type="http://schemas.openxmlformats.org/officeDocument/2006/relationships/header" Target="header121.xml"/><Relationship Id="rId19" Type="http://schemas.openxmlformats.org/officeDocument/2006/relationships/header" Target="header6.xml"/><Relationship Id="rId224" Type="http://schemas.openxmlformats.org/officeDocument/2006/relationships/header" Target="header119.xml"/><Relationship Id="rId240" Type="http://schemas.openxmlformats.org/officeDocument/2006/relationships/footer" Target="footer95.xml"/><Relationship Id="rId245" Type="http://schemas.openxmlformats.org/officeDocument/2006/relationships/header" Target="header130.xml"/><Relationship Id="rId261" Type="http://schemas.openxmlformats.org/officeDocument/2006/relationships/footer" Target="footer102.xml"/><Relationship Id="rId266" Type="http://schemas.openxmlformats.org/officeDocument/2006/relationships/header" Target="header143.xml"/><Relationship Id="rId287" Type="http://schemas.openxmlformats.org/officeDocument/2006/relationships/footer" Target="footer117.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image" Target="media/image4.emf"/><Relationship Id="rId77" Type="http://schemas.openxmlformats.org/officeDocument/2006/relationships/footer" Target="footer31.xml"/><Relationship Id="rId100" Type="http://schemas.openxmlformats.org/officeDocument/2006/relationships/header" Target="header52.xml"/><Relationship Id="rId105" Type="http://schemas.openxmlformats.org/officeDocument/2006/relationships/header" Target="header55.xml"/><Relationship Id="rId126" Type="http://schemas.openxmlformats.org/officeDocument/2006/relationships/footer" Target="footer49.xml"/><Relationship Id="rId147" Type="http://schemas.openxmlformats.org/officeDocument/2006/relationships/header" Target="header75.xml"/><Relationship Id="rId168" Type="http://schemas.openxmlformats.org/officeDocument/2006/relationships/header" Target="header90.xml"/><Relationship Id="rId282" Type="http://schemas.openxmlformats.org/officeDocument/2006/relationships/footer" Target="footer114.xml"/><Relationship Id="rId312" Type="http://schemas.openxmlformats.org/officeDocument/2006/relationships/footer" Target="footer133.xml"/><Relationship Id="rId8" Type="http://schemas.openxmlformats.org/officeDocument/2006/relationships/image" Target="media/image1.wmf"/><Relationship Id="rId51" Type="http://schemas.openxmlformats.org/officeDocument/2006/relationships/header" Target="header22.xml"/><Relationship Id="rId72" Type="http://schemas.openxmlformats.org/officeDocument/2006/relationships/header" Target="header30.xml"/><Relationship Id="rId93" Type="http://schemas.openxmlformats.org/officeDocument/2006/relationships/header" Target="header47.xml"/><Relationship Id="rId98" Type="http://schemas.openxmlformats.org/officeDocument/2006/relationships/header" Target="header50.xml"/><Relationship Id="rId121" Type="http://schemas.openxmlformats.org/officeDocument/2006/relationships/header" Target="header61.xml"/><Relationship Id="rId142" Type="http://schemas.openxmlformats.org/officeDocument/2006/relationships/header" Target="header73.xml"/><Relationship Id="rId163" Type="http://schemas.openxmlformats.org/officeDocument/2006/relationships/header" Target="header87.xml"/><Relationship Id="rId184" Type="http://schemas.openxmlformats.org/officeDocument/2006/relationships/footer" Target="footer69.xml"/><Relationship Id="rId189" Type="http://schemas.openxmlformats.org/officeDocument/2006/relationships/header" Target="header104.xml"/><Relationship Id="rId219" Type="http://schemas.openxmlformats.org/officeDocument/2006/relationships/footer" Target="footer84.xml"/><Relationship Id="rId3" Type="http://schemas.microsoft.com/office/2007/relationships/stylesWithEffects" Target="stylesWithEffects.xml"/><Relationship Id="rId214" Type="http://schemas.openxmlformats.org/officeDocument/2006/relationships/header" Target="header115.xml"/><Relationship Id="rId230" Type="http://schemas.openxmlformats.org/officeDocument/2006/relationships/header" Target="header122.xml"/><Relationship Id="rId235" Type="http://schemas.openxmlformats.org/officeDocument/2006/relationships/footer" Target="footer92.xml"/><Relationship Id="rId251" Type="http://schemas.openxmlformats.org/officeDocument/2006/relationships/header" Target="header133.xml"/><Relationship Id="rId256" Type="http://schemas.openxmlformats.org/officeDocument/2006/relationships/header" Target="header137.xml"/><Relationship Id="rId277" Type="http://schemas.openxmlformats.org/officeDocument/2006/relationships/footer" Target="footer111.xml"/><Relationship Id="rId298" Type="http://schemas.openxmlformats.org/officeDocument/2006/relationships/header" Target="header157.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image" Target="media/image5.emf"/><Relationship Id="rId116" Type="http://schemas.openxmlformats.org/officeDocument/2006/relationships/footer" Target="footer44.xml"/><Relationship Id="rId137" Type="http://schemas.openxmlformats.org/officeDocument/2006/relationships/footer" Target="footer53.xml"/><Relationship Id="rId158" Type="http://schemas.openxmlformats.org/officeDocument/2006/relationships/footer" Target="footer60.xml"/><Relationship Id="rId272" Type="http://schemas.openxmlformats.org/officeDocument/2006/relationships/footer" Target="footer108.xml"/><Relationship Id="rId293" Type="http://schemas.openxmlformats.org/officeDocument/2006/relationships/footer" Target="footer120.xml"/><Relationship Id="rId302" Type="http://schemas.openxmlformats.org/officeDocument/2006/relationships/footer" Target="footer126.xml"/><Relationship Id="rId307" Type="http://schemas.openxmlformats.org/officeDocument/2006/relationships/footer" Target="footer129.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header" Target="header26.xml"/><Relationship Id="rId83" Type="http://schemas.openxmlformats.org/officeDocument/2006/relationships/header" Target="header37.xml"/><Relationship Id="rId88" Type="http://schemas.openxmlformats.org/officeDocument/2006/relationships/header" Target="header42.xml"/><Relationship Id="rId111" Type="http://schemas.openxmlformats.org/officeDocument/2006/relationships/footer" Target="footer41.xml"/><Relationship Id="rId132" Type="http://schemas.openxmlformats.org/officeDocument/2006/relationships/footer" Target="footer50.xml"/><Relationship Id="rId153" Type="http://schemas.openxmlformats.org/officeDocument/2006/relationships/header" Target="header81.xml"/><Relationship Id="rId174" Type="http://schemas.openxmlformats.org/officeDocument/2006/relationships/header" Target="header94.xml"/><Relationship Id="rId179" Type="http://schemas.openxmlformats.org/officeDocument/2006/relationships/header" Target="header99.xml"/><Relationship Id="rId195" Type="http://schemas.openxmlformats.org/officeDocument/2006/relationships/footer" Target="footer75.xml"/><Relationship Id="rId209" Type="http://schemas.microsoft.com/office/2007/relationships/diagramDrawing" Target="diagrams/drawing1.xml"/><Relationship Id="rId190" Type="http://schemas.openxmlformats.org/officeDocument/2006/relationships/footer" Target="footer72.xml"/><Relationship Id="rId204" Type="http://schemas.openxmlformats.org/officeDocument/2006/relationships/header" Target="header111.xml"/><Relationship Id="rId220" Type="http://schemas.openxmlformats.org/officeDocument/2006/relationships/header" Target="header117.xml"/><Relationship Id="rId225" Type="http://schemas.openxmlformats.org/officeDocument/2006/relationships/header" Target="header120.xml"/><Relationship Id="rId241" Type="http://schemas.openxmlformats.org/officeDocument/2006/relationships/footer" Target="footer96.xml"/><Relationship Id="rId246" Type="http://schemas.openxmlformats.org/officeDocument/2006/relationships/footer" Target="footer97.xml"/><Relationship Id="rId267" Type="http://schemas.openxmlformats.org/officeDocument/2006/relationships/footer" Target="footer105.xml"/><Relationship Id="rId288" Type="http://schemas.openxmlformats.org/officeDocument/2006/relationships/footer" Target="footer118.xml"/><Relationship Id="rId15" Type="http://schemas.openxmlformats.org/officeDocument/2006/relationships/header" Target="header4.xml"/><Relationship Id="rId36" Type="http://schemas.openxmlformats.org/officeDocument/2006/relationships/header" Target="header15.xml"/><Relationship Id="rId57" Type="http://schemas.openxmlformats.org/officeDocument/2006/relationships/header" Target="header23.xml"/><Relationship Id="rId106" Type="http://schemas.openxmlformats.org/officeDocument/2006/relationships/header" Target="header56.xml"/><Relationship Id="rId127" Type="http://schemas.openxmlformats.org/officeDocument/2006/relationships/header" Target="header64.xml"/><Relationship Id="rId262" Type="http://schemas.openxmlformats.org/officeDocument/2006/relationships/footer" Target="footer103.xml"/><Relationship Id="rId283" Type="http://schemas.openxmlformats.org/officeDocument/2006/relationships/footer" Target="footer115.xml"/><Relationship Id="rId313" Type="http://schemas.openxmlformats.org/officeDocument/2006/relationships/footer" Target="footer134.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footer" Target="footer29.xml"/><Relationship Id="rId78" Type="http://schemas.openxmlformats.org/officeDocument/2006/relationships/header" Target="header33.xml"/><Relationship Id="rId94" Type="http://schemas.openxmlformats.org/officeDocument/2006/relationships/footer" Target="footer33.xml"/><Relationship Id="rId99" Type="http://schemas.openxmlformats.org/officeDocument/2006/relationships/header" Target="header51.xml"/><Relationship Id="rId101" Type="http://schemas.openxmlformats.org/officeDocument/2006/relationships/header" Target="header53.xml"/><Relationship Id="rId122" Type="http://schemas.openxmlformats.org/officeDocument/2006/relationships/header" Target="header62.xml"/><Relationship Id="rId143" Type="http://schemas.openxmlformats.org/officeDocument/2006/relationships/header" Target="header74.xml"/><Relationship Id="rId148" Type="http://schemas.openxmlformats.org/officeDocument/2006/relationships/header" Target="header76.xml"/><Relationship Id="rId164" Type="http://schemas.openxmlformats.org/officeDocument/2006/relationships/header" Target="header88.xml"/><Relationship Id="rId169" Type="http://schemas.openxmlformats.org/officeDocument/2006/relationships/header" Target="header91.xml"/><Relationship Id="rId185" Type="http://schemas.openxmlformats.org/officeDocument/2006/relationships/footer" Target="footer7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00.xml"/><Relationship Id="rId210" Type="http://schemas.openxmlformats.org/officeDocument/2006/relationships/header" Target="header112.xml"/><Relationship Id="rId215" Type="http://schemas.openxmlformats.org/officeDocument/2006/relationships/footer" Target="footer81.xml"/><Relationship Id="rId236" Type="http://schemas.openxmlformats.org/officeDocument/2006/relationships/footer" Target="footer93.xml"/><Relationship Id="rId257" Type="http://schemas.openxmlformats.org/officeDocument/2006/relationships/footer" Target="footer101.xml"/><Relationship Id="rId278" Type="http://schemas.openxmlformats.org/officeDocument/2006/relationships/header" Target="header148.xml"/><Relationship Id="rId26" Type="http://schemas.openxmlformats.org/officeDocument/2006/relationships/header" Target="header10.xml"/><Relationship Id="rId231" Type="http://schemas.openxmlformats.org/officeDocument/2006/relationships/footer" Target="footer90.xml"/><Relationship Id="rId252" Type="http://schemas.openxmlformats.org/officeDocument/2006/relationships/footer" Target="footer100.xml"/><Relationship Id="rId273" Type="http://schemas.openxmlformats.org/officeDocument/2006/relationships/header" Target="header146.xml"/><Relationship Id="rId294" Type="http://schemas.openxmlformats.org/officeDocument/2006/relationships/footer" Target="footer121.xml"/><Relationship Id="rId308" Type="http://schemas.openxmlformats.org/officeDocument/2006/relationships/footer" Target="footer130.xml"/><Relationship Id="rId47" Type="http://schemas.openxmlformats.org/officeDocument/2006/relationships/footer" Target="footer20.xml"/><Relationship Id="rId68" Type="http://schemas.openxmlformats.org/officeDocument/2006/relationships/image" Target="media/image6.png"/><Relationship Id="rId89" Type="http://schemas.openxmlformats.org/officeDocument/2006/relationships/header" Target="header43.xml"/><Relationship Id="rId112" Type="http://schemas.openxmlformats.org/officeDocument/2006/relationships/footer" Target="footer42.xml"/><Relationship Id="rId133" Type="http://schemas.openxmlformats.org/officeDocument/2006/relationships/footer" Target="footer51.xml"/><Relationship Id="rId154" Type="http://schemas.openxmlformats.org/officeDocument/2006/relationships/header" Target="header82.xml"/><Relationship Id="rId175" Type="http://schemas.openxmlformats.org/officeDocument/2006/relationships/header" Target="header95.xml"/><Relationship Id="rId196" Type="http://schemas.openxmlformats.org/officeDocument/2006/relationships/header" Target="header107.xml"/><Relationship Id="rId200" Type="http://schemas.openxmlformats.org/officeDocument/2006/relationships/header" Target="header109.xml"/><Relationship Id="rId16" Type="http://schemas.openxmlformats.org/officeDocument/2006/relationships/header" Target="header5.xml"/><Relationship Id="rId221" Type="http://schemas.openxmlformats.org/officeDocument/2006/relationships/header" Target="header118.xml"/><Relationship Id="rId242" Type="http://schemas.openxmlformats.org/officeDocument/2006/relationships/header" Target="header127.xml"/><Relationship Id="rId263" Type="http://schemas.openxmlformats.org/officeDocument/2006/relationships/header" Target="header141.xml"/><Relationship Id="rId284" Type="http://schemas.openxmlformats.org/officeDocument/2006/relationships/footer" Target="footer116.xml"/><Relationship Id="rId37" Type="http://schemas.openxmlformats.org/officeDocument/2006/relationships/footer" Target="footer14.xml"/><Relationship Id="rId58" Type="http://schemas.openxmlformats.org/officeDocument/2006/relationships/header" Target="header24.xml"/><Relationship Id="rId79" Type="http://schemas.openxmlformats.org/officeDocument/2006/relationships/footer" Target="footer32.xml"/><Relationship Id="rId102" Type="http://schemas.openxmlformats.org/officeDocument/2006/relationships/header" Target="header54.xml"/><Relationship Id="rId123" Type="http://schemas.openxmlformats.org/officeDocument/2006/relationships/footer" Target="footer47.xml"/><Relationship Id="rId144" Type="http://schemas.openxmlformats.org/officeDocument/2006/relationships/footer" Target="footer56.xml"/><Relationship Id="rId90" Type="http://schemas.openxmlformats.org/officeDocument/2006/relationships/header" Target="header44.xml"/><Relationship Id="rId165" Type="http://schemas.openxmlformats.org/officeDocument/2006/relationships/header" Target="header89.xml"/><Relationship Id="rId186" Type="http://schemas.openxmlformats.org/officeDocument/2006/relationships/header" Target="header102.xml"/><Relationship Id="rId211" Type="http://schemas.openxmlformats.org/officeDocument/2006/relationships/header" Target="header113.xml"/><Relationship Id="rId232" Type="http://schemas.openxmlformats.org/officeDocument/2006/relationships/footer" Target="footer91.xml"/><Relationship Id="rId253" Type="http://schemas.openxmlformats.org/officeDocument/2006/relationships/header" Target="header134.xml"/><Relationship Id="rId274" Type="http://schemas.openxmlformats.org/officeDocument/2006/relationships/header" Target="header147.xml"/><Relationship Id="rId295" Type="http://schemas.openxmlformats.org/officeDocument/2006/relationships/header" Target="header155.xml"/><Relationship Id="rId309" Type="http://schemas.openxmlformats.org/officeDocument/2006/relationships/hyperlink" Target="http://www.dtf.vic.gov.au/Publications/Government-Financial-Management-publications/DTF-glossary-for-budget-and-financial-reports" TargetMode="Externa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image" Target="media/image7.png"/><Relationship Id="rId113" Type="http://schemas.openxmlformats.org/officeDocument/2006/relationships/header" Target="header57.xml"/><Relationship Id="rId134" Type="http://schemas.openxmlformats.org/officeDocument/2006/relationships/header" Target="header69.xml"/><Relationship Id="rId80" Type="http://schemas.openxmlformats.org/officeDocument/2006/relationships/header" Target="header34.xml"/><Relationship Id="rId155" Type="http://schemas.openxmlformats.org/officeDocument/2006/relationships/header" Target="header83.xml"/><Relationship Id="rId176" Type="http://schemas.openxmlformats.org/officeDocument/2006/relationships/header" Target="header96.xml"/><Relationship Id="rId197" Type="http://schemas.openxmlformats.org/officeDocument/2006/relationships/header" Target="header108.xml"/><Relationship Id="rId201" Type="http://schemas.openxmlformats.org/officeDocument/2006/relationships/header" Target="header110.xml"/><Relationship Id="rId222" Type="http://schemas.openxmlformats.org/officeDocument/2006/relationships/footer" Target="footer85.xml"/><Relationship Id="rId243" Type="http://schemas.openxmlformats.org/officeDocument/2006/relationships/header" Target="header128.xml"/><Relationship Id="rId264" Type="http://schemas.openxmlformats.org/officeDocument/2006/relationships/footer" Target="footer104.xml"/><Relationship Id="rId285" Type="http://schemas.openxmlformats.org/officeDocument/2006/relationships/header" Target="header150.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4.xml"/><Relationship Id="rId103" Type="http://schemas.openxmlformats.org/officeDocument/2006/relationships/footer" Target="footer35.xml"/><Relationship Id="rId124" Type="http://schemas.openxmlformats.org/officeDocument/2006/relationships/footer" Target="footer48.xml"/><Relationship Id="rId310" Type="http://schemas.openxmlformats.org/officeDocument/2006/relationships/footer" Target="footer131.xml"/><Relationship Id="rId70" Type="http://schemas.openxmlformats.org/officeDocument/2006/relationships/header" Target="header28.xml"/><Relationship Id="rId91" Type="http://schemas.openxmlformats.org/officeDocument/2006/relationships/header" Target="header45.xml"/><Relationship Id="rId145" Type="http://schemas.openxmlformats.org/officeDocument/2006/relationships/footer" Target="footer57.xml"/><Relationship Id="rId166" Type="http://schemas.openxmlformats.org/officeDocument/2006/relationships/footer" Target="footer63.xml"/><Relationship Id="rId187" Type="http://schemas.openxmlformats.org/officeDocument/2006/relationships/footer" Target="footer71.xml"/><Relationship Id="rId1" Type="http://schemas.openxmlformats.org/officeDocument/2006/relationships/numbering" Target="numbering.xml"/><Relationship Id="rId212" Type="http://schemas.openxmlformats.org/officeDocument/2006/relationships/footer" Target="footer80.xml"/><Relationship Id="rId233" Type="http://schemas.openxmlformats.org/officeDocument/2006/relationships/header" Target="header123.xml"/><Relationship Id="rId254" Type="http://schemas.openxmlformats.org/officeDocument/2006/relationships/header" Target="header135.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8.xml"/><Relationship Id="rId275" Type="http://schemas.openxmlformats.org/officeDocument/2006/relationships/footer" Target="footer109.xml"/><Relationship Id="rId296" Type="http://schemas.openxmlformats.org/officeDocument/2006/relationships/footer" Target="footer122.xml"/><Relationship Id="rId300" Type="http://schemas.openxmlformats.org/officeDocument/2006/relationships/footer" Target="footer124.xml"/><Relationship Id="rId60" Type="http://schemas.openxmlformats.org/officeDocument/2006/relationships/footer" Target="footer25.xml"/><Relationship Id="rId81" Type="http://schemas.openxmlformats.org/officeDocument/2006/relationships/header" Target="header35.xml"/><Relationship Id="rId135" Type="http://schemas.openxmlformats.org/officeDocument/2006/relationships/header" Target="header70.xml"/><Relationship Id="rId156" Type="http://schemas.openxmlformats.org/officeDocument/2006/relationships/header" Target="header84.xml"/><Relationship Id="rId177" Type="http://schemas.openxmlformats.org/officeDocument/2006/relationships/header" Target="header97.xml"/><Relationship Id="rId198" Type="http://schemas.openxmlformats.org/officeDocument/2006/relationships/footer" Target="footer76.xml"/><Relationship Id="rId202" Type="http://schemas.openxmlformats.org/officeDocument/2006/relationships/footer" Target="footer78.xml"/><Relationship Id="rId223" Type="http://schemas.openxmlformats.org/officeDocument/2006/relationships/footer" Target="footer86.xml"/><Relationship Id="rId244" Type="http://schemas.openxmlformats.org/officeDocument/2006/relationships/header" Target="header129.xml"/><Relationship Id="rId18" Type="http://schemas.openxmlformats.org/officeDocument/2006/relationships/footer" Target="footer5.xml"/><Relationship Id="rId39" Type="http://schemas.openxmlformats.org/officeDocument/2006/relationships/footer" Target="footer16.xml"/><Relationship Id="rId265" Type="http://schemas.openxmlformats.org/officeDocument/2006/relationships/header" Target="header142.xml"/><Relationship Id="rId286" Type="http://schemas.openxmlformats.org/officeDocument/2006/relationships/header" Target="header151.xml"/><Relationship Id="rId50" Type="http://schemas.openxmlformats.org/officeDocument/2006/relationships/header" Target="header21.xml"/><Relationship Id="rId104" Type="http://schemas.openxmlformats.org/officeDocument/2006/relationships/footer" Target="footer36.xml"/><Relationship Id="rId125" Type="http://schemas.openxmlformats.org/officeDocument/2006/relationships/header" Target="header63.xml"/><Relationship Id="rId146" Type="http://schemas.openxmlformats.org/officeDocument/2006/relationships/footer" Target="footer58.xml"/><Relationship Id="rId167" Type="http://schemas.openxmlformats.org/officeDocument/2006/relationships/footer" Target="footer64.xml"/><Relationship Id="rId188" Type="http://schemas.openxmlformats.org/officeDocument/2006/relationships/header" Target="header103.xml"/><Relationship Id="rId311" Type="http://schemas.openxmlformats.org/officeDocument/2006/relationships/footer" Target="footer132.xml"/><Relationship Id="rId71" Type="http://schemas.openxmlformats.org/officeDocument/2006/relationships/header" Target="header29.xml"/><Relationship Id="rId92" Type="http://schemas.openxmlformats.org/officeDocument/2006/relationships/header" Target="header46.xml"/><Relationship Id="rId213" Type="http://schemas.openxmlformats.org/officeDocument/2006/relationships/header" Target="header114.xml"/><Relationship Id="rId234" Type="http://schemas.openxmlformats.org/officeDocument/2006/relationships/header" Target="header124.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eader" Target="header136.xml"/><Relationship Id="rId276" Type="http://schemas.openxmlformats.org/officeDocument/2006/relationships/footer" Target="footer110.xml"/><Relationship Id="rId297" Type="http://schemas.openxmlformats.org/officeDocument/2006/relationships/header" Target="header156.xml"/><Relationship Id="rId40" Type="http://schemas.openxmlformats.org/officeDocument/2006/relationships/header" Target="header16.xml"/><Relationship Id="rId115" Type="http://schemas.openxmlformats.org/officeDocument/2006/relationships/footer" Target="footer43.xml"/><Relationship Id="rId136" Type="http://schemas.openxmlformats.org/officeDocument/2006/relationships/footer" Target="footer52.xml"/><Relationship Id="rId157" Type="http://schemas.openxmlformats.org/officeDocument/2006/relationships/footer" Target="footer59.xml"/><Relationship Id="rId178" Type="http://schemas.openxmlformats.org/officeDocument/2006/relationships/header" Target="header98.xml"/><Relationship Id="rId301" Type="http://schemas.openxmlformats.org/officeDocument/2006/relationships/footer" Target="footer12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dgm:t>
        <a:bodyPr/>
        <a:lstStyle/>
        <a:p>
          <a:r>
            <a:rPr lang="en-AU" sz="900" i="0">
              <a:latin typeface="+mj-lt"/>
            </a:rPr>
            <a:t>Market risk</a:t>
          </a:r>
        </a:p>
      </dgm:t>
    </dgm:pt>
    <dgm:pt modelId="{09D01149-8D78-439B-87BF-38D8CA4AE0E6}" type="parTrans" cxnId="{3F567164-BA97-420F-9270-6B07E8A718CD}">
      <dgm:prSet/>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dgm:t>
        <a:bodyPr/>
        <a:lstStyle/>
        <a:p>
          <a:r>
            <a:rPr lang="en-AU" sz="900" i="0">
              <a:latin typeface="+mj-lt"/>
            </a:rPr>
            <a:t>Credit risk</a:t>
          </a:r>
        </a:p>
      </dgm:t>
    </dgm:pt>
    <dgm:pt modelId="{9C7C3C4A-F359-4A05-B3FC-00083F85D8D6}" type="parTrans" cxnId="{BCE6D234-A5E8-46F6-8E30-C5E7D60F6D4A}">
      <dgm:prSet/>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dgm:t>
        <a:bodyPr/>
        <a:lstStyle/>
        <a:p>
          <a:r>
            <a:rPr lang="en-AU" sz="900" i="0">
              <a:latin typeface="+mj-lt"/>
            </a:rPr>
            <a:t>Liquidity risk</a:t>
          </a:r>
        </a:p>
      </dgm:t>
    </dgm:pt>
    <dgm:pt modelId="{F1034687-4F11-4CC2-978E-6477E77F7A68}" type="parTrans" cxnId="{0D2ACAE8-8C4A-43B6-9228-92F7826F6E52}">
      <dgm:prSet/>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dgm:t>
        <a:bodyPr/>
        <a:lstStyle/>
        <a:p>
          <a:r>
            <a:rPr lang="en-AU" sz="900" i="0">
              <a:latin typeface="+mj-lt"/>
            </a:rPr>
            <a:t>Equity price risk</a:t>
          </a:r>
        </a:p>
      </dgm:t>
    </dgm:pt>
    <dgm:pt modelId="{3E52FE8A-1BF8-4CAE-972A-5298A12C958F}" type="parTrans" cxnId="{57C0F3FC-B02F-4716-94E4-D169688D7240}">
      <dgm:prSet/>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dgm:t>
        <a:bodyPr/>
        <a:lstStyle/>
        <a:p>
          <a:r>
            <a:rPr lang="en-AU" sz="900" i="0">
              <a:latin typeface="+mj-lt"/>
            </a:rPr>
            <a:t>Interest rate risk</a:t>
          </a:r>
        </a:p>
      </dgm:t>
    </dgm:pt>
    <dgm:pt modelId="{C017AA8F-5177-4574-AB79-0E6B6D0DB2F1}" type="parTrans" cxnId="{ADC08702-62BB-4DFE-BB20-0BA30FE3E53A}">
      <dgm:prSet/>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dgm:t>
        <a:bodyPr/>
        <a:lstStyle/>
        <a:p>
          <a:r>
            <a:rPr lang="en-AU" sz="900" i="0">
              <a:latin typeface="+mj-lt"/>
            </a:rPr>
            <a:t>Foreign currency risk</a:t>
          </a:r>
        </a:p>
      </dgm:t>
    </dgm:pt>
    <dgm:pt modelId="{F688B168-257F-416E-A278-5DC1F311EA9B}" type="parTrans" cxnId="{B12B7016-268B-4EA1-BD31-700F80DE403E}">
      <dgm:prSet/>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t>
        <a:bodyPr/>
        <a:lstStyle/>
        <a:p>
          <a:endParaRPr lang="en-AU"/>
        </a:p>
      </dgm:t>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t>
        <a:bodyPr/>
        <a:lstStyle/>
        <a:p>
          <a:endParaRPr lang="en-AU"/>
        </a:p>
      </dgm:t>
    </dgm:pt>
    <dgm:pt modelId="{BD76D784-6BE0-4434-BDEE-395A4A328632}" type="pres">
      <dgm:prSet presAssocID="{FB2C4938-A496-4AF7-B5FA-5CC2DDB99F65}" presName="rootConnector1" presStyleLbl="node1" presStyleIdx="0" presStyleCnt="0"/>
      <dgm:spPr/>
      <dgm:t>
        <a:bodyPr/>
        <a:lstStyle/>
        <a:p>
          <a:endParaRPr lang="en-AU"/>
        </a:p>
      </dgm:t>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t>
        <a:bodyPr/>
        <a:lstStyle/>
        <a:p>
          <a:endParaRPr lang="en-AU"/>
        </a:p>
      </dgm:t>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t>
        <a:bodyPr/>
        <a:lstStyle/>
        <a:p>
          <a:endParaRPr lang="en-AU"/>
        </a:p>
      </dgm:t>
    </dgm:pt>
    <dgm:pt modelId="{0313A58C-E523-4B49-8802-481E92A5EC33}" type="pres">
      <dgm:prSet presAssocID="{AA253F2E-D46A-4F46-B365-A37C130D4488}" presName="rootConnector" presStyleLbl="node2" presStyleIdx="0" presStyleCnt="3"/>
      <dgm:spPr/>
      <dgm:t>
        <a:bodyPr/>
        <a:lstStyle/>
        <a:p>
          <a:endParaRPr lang="en-AU"/>
        </a:p>
      </dgm:t>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t>
        <a:bodyPr/>
        <a:lstStyle/>
        <a:p>
          <a:endParaRPr lang="en-AU"/>
        </a:p>
      </dgm:t>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t>
        <a:bodyPr/>
        <a:lstStyle/>
        <a:p>
          <a:endParaRPr lang="en-AU"/>
        </a:p>
      </dgm:t>
    </dgm:pt>
    <dgm:pt modelId="{C80B5A6B-20CE-4823-883A-E169959894F7}" type="pres">
      <dgm:prSet presAssocID="{632572CC-1588-4F90-839C-2BD80B5F1BA4}" presName="rootConnector" presStyleLbl="node3" presStyleIdx="0" presStyleCnt="3"/>
      <dgm:spPr/>
      <dgm:t>
        <a:bodyPr/>
        <a:lstStyle/>
        <a:p>
          <a:endParaRPr lang="en-AU"/>
        </a:p>
      </dgm:t>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t>
        <a:bodyPr/>
        <a:lstStyle/>
        <a:p>
          <a:endParaRPr lang="en-AU"/>
        </a:p>
      </dgm:t>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t>
        <a:bodyPr/>
        <a:lstStyle/>
        <a:p>
          <a:endParaRPr lang="en-AU"/>
        </a:p>
      </dgm:t>
    </dgm:pt>
    <dgm:pt modelId="{5E0A9DBF-E268-41CE-9C5E-6CA1C1F777BD}" type="pres">
      <dgm:prSet presAssocID="{C89C434C-ACE8-4C86-B2E4-7CE7D6F202B9}" presName="rootConnector" presStyleLbl="node3" presStyleIdx="1" presStyleCnt="3"/>
      <dgm:spPr/>
      <dgm:t>
        <a:bodyPr/>
        <a:lstStyle/>
        <a:p>
          <a:endParaRPr lang="en-AU"/>
        </a:p>
      </dgm:t>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t>
        <a:bodyPr/>
        <a:lstStyle/>
        <a:p>
          <a:endParaRPr lang="en-AU"/>
        </a:p>
      </dgm:t>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t>
        <a:bodyPr/>
        <a:lstStyle/>
        <a:p>
          <a:endParaRPr lang="en-AU"/>
        </a:p>
      </dgm:t>
    </dgm:pt>
    <dgm:pt modelId="{2A94ED9F-4DDB-4DCB-8D0B-C02EC688499A}" type="pres">
      <dgm:prSet presAssocID="{9731AA50-1676-4AA7-8636-17FF6EA36D0F}" presName="rootConnector" presStyleLbl="node3" presStyleIdx="2" presStyleCnt="3"/>
      <dgm:spPr/>
      <dgm:t>
        <a:bodyPr/>
        <a:lstStyle/>
        <a:p>
          <a:endParaRPr lang="en-AU"/>
        </a:p>
      </dgm:t>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t>
        <a:bodyPr/>
        <a:lstStyle/>
        <a:p>
          <a:endParaRPr lang="en-AU"/>
        </a:p>
      </dgm:t>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t>
        <a:bodyPr/>
        <a:lstStyle/>
        <a:p>
          <a:endParaRPr lang="en-AU"/>
        </a:p>
      </dgm:t>
    </dgm:pt>
    <dgm:pt modelId="{68E68FF4-7F25-45AD-B5BD-A49CB588FA72}" type="pres">
      <dgm:prSet presAssocID="{09D14E22-A2C6-4142-B346-781C81612E7C}" presName="rootConnector" presStyleLbl="node2" presStyleIdx="1" presStyleCnt="3"/>
      <dgm:spPr/>
      <dgm:t>
        <a:bodyPr/>
        <a:lstStyle/>
        <a:p>
          <a:endParaRPr lang="en-AU"/>
        </a:p>
      </dgm:t>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t>
        <a:bodyPr/>
        <a:lstStyle/>
        <a:p>
          <a:endParaRPr lang="en-AU"/>
        </a:p>
      </dgm:t>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t>
        <a:bodyPr/>
        <a:lstStyle/>
        <a:p>
          <a:endParaRPr lang="en-AU"/>
        </a:p>
      </dgm:t>
    </dgm:pt>
    <dgm:pt modelId="{F19BCCFC-80A2-4AD4-BE70-89400DE4AC23}" type="pres">
      <dgm:prSet presAssocID="{4BC9100A-59DE-4D9B-ABB0-601976728E51}" presName="rootConnector" presStyleLbl="node2" presStyleIdx="2" presStyleCnt="3"/>
      <dgm:spPr/>
      <dgm:t>
        <a:bodyPr/>
        <a:lstStyle/>
        <a:p>
          <a:endParaRPr lang="en-AU"/>
        </a:p>
      </dgm:t>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BCE6D234-A5E8-46F6-8E30-C5E7D60F6D4A}" srcId="{FB2C4938-A496-4AF7-B5FA-5CC2DDB99F65}" destId="{09D14E22-A2C6-4142-B346-781C81612E7C}" srcOrd="1" destOrd="0" parTransId="{9C7C3C4A-F359-4A05-B3FC-00083F85D8D6}" sibTransId="{2032C37C-4E5D-4288-B3F6-BE8043EAF85A}"/>
    <dgm:cxn modelId="{CEDCC06E-D885-4A39-A120-2A8AD88D9141}" type="presOf" srcId="{9C7C3C4A-F359-4A05-B3FC-00083F85D8D6}" destId="{8B00EB80-2904-495E-B685-CA5CFE3563E0}" srcOrd="0" destOrd="0" presId="urn:microsoft.com/office/officeart/2005/8/layout/orgChart1"/>
    <dgm:cxn modelId="{905D33B0-5802-4003-8705-9A5DC318E840}" type="presOf" srcId="{F688B168-257F-416E-A278-5DC1F311EA9B}" destId="{831D7E3E-4F2D-48FE-9992-41BCC6E189B7}" srcOrd="0" destOrd="0" presId="urn:microsoft.com/office/officeart/2005/8/layout/orgChart1"/>
    <dgm:cxn modelId="{1D294A17-067B-4B9D-8989-554C341E43A4}" type="presOf" srcId="{632572CC-1588-4F90-839C-2BD80B5F1BA4}" destId="{76789CFF-1D8C-4BE0-8614-2AADF7F28735}" srcOrd="0" destOrd="0" presId="urn:microsoft.com/office/officeart/2005/8/layout/orgChart1"/>
    <dgm:cxn modelId="{2E82D241-283B-495B-93B1-BD7C5713A095}" type="presOf" srcId="{F1034687-4F11-4CC2-978E-6477E77F7A68}" destId="{11DB8665-44E2-4120-97F9-B6C60E52FE82}" srcOrd="0" destOrd="0" presId="urn:microsoft.com/office/officeart/2005/8/layout/orgChart1"/>
    <dgm:cxn modelId="{ACE6FF3D-62FD-412D-AC78-736C15ED0E78}" type="presOf" srcId="{09D14E22-A2C6-4142-B346-781C81612E7C}" destId="{F243EABE-D588-4E87-9A2E-252D2456CB1B}" srcOrd="0" destOrd="0" presId="urn:microsoft.com/office/officeart/2005/8/layout/orgChart1"/>
    <dgm:cxn modelId="{7ECA2BF8-787B-475A-9EDA-9A0CFBA86B33}" type="presOf" srcId="{9731AA50-1676-4AA7-8636-17FF6EA36D0F}" destId="{2A94ED9F-4DDB-4DCB-8D0B-C02EC688499A}" srcOrd="1" destOrd="0" presId="urn:microsoft.com/office/officeart/2005/8/layout/orgChart1"/>
    <dgm:cxn modelId="{F6458F93-EE19-4197-A89F-B5324F8992AC}" type="presOf" srcId="{9731AA50-1676-4AA7-8636-17FF6EA36D0F}" destId="{2119C946-9979-49E0-8DC6-9EF4C4600985}" srcOrd="0" destOrd="0" presId="urn:microsoft.com/office/officeart/2005/8/layout/orgChart1"/>
    <dgm:cxn modelId="{8F3CA31C-03B4-481A-9559-6EC6B05874A6}" type="presOf" srcId="{09D01149-8D78-439B-87BF-38D8CA4AE0E6}" destId="{BD598231-C67D-4DC9-A3B0-AE265A09754E}" srcOrd="0"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7C0A8A87-1BF5-43B4-9F49-4457DEFB512A}" type="presOf" srcId="{AA253F2E-D46A-4F46-B365-A37C130D4488}" destId="{BAA3C8B2-4565-450E-A38F-592937A876D9}" srcOrd="0" destOrd="0" presId="urn:microsoft.com/office/officeart/2005/8/layout/orgChart1"/>
    <dgm:cxn modelId="{300E63CA-596A-48E2-9EFF-8FE41AC25BC9}" type="presOf" srcId="{4BC9100A-59DE-4D9B-ABB0-601976728E51}" destId="{CE52E2CA-DBF0-4588-A20E-3A3D361D28EB}" srcOrd="0" destOrd="0" presId="urn:microsoft.com/office/officeart/2005/8/layout/orgChart1"/>
    <dgm:cxn modelId="{C42DA294-8A66-4AB5-9F2B-05DF599B6863}" type="presOf" srcId="{632572CC-1588-4F90-839C-2BD80B5F1BA4}" destId="{C80B5A6B-20CE-4823-883A-E169959894F7}" srcOrd="1" destOrd="0" presId="urn:microsoft.com/office/officeart/2005/8/layout/orgChart1"/>
    <dgm:cxn modelId="{ADC08702-62BB-4DFE-BB20-0BA30FE3E53A}" srcId="{AA253F2E-D46A-4F46-B365-A37C130D4488}" destId="{632572CC-1588-4F90-839C-2BD80B5F1BA4}" srcOrd="0" destOrd="0" parTransId="{C017AA8F-5177-4574-AB79-0E6B6D0DB2F1}" sibTransId="{A049BE2C-5666-4F4B-9D67-2590C3B1E303}"/>
    <dgm:cxn modelId="{9DE4BC8F-6FE8-40BC-80E7-EF5E239ED1B9}" type="presOf" srcId="{813BAF06-1332-4437-A017-D8FDCEB88B6C}" destId="{CDEE0A1C-83CA-48F0-A0DD-308272C15F6D}" srcOrd="0" destOrd="0" presId="urn:microsoft.com/office/officeart/2005/8/layout/orgChart1"/>
    <dgm:cxn modelId="{6EC452C4-1DAF-422E-8914-2FEA3DEC1BF7}" type="presOf" srcId="{FB2C4938-A496-4AF7-B5FA-5CC2DDB99F65}" destId="{3B1382DE-E889-4638-ACF9-E243DD38AF39}" srcOrd="0" destOrd="0" presId="urn:microsoft.com/office/officeart/2005/8/layout/orgChart1"/>
    <dgm:cxn modelId="{71590989-D79B-43F0-B14C-B97B3DD2C20C}" type="presOf" srcId="{C017AA8F-5177-4574-AB79-0E6B6D0DB2F1}" destId="{44837603-83DD-415D-9553-E0CAEC5886AF}"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6A921567-4E23-4674-8B69-982A543D4570}" type="presOf" srcId="{3E52FE8A-1BF8-4CAE-972A-5298A12C958F}" destId="{26B0F6D2-0A6E-4090-8819-682E7D250175}" srcOrd="0" destOrd="0" presId="urn:microsoft.com/office/officeart/2005/8/layout/orgChart1"/>
    <dgm:cxn modelId="{47CF0D5C-28F1-4DE8-8984-303B79688370}" type="presOf" srcId="{FB2C4938-A496-4AF7-B5FA-5CC2DDB99F65}" destId="{BD76D784-6BE0-4434-BDEE-395A4A328632}" srcOrd="1" destOrd="0" presId="urn:microsoft.com/office/officeart/2005/8/layout/orgChart1"/>
    <dgm:cxn modelId="{745AE672-33BD-491B-8CBB-3F5F5BD500FE}" type="presOf" srcId="{AA253F2E-D46A-4F46-B365-A37C130D4488}" destId="{0313A58C-E523-4B49-8802-481E92A5EC33}" srcOrd="1" destOrd="0" presId="urn:microsoft.com/office/officeart/2005/8/layout/orgChart1"/>
    <dgm:cxn modelId="{65E609D2-B383-4713-9D75-95FB4E32ECE8}" type="presOf" srcId="{C89C434C-ACE8-4C86-B2E4-7CE7D6F202B9}" destId="{5E0A9DBF-E268-41CE-9C5E-6CA1C1F777BD}"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BE92DD00-070B-446C-94F4-C01FBCA62FCA}" type="presOf" srcId="{C89C434C-ACE8-4C86-B2E4-7CE7D6F202B9}" destId="{E3E98BC3-F486-4BFA-B746-9B65AF5C4D86}" srcOrd="0"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E3463FC3-74A5-4807-BA4E-D04CB89964BE}" type="presOf" srcId="{09D14E22-A2C6-4142-B346-781C81612E7C}" destId="{68E68FF4-7F25-45AD-B5BD-A49CB588FA72}" srcOrd="1" destOrd="0" presId="urn:microsoft.com/office/officeart/2005/8/layout/orgChart1"/>
    <dgm:cxn modelId="{BD368A5B-1015-4A01-AC29-EDD08B621DF3}" type="presOf" srcId="{4BC9100A-59DE-4D9B-ABB0-601976728E51}" destId="{F19BCCFC-80A2-4AD4-BE70-89400DE4AC23}" srcOrd="1" destOrd="0" presId="urn:microsoft.com/office/officeart/2005/8/layout/orgChart1"/>
    <dgm:cxn modelId="{3F567164-BA97-420F-9270-6B07E8A718CD}" srcId="{FB2C4938-A496-4AF7-B5FA-5CC2DDB99F65}" destId="{AA253F2E-D46A-4F46-B365-A37C130D4488}" srcOrd="0" destOrd="0" parTransId="{09D01149-8D78-439B-87BF-38D8CA4AE0E6}" sibTransId="{FE8CF657-C822-4BBF-B1DD-D1F2C5C34E05}"/>
    <dgm:cxn modelId="{A4CAF53B-CC2A-4867-8AD0-50C41A8F25EB}" type="presParOf" srcId="{CDEE0A1C-83CA-48F0-A0DD-308272C15F6D}" destId="{24CECED1-38F5-416B-A021-8AD726282F01}" srcOrd="0" destOrd="0" presId="urn:microsoft.com/office/officeart/2005/8/layout/orgChart1"/>
    <dgm:cxn modelId="{492B1EBB-650C-442E-9BF0-3DD5F1E1D44E}" type="presParOf" srcId="{24CECED1-38F5-416B-A021-8AD726282F01}" destId="{934E6631-3524-4145-A93B-1BDDA23DCA72}" srcOrd="0" destOrd="0" presId="urn:microsoft.com/office/officeart/2005/8/layout/orgChart1"/>
    <dgm:cxn modelId="{14B0D0F6-B0AC-44BF-90A5-3F63B167679F}" type="presParOf" srcId="{934E6631-3524-4145-A93B-1BDDA23DCA72}" destId="{3B1382DE-E889-4638-ACF9-E243DD38AF39}" srcOrd="0" destOrd="0" presId="urn:microsoft.com/office/officeart/2005/8/layout/orgChart1"/>
    <dgm:cxn modelId="{1DF052F6-CBEA-4AF0-9421-17D100D0D340}" type="presParOf" srcId="{934E6631-3524-4145-A93B-1BDDA23DCA72}" destId="{BD76D784-6BE0-4434-BDEE-395A4A328632}" srcOrd="1" destOrd="0" presId="urn:microsoft.com/office/officeart/2005/8/layout/orgChart1"/>
    <dgm:cxn modelId="{CFD45288-78E0-49D6-A50E-FB64489670EE}" type="presParOf" srcId="{24CECED1-38F5-416B-A021-8AD726282F01}" destId="{62FB20D2-AF6B-4D40-BCC1-6123FD1F27A9}" srcOrd="1" destOrd="0" presId="urn:microsoft.com/office/officeart/2005/8/layout/orgChart1"/>
    <dgm:cxn modelId="{CB2E6947-DC8E-4238-A0B6-4339A8D8DD65}" type="presParOf" srcId="{62FB20D2-AF6B-4D40-BCC1-6123FD1F27A9}" destId="{BD598231-C67D-4DC9-A3B0-AE265A09754E}" srcOrd="0" destOrd="0" presId="urn:microsoft.com/office/officeart/2005/8/layout/orgChart1"/>
    <dgm:cxn modelId="{1FD20BED-100C-4DB2-9CD0-563B0D25E8FF}" type="presParOf" srcId="{62FB20D2-AF6B-4D40-BCC1-6123FD1F27A9}" destId="{67B9B191-AF2B-4E6A-B09C-F3191824895F}" srcOrd="1" destOrd="0" presId="urn:microsoft.com/office/officeart/2005/8/layout/orgChart1"/>
    <dgm:cxn modelId="{404159E4-B656-4A95-AE35-639D9D3E8A97}" type="presParOf" srcId="{67B9B191-AF2B-4E6A-B09C-F3191824895F}" destId="{3255712F-6F2C-4344-8B4D-4BA7C1FD378F}" srcOrd="0" destOrd="0" presId="urn:microsoft.com/office/officeart/2005/8/layout/orgChart1"/>
    <dgm:cxn modelId="{C88E76E3-6D38-47C6-A634-83D0015E9D7C}" type="presParOf" srcId="{3255712F-6F2C-4344-8B4D-4BA7C1FD378F}" destId="{BAA3C8B2-4565-450E-A38F-592937A876D9}" srcOrd="0" destOrd="0" presId="urn:microsoft.com/office/officeart/2005/8/layout/orgChart1"/>
    <dgm:cxn modelId="{34108650-92FE-4D78-8A5A-85899DB5E34A}" type="presParOf" srcId="{3255712F-6F2C-4344-8B4D-4BA7C1FD378F}" destId="{0313A58C-E523-4B49-8802-481E92A5EC33}" srcOrd="1" destOrd="0" presId="urn:microsoft.com/office/officeart/2005/8/layout/orgChart1"/>
    <dgm:cxn modelId="{74E525C6-7C03-4EF1-8E3A-1FEA3027F9F1}" type="presParOf" srcId="{67B9B191-AF2B-4E6A-B09C-F3191824895F}" destId="{92339548-EC9F-42EC-AF7C-EB6AE439D609}" srcOrd="1" destOrd="0" presId="urn:microsoft.com/office/officeart/2005/8/layout/orgChart1"/>
    <dgm:cxn modelId="{D419FD26-F655-48BA-9074-777E28ECFA96}" type="presParOf" srcId="{92339548-EC9F-42EC-AF7C-EB6AE439D609}" destId="{44837603-83DD-415D-9553-E0CAEC5886AF}" srcOrd="0" destOrd="0" presId="urn:microsoft.com/office/officeart/2005/8/layout/orgChart1"/>
    <dgm:cxn modelId="{D0B7AB36-EC69-483E-8BC0-B8F04E03577B}" type="presParOf" srcId="{92339548-EC9F-42EC-AF7C-EB6AE439D609}" destId="{D5EF56F3-8A7C-4482-AB47-0CBCCF6B52BD}" srcOrd="1" destOrd="0" presId="urn:microsoft.com/office/officeart/2005/8/layout/orgChart1"/>
    <dgm:cxn modelId="{62097A51-3E80-482E-BA52-4F5FE6B88212}" type="presParOf" srcId="{D5EF56F3-8A7C-4482-AB47-0CBCCF6B52BD}" destId="{3FEB9F36-4833-4A74-980B-9554ECCE5B90}" srcOrd="0" destOrd="0" presId="urn:microsoft.com/office/officeart/2005/8/layout/orgChart1"/>
    <dgm:cxn modelId="{ECE80975-D373-4E36-8308-DD3111AE882D}" type="presParOf" srcId="{3FEB9F36-4833-4A74-980B-9554ECCE5B90}" destId="{76789CFF-1D8C-4BE0-8614-2AADF7F28735}" srcOrd="0" destOrd="0" presId="urn:microsoft.com/office/officeart/2005/8/layout/orgChart1"/>
    <dgm:cxn modelId="{61C3F769-0482-4E7F-94AA-8D1945BB400F}" type="presParOf" srcId="{3FEB9F36-4833-4A74-980B-9554ECCE5B90}" destId="{C80B5A6B-20CE-4823-883A-E169959894F7}" srcOrd="1" destOrd="0" presId="urn:microsoft.com/office/officeart/2005/8/layout/orgChart1"/>
    <dgm:cxn modelId="{C9131790-2D73-4DE3-BF9E-45FF9D15E40A}" type="presParOf" srcId="{D5EF56F3-8A7C-4482-AB47-0CBCCF6B52BD}" destId="{39BBC4FA-6713-4AD9-ADA6-575A56BF5139}" srcOrd="1" destOrd="0" presId="urn:microsoft.com/office/officeart/2005/8/layout/orgChart1"/>
    <dgm:cxn modelId="{51323389-A278-4685-B11A-341621E1E725}" type="presParOf" srcId="{D5EF56F3-8A7C-4482-AB47-0CBCCF6B52BD}" destId="{25E9DD9D-F5C6-4343-8F5B-983A871B7506}" srcOrd="2" destOrd="0" presId="urn:microsoft.com/office/officeart/2005/8/layout/orgChart1"/>
    <dgm:cxn modelId="{01E5A492-A454-4804-AC23-EF543C68A48E}" type="presParOf" srcId="{92339548-EC9F-42EC-AF7C-EB6AE439D609}" destId="{831D7E3E-4F2D-48FE-9992-41BCC6E189B7}" srcOrd="2" destOrd="0" presId="urn:microsoft.com/office/officeart/2005/8/layout/orgChart1"/>
    <dgm:cxn modelId="{561CF5DB-1532-48D4-8C09-C1E406F574F7}" type="presParOf" srcId="{92339548-EC9F-42EC-AF7C-EB6AE439D609}" destId="{2B3586CD-43AB-4837-B9D1-7B67EB98B8AE}" srcOrd="3" destOrd="0" presId="urn:microsoft.com/office/officeart/2005/8/layout/orgChart1"/>
    <dgm:cxn modelId="{4EBFA72B-8132-4E85-BFE0-E0E6CE0186BD}" type="presParOf" srcId="{2B3586CD-43AB-4837-B9D1-7B67EB98B8AE}" destId="{E8CC963A-E11B-4A9B-B1EF-15F7A9130449}" srcOrd="0" destOrd="0" presId="urn:microsoft.com/office/officeart/2005/8/layout/orgChart1"/>
    <dgm:cxn modelId="{C7953436-1894-42A2-B0FD-E0AC9AD3C47A}" type="presParOf" srcId="{E8CC963A-E11B-4A9B-B1EF-15F7A9130449}" destId="{E3E98BC3-F486-4BFA-B746-9B65AF5C4D86}" srcOrd="0" destOrd="0" presId="urn:microsoft.com/office/officeart/2005/8/layout/orgChart1"/>
    <dgm:cxn modelId="{21667E0B-B50C-4BC0-88DE-F5A497F900DE}" type="presParOf" srcId="{E8CC963A-E11B-4A9B-B1EF-15F7A9130449}" destId="{5E0A9DBF-E268-41CE-9C5E-6CA1C1F777BD}" srcOrd="1" destOrd="0" presId="urn:microsoft.com/office/officeart/2005/8/layout/orgChart1"/>
    <dgm:cxn modelId="{84042260-391E-4EE0-AD0E-EEF8B3E0BF0E}" type="presParOf" srcId="{2B3586CD-43AB-4837-B9D1-7B67EB98B8AE}" destId="{F21BA937-02EC-4958-83B3-794303D2326A}" srcOrd="1" destOrd="0" presId="urn:microsoft.com/office/officeart/2005/8/layout/orgChart1"/>
    <dgm:cxn modelId="{C73441A6-EA97-4502-9791-5B7020DFB7A1}" type="presParOf" srcId="{2B3586CD-43AB-4837-B9D1-7B67EB98B8AE}" destId="{77AFA698-D70F-4EB5-8034-D910825D0608}" srcOrd="2" destOrd="0" presId="urn:microsoft.com/office/officeart/2005/8/layout/orgChart1"/>
    <dgm:cxn modelId="{CCA407C4-AB8B-4CED-84E9-2F7B599D65A9}" type="presParOf" srcId="{92339548-EC9F-42EC-AF7C-EB6AE439D609}" destId="{26B0F6D2-0A6E-4090-8819-682E7D250175}" srcOrd="4" destOrd="0" presId="urn:microsoft.com/office/officeart/2005/8/layout/orgChart1"/>
    <dgm:cxn modelId="{CF8375F9-6AB6-4B8B-8095-217027EAD1B7}" type="presParOf" srcId="{92339548-EC9F-42EC-AF7C-EB6AE439D609}" destId="{64CA2FC2-10BE-4895-A119-B29C940C6DE4}" srcOrd="5" destOrd="0" presId="urn:microsoft.com/office/officeart/2005/8/layout/orgChart1"/>
    <dgm:cxn modelId="{2B065D01-1C10-470B-9E6B-84C6E98AD5BE}" type="presParOf" srcId="{64CA2FC2-10BE-4895-A119-B29C940C6DE4}" destId="{1D69C6C6-E72A-4DBB-88F3-75CFB04D2F12}" srcOrd="0" destOrd="0" presId="urn:microsoft.com/office/officeart/2005/8/layout/orgChart1"/>
    <dgm:cxn modelId="{EF0521D9-D7A6-4A6B-BD87-E037DF780107}" type="presParOf" srcId="{1D69C6C6-E72A-4DBB-88F3-75CFB04D2F12}" destId="{2119C946-9979-49E0-8DC6-9EF4C4600985}" srcOrd="0" destOrd="0" presId="urn:microsoft.com/office/officeart/2005/8/layout/orgChart1"/>
    <dgm:cxn modelId="{75EEACD1-3A08-4F4C-9F34-71B7CC4FB6A4}" type="presParOf" srcId="{1D69C6C6-E72A-4DBB-88F3-75CFB04D2F12}" destId="{2A94ED9F-4DDB-4DCB-8D0B-C02EC688499A}" srcOrd="1" destOrd="0" presId="urn:microsoft.com/office/officeart/2005/8/layout/orgChart1"/>
    <dgm:cxn modelId="{2BF10D69-79C2-408E-9E33-97D842ECCF53}" type="presParOf" srcId="{64CA2FC2-10BE-4895-A119-B29C940C6DE4}" destId="{BED93993-8575-4582-B1AD-AF3D4F8111FC}" srcOrd="1" destOrd="0" presId="urn:microsoft.com/office/officeart/2005/8/layout/orgChart1"/>
    <dgm:cxn modelId="{02487B21-040E-440E-8795-45445205DA00}" type="presParOf" srcId="{64CA2FC2-10BE-4895-A119-B29C940C6DE4}" destId="{345944C9-2D83-46B5-8DF7-A4FC5E50CA53}" srcOrd="2" destOrd="0" presId="urn:microsoft.com/office/officeart/2005/8/layout/orgChart1"/>
    <dgm:cxn modelId="{DFEE4E1D-5758-4938-90F5-C91668D1B824}" type="presParOf" srcId="{67B9B191-AF2B-4E6A-B09C-F3191824895F}" destId="{1596D294-7FA1-451A-9205-105C85155EEF}" srcOrd="2" destOrd="0" presId="urn:microsoft.com/office/officeart/2005/8/layout/orgChart1"/>
    <dgm:cxn modelId="{65F45D36-A37C-4277-80F4-619CE11199B4}" type="presParOf" srcId="{62FB20D2-AF6B-4D40-BCC1-6123FD1F27A9}" destId="{8B00EB80-2904-495E-B685-CA5CFE3563E0}" srcOrd="2" destOrd="0" presId="urn:microsoft.com/office/officeart/2005/8/layout/orgChart1"/>
    <dgm:cxn modelId="{3A47F26C-63E5-431D-8557-022106FD86E5}" type="presParOf" srcId="{62FB20D2-AF6B-4D40-BCC1-6123FD1F27A9}" destId="{5DF15BFC-B3F7-45F5-A8B4-EE629AE42168}" srcOrd="3" destOrd="0" presId="urn:microsoft.com/office/officeart/2005/8/layout/orgChart1"/>
    <dgm:cxn modelId="{8EB527EB-16C9-48D2-B02A-8297DE90A8AD}" type="presParOf" srcId="{5DF15BFC-B3F7-45F5-A8B4-EE629AE42168}" destId="{CAB7111A-4788-4251-B9D1-6AC24BA73B8F}" srcOrd="0" destOrd="0" presId="urn:microsoft.com/office/officeart/2005/8/layout/orgChart1"/>
    <dgm:cxn modelId="{9B7EA0C5-D5D6-4B66-B7C2-8F49ABD96E1C}" type="presParOf" srcId="{CAB7111A-4788-4251-B9D1-6AC24BA73B8F}" destId="{F243EABE-D588-4E87-9A2E-252D2456CB1B}" srcOrd="0" destOrd="0" presId="urn:microsoft.com/office/officeart/2005/8/layout/orgChart1"/>
    <dgm:cxn modelId="{EB9C97E8-528D-45A0-8EB0-AC1223650660}" type="presParOf" srcId="{CAB7111A-4788-4251-B9D1-6AC24BA73B8F}" destId="{68E68FF4-7F25-45AD-B5BD-A49CB588FA72}" srcOrd="1" destOrd="0" presId="urn:microsoft.com/office/officeart/2005/8/layout/orgChart1"/>
    <dgm:cxn modelId="{323D924E-9724-4245-8D4E-952B50EDD366}" type="presParOf" srcId="{5DF15BFC-B3F7-45F5-A8B4-EE629AE42168}" destId="{88A0F61C-7D9E-4BE1-8CC6-1B62D0A6523A}" srcOrd="1" destOrd="0" presId="urn:microsoft.com/office/officeart/2005/8/layout/orgChart1"/>
    <dgm:cxn modelId="{00EE4BFD-F3E1-48AB-A210-6ECF95D9012E}" type="presParOf" srcId="{5DF15BFC-B3F7-45F5-A8B4-EE629AE42168}" destId="{B70B9F61-22FF-4D21-B128-543094BB5D3F}" srcOrd="2" destOrd="0" presId="urn:microsoft.com/office/officeart/2005/8/layout/orgChart1"/>
    <dgm:cxn modelId="{849DC819-B4F2-484B-9608-439CDA7F6931}" type="presParOf" srcId="{62FB20D2-AF6B-4D40-BCC1-6123FD1F27A9}" destId="{11DB8665-44E2-4120-97F9-B6C60E52FE82}" srcOrd="4" destOrd="0" presId="urn:microsoft.com/office/officeart/2005/8/layout/orgChart1"/>
    <dgm:cxn modelId="{127506CB-134B-4480-8CFE-944F97A7FEE3}" type="presParOf" srcId="{62FB20D2-AF6B-4D40-BCC1-6123FD1F27A9}" destId="{D47B5994-51C5-4DB9-9F4A-47961430286C}" srcOrd="5" destOrd="0" presId="urn:microsoft.com/office/officeart/2005/8/layout/orgChart1"/>
    <dgm:cxn modelId="{A20CCF2D-97A6-40CB-8542-3CD278A3D59F}" type="presParOf" srcId="{D47B5994-51C5-4DB9-9F4A-47961430286C}" destId="{3D496A31-ACBD-4D01-BD44-035A73EB09F6}" srcOrd="0" destOrd="0" presId="urn:microsoft.com/office/officeart/2005/8/layout/orgChart1"/>
    <dgm:cxn modelId="{DA956A3B-83AE-4314-B279-989D2102436F}" type="presParOf" srcId="{3D496A31-ACBD-4D01-BD44-035A73EB09F6}" destId="{CE52E2CA-DBF0-4588-A20E-3A3D361D28EB}" srcOrd="0" destOrd="0" presId="urn:microsoft.com/office/officeart/2005/8/layout/orgChart1"/>
    <dgm:cxn modelId="{FD33C202-E838-473F-BAA5-51BFC4209686}" type="presParOf" srcId="{3D496A31-ACBD-4D01-BD44-035A73EB09F6}" destId="{F19BCCFC-80A2-4AD4-BE70-89400DE4AC23}" srcOrd="1" destOrd="0" presId="urn:microsoft.com/office/officeart/2005/8/layout/orgChart1"/>
    <dgm:cxn modelId="{EC412837-4EFB-46AA-B08F-A20E3C32A7B4}" type="presParOf" srcId="{D47B5994-51C5-4DB9-9F4A-47961430286C}" destId="{5F38203B-EDCD-4DB1-B1E7-0296013B2735}" srcOrd="1" destOrd="0" presId="urn:microsoft.com/office/officeart/2005/8/layout/orgChart1"/>
    <dgm:cxn modelId="{3DADEE05-E273-4DE5-A79F-DE18010BD9A9}" type="presParOf" srcId="{D47B5994-51C5-4DB9-9F4A-47961430286C}" destId="{C28C0FB1-6C8A-4915-A350-FE2C7E392AC1}" srcOrd="2" destOrd="0" presId="urn:microsoft.com/office/officeart/2005/8/layout/orgChart1"/>
    <dgm:cxn modelId="{2D76C833-6E16-4792-8545-69CB03F673C8}"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4"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179</Pages>
  <Words>65614</Words>
  <Characters>374003</Characters>
  <Application>Microsoft Office Word</Application>
  <DocSecurity>0</DocSecurity>
  <Lines>3116</Lines>
  <Paragraphs>877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2016-10-11T23:04:00Z</dcterms:created>
  <dcterms:modified xsi:type="dcterms:W3CDTF">2016-10-11T23:04:00Z</dcterms:modified>
</cp:coreProperties>
</file>